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3820" w:space="540"/>
            <w:col w:w="70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284"/>
        </w:trPr>
        <w:tc>
          <w:tcPr>
            <w:tcW w:w="31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514"/>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40" w:type="dxa"/>
            <w:vAlign w:val="bottom"/>
          </w:tcPr>
          <w:p>
            <w:pPr>
              <w:ind w:left="1420"/>
              <w:spacing w:after="0"/>
              <w:rPr>
                <w:sz w:val="20"/>
                <w:szCs w:val="20"/>
                <w:color w:val="auto"/>
              </w:rPr>
            </w:pPr>
            <w:r>
              <w:rPr>
                <w:rFonts w:ascii="Arial" w:cs="Arial" w:eastAsia="Arial" w:hAnsi="Arial"/>
                <w:sz w:val="18"/>
                <w:szCs w:val="18"/>
                <w:color w:val="auto"/>
                <w:w w:val="92"/>
              </w:rPr>
              <w:t>Accelerated filer</w:t>
            </w:r>
          </w:p>
        </w:tc>
        <w:tc>
          <w:tcPr>
            <w:tcW w:w="2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75"/>
        </w:trPr>
        <w:tc>
          <w:tcPr>
            <w:tcW w:w="65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840" w:type="dxa"/>
            <w:vAlign w:val="bottom"/>
            <w:gridSpan w:val="2"/>
          </w:tcPr>
          <w:p>
            <w:pPr>
              <w:ind w:left="14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922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9220" w:type="dxa"/>
            <w:vAlign w:val="bottom"/>
            <w:gridSpan w:val="2"/>
          </w:tcPr>
          <w:p>
            <w:pPr>
              <w:ind w:left="460"/>
              <w:spacing w:after="0"/>
              <w:rPr>
                <w:sz w:val="20"/>
                <w:szCs w:val="20"/>
                <w:color w:val="auto"/>
              </w:rPr>
            </w:pPr>
            <w:r>
              <w:rPr>
                <w:rFonts w:ascii="Arial" w:cs="Arial" w:eastAsia="Arial" w:hAnsi="Arial"/>
                <w:sz w:val="18"/>
                <w:szCs w:val="18"/>
                <w:color w:val="auto"/>
              </w:rPr>
              <w:t>As of August 8, 2008, the registrant had 11,962,247 shares of Common Stock ($0.001 par value) outstanding.</w:t>
            </w:r>
          </w:p>
        </w:tc>
        <w:tc>
          <w:tcPr>
            <w:tcW w:w="2200" w:type="dxa"/>
            <w:vAlign w:val="bottom"/>
          </w:tcPr>
          <w:p>
            <w:pPr>
              <w:spacing w:after="0"/>
              <w:rPr>
                <w:sz w:val="24"/>
                <w:szCs w:val="24"/>
                <w:color w:val="auto"/>
              </w:rPr>
            </w:pPr>
          </w:p>
        </w:tc>
      </w:tr>
      <w:tr>
        <w:trPr>
          <w:trHeight w:val="124"/>
        </w:trPr>
        <w:tc>
          <w:tcPr>
            <w:tcW w:w="658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04"/>
        </w:trPr>
        <w:tc>
          <w:tcPr>
            <w:tcW w:w="1360" w:type="dxa"/>
            <w:vAlign w:val="bottom"/>
            <w:gridSpan w:val="2"/>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83"/>
        </w:trPr>
        <w:tc>
          <w:tcPr>
            <w:tcW w:w="1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0" w:type="dxa"/>
            <w:vAlign w:val="bottom"/>
          </w:tcPr>
          <w:p>
            <w:pPr>
              <w:jc w:val="center"/>
              <w:ind w:left="2132"/>
              <w:spacing w:after="0"/>
              <w:rPr>
                <w:sz w:val="20"/>
                <w:szCs w:val="20"/>
                <w:color w:val="auto"/>
              </w:rPr>
            </w:pPr>
            <w:r>
              <w:rPr>
                <w:rFonts w:ascii="Arial" w:cs="Arial" w:eastAsia="Arial" w:hAnsi="Arial"/>
                <w:sz w:val="18"/>
                <w:szCs w:val="18"/>
                <w:b w:val="1"/>
                <w:bCs w:val="1"/>
                <w:color w:val="auto"/>
                <w:w w:val="99"/>
              </w:rPr>
              <w:t>PART I. FINANCIAL INFORMATION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0" w:type="dxa"/>
            <w:vAlign w:val="bottom"/>
          </w:tcPr>
          <w:p>
            <w:pPr>
              <w:jc w:val="center"/>
              <w:ind w:left="2132"/>
              <w:spacing w:after="0"/>
              <w:rPr>
                <w:sz w:val="20"/>
                <w:szCs w:val="20"/>
                <w:color w:val="auto"/>
              </w:rPr>
            </w:pPr>
            <w:r>
              <w:rPr>
                <w:rFonts w:ascii="Arial" w:cs="Arial" w:eastAsia="Arial" w:hAnsi="Arial"/>
                <w:sz w:val="18"/>
                <w:szCs w:val="18"/>
                <w:b w:val="1"/>
                <w:bCs w:val="1"/>
                <w:color w:val="auto"/>
              </w:rPr>
              <w:t>MEDICINOVA,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0" w:type="dxa"/>
            <w:vAlign w:val="bottom"/>
          </w:tcPr>
          <w:p>
            <w:pPr>
              <w:jc w:val="center"/>
              <w:ind w:left="2152"/>
              <w:spacing w:after="0"/>
              <w:rPr>
                <w:sz w:val="20"/>
                <w:szCs w:val="20"/>
                <w:color w:val="auto"/>
              </w:rPr>
            </w:pPr>
            <w:r>
              <w:rPr>
                <w:rFonts w:ascii="Arial" w:cs="Arial" w:eastAsia="Arial" w:hAnsi="Arial"/>
                <w:sz w:val="18"/>
                <w:szCs w:val="18"/>
                <w:b w:val="1"/>
                <w:bCs w:val="1"/>
                <w:color w:val="auto"/>
                <w:w w:val="86"/>
              </w:rPr>
              <w:t>(a development stage company)</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0" w:type="dxa"/>
            <w:vAlign w:val="bottom"/>
          </w:tcPr>
          <w:p>
            <w:pPr>
              <w:jc w:val="center"/>
              <w:ind w:left="2152"/>
              <w:spacing w:after="0"/>
              <w:rPr>
                <w:sz w:val="20"/>
                <w:szCs w:val="20"/>
                <w:color w:val="auto"/>
              </w:rPr>
            </w:pPr>
            <w:r>
              <w:rPr>
                <w:rFonts w:ascii="Arial" w:cs="Arial" w:eastAsia="Arial" w:hAnsi="Arial"/>
                <w:sz w:val="18"/>
                <w:szCs w:val="18"/>
                <w:b w:val="1"/>
                <w:bCs w:val="1"/>
                <w:color w:val="auto"/>
                <w:w w:val="96"/>
              </w:rPr>
              <w:t>CONSOLIDATED BALANCE SHEETS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28,034,601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27,804,379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51,856,571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1,624,682</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2,443,612</w:t>
            </w:r>
          </w:p>
        </w:tc>
        <w:tc>
          <w:tcPr>
            <w:tcW w:w="60" w:type="dxa"/>
            <w:vAlign w:val="bottom"/>
            <w:shd w:val="clear" w:color="auto" w:fill="CCEEFF"/>
          </w:tcPr>
          <w:p>
            <w:pPr>
              <w:spacing w:after="0"/>
              <w:rPr>
                <w:sz w:val="18"/>
                <w:szCs w:val="18"/>
                <w:color w:val="auto"/>
              </w:rPr>
            </w:pPr>
          </w:p>
        </w:tc>
      </w:tr>
      <w:tr>
        <w:trPr>
          <w:trHeight w:val="221"/>
        </w:trPr>
        <w:tc>
          <w:tcPr>
            <w:tcW w:w="820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57,463,662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73,079,121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493,087</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673,317</w:t>
            </w:r>
          </w:p>
        </w:tc>
        <w:tc>
          <w:tcPr>
            <w:tcW w:w="60" w:type="dxa"/>
            <w:vAlign w:val="bottom"/>
            <w:shd w:val="clear" w:color="auto" w:fill="CCEEFF"/>
          </w:tcPr>
          <w:p>
            <w:pPr>
              <w:spacing w:after="0"/>
              <w:rPr>
                <w:sz w:val="18"/>
                <w:szCs w:val="18"/>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2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57,956,749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717,110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4,074,180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3,619,861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4,582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518,265</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5,314,137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7,140,927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0"/>
              </w:rPr>
              <w:t>Deferred rent</w:t>
            </w:r>
          </w:p>
        </w:tc>
        <w:tc>
          <w:tcPr>
            <w:tcW w:w="7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Common stock, $0.001 par value; 30,000,000 shares authorized at June 30, 2008 and 20,000,000 shares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authorized at December 31, 2007; 12,072,027 shares issued at June 30, 2008 and December 31, 2007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274,788,215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273,189,063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(44,740)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(131,466)</w:t>
            </w: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w w:val="96"/>
              </w:rPr>
              <w:t>Treasury stock, at cost; 109,780 shares at June 30, 2008 and 124,581 shares at December 31, 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(1,360,720)</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(1,404,088)</w:t>
            </w: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(220,752,215)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(205,057,380)</w:t>
            </w:r>
          </w:p>
        </w:tc>
      </w:tr>
      <w:tr>
        <w:trPr>
          <w:trHeight w:val="230"/>
        </w:trPr>
        <w:tc>
          <w:tcPr>
            <w:tcW w:w="82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52,642,612</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66,608,201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57,956,749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2,243,778</w:t>
            </w:r>
          </w:p>
        </w:tc>
        <w:tc>
          <w:tcPr>
            <w:tcW w:w="1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17,855,366</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8,322,189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32,060,611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128,167,236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2,216,146</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3,045,782</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4,797,408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6,059,514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4,459,924</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20,901,148</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13,119,597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38,120,125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204,110,077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(4,459,924)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(20,901,148)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(13,119,597)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(38,120,125)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(202,551,850)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Impairment charge on marketable securities</w:t>
            </w: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(936,420)</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(3,295,621)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(3,295,621)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(623,389)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509,568</w:t>
            </w:r>
          </w:p>
        </w:tc>
        <w:tc>
          <w:tcPr>
            <w:tcW w:w="1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1,121,330</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1,343,919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2,436,747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17,101,914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(4,892,234)</w:t>
            </w:r>
          </w:p>
        </w:tc>
        <w:tc>
          <w:tcPr>
            <w:tcW w:w="1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(19,779,818)</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(15,694,835)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(35,683,378)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(189,389,093)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preferred stock</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5"/>
              </w:rPr>
              <w:t>feature on Series C redeemable convertible preferred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(4,892,234)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(19,779,818)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(15,694,835)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(35,683,378)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(220,752,215)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Shares used to compute basic and diluted net loss per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12,105,415</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11,754,181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12,094,592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11,575,550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w w:val="92"/>
              </w:rPr>
              <w:t>Six months ended June 30, 2008,</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(15,694,835)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(35,683,378)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(189,389,093)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1,599,152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2,095,325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42,362,402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(706,703)</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(155,677)</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(2,491,417)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Impairment charge on marketable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3,295,621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3,295,621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818,930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2,761,679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4"/>
              </w:rPr>
              <w:t>Accounts payable, accrued expenses, income taxes payable and deferred rent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(1,727,762)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(102,338)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518,265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(12,337,705)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(28,769,801)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(141,046,465)</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(16,509,045)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Maturities or sales of marketable securities available-for-sale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23,550,000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39,215,285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348,553,451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(317,207)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21,550,000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22,451,057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(30,631,969)</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10,638,592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120,890,566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43,368</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10,638,592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199,713,035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9,255,663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4,319,848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28,034,601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18,778,938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8,334,496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28,034,601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12,654,344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28,034,601</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marketable securities available-for-sale</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(39,841)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were incorporated in the state of Delaware in September 2000. 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Since we have not begun principal operations of commercializing any of our product candidates, we are considered to be a development stage company as defined in Statement of Financial Accounting Standards (“SFAS”) No. 7, </w:t>
      </w:r>
      <w:r>
        <w:rPr>
          <w:rFonts w:ascii="Arial" w:cs="Arial" w:eastAsia="Arial" w:hAnsi="Arial"/>
          <w:sz w:val="16"/>
          <w:szCs w:val="16"/>
          <w:i w:val="1"/>
          <w:iCs w:val="1"/>
          <w:color w:val="auto"/>
        </w:rPr>
        <w:t>Accounting and Reporting by Development Stage Enterprises.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prepared the accompanying unaudited consolidated financial statements in accordance with accounting principles generally accepted in the United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for interim financial information. Accordingly, they do not include all of the information and disclosures required by generally accepted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for complete financial statements. In the opinion of management, all adjustments (consisting of normal recurring adjustments) considered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for a fair presentation of the financial position, results of operations and cash flow for the interim period presented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three months and six months ended June 30, 2008 are not necessarily indicative of the results that may be expected for the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or for any other period. For further information, see the financial statements and disclosures thereto for the year ended December 31, 2007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as filed with the Securities and Exchange Commission on March 17,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prepared the accompanying unaudited consolidated financial statements in conformity with accounting principles generally accepted in the United States of America, which requires management to make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allows an entity to voluntarily choose to measure certain financial assets and liabilities at fair value. SFAS No. 159 was effective for fiscal years beginning after November 15, 2007. Effective January 1, 2008, we adopted SFAS No. 159, which resulted in no impact to our consolidated financial statements as we did not elect to measure any eligible financial assets or liabilities at fair value.</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and related disclosures regarding our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As stated in Note 1, Interim Financial Information, above, we adopted SFAS No. 157 as of January 1, 2008. As defined in SFAS No. 157, fair value is based on the price that would be received to sell an asset or would be paid to transfer a liability in an orderly transaction between market participants at the measurement date. To increase the comparability and consistency of fair value measurements, SFAS No. 157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0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 party which reflect those inputs that a market participant would use. The fair value hierarchy gives the lowest priority to Level 3 inputs.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June 30, 2008, cash and cash equivalents (instruments with maturities of three months or less at the date of purchase) were $28.0 million and were primarily invested in money market funds.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June 30, 2008, marketable securities available-for-sale consisted solely of auction rate securities (“ARS”). All government-sponsored securities and corporate debt securities held at December 31, 2007 either matured or were redeemed at par value during the six months ended June 30, 2008 and the proceeds were reinvested in cash equivalents. The ARS primarily have stated maturities that are structured with short-term holding periods. The length of the holding period is determined at the original issuance of each ARS investment. ARS holding periods generally range from seven to 63 days. As of December 31, 2007, we had $47.7 million of ARS with stated maturity dates ranging from 2022 to 2044 and reset dates primarily ranging from 7 to 63 days. As of June 30, 2008, we had $27.8 million of ARS with stated maturity dates ranging from 2022 to 2044 and reset dates ranging from 7 to 63 days.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 2008</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8"/>
              </w:rPr>
              <w:t>December 31, 2007</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3"/>
              </w:rPr>
              <w:t>Gross Unrealized</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Gains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Losses</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$ 27,804,379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9"/>
              </w:rPr>
              <w:t>$ 27,804,379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$ 47,800,000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(98,975)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47,701,025</w:t>
            </w:r>
          </w:p>
        </w:tc>
        <w:tc>
          <w:tcPr>
            <w:tcW w:w="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700,700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700,054</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10,603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3,455,492</w:t>
            </w:r>
          </w:p>
        </w:tc>
        <w:tc>
          <w:tcPr>
            <w:tcW w:w="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$ 27,804,379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$ 27,804,379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$ 51,945,589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10,603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(99,621)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51,856,571</w:t>
            </w:r>
          </w:p>
        </w:tc>
      </w:tr>
      <w:tr>
        <w:trPr>
          <w:trHeight w:val="20"/>
        </w:trPr>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measure our marketable securities available-for-sale on a recurring basis. The fair value of these current financial assets was determined by using the following inputs at June 30, 2008: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 at Reporting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6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6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6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w w:val="78"/>
              </w:rPr>
              <w:t>Assets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87"/>
              </w:rPr>
              <w:t>(Level 1)</w:t>
            </w:r>
          </w:p>
        </w:tc>
        <w:tc>
          <w:tcPr>
            <w:tcW w:w="64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 available-for-sale(1)</w:t>
            </w:r>
          </w:p>
        </w:tc>
        <w:tc>
          <w:tcPr>
            <w:tcW w:w="3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$24,372,280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Auction rate securities available-for-sale(1)</w:t>
            </w:r>
          </w:p>
        </w:tc>
        <w:tc>
          <w:tcPr>
            <w:tcW w:w="154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3,432,099</w:t>
            </w:r>
          </w:p>
        </w:tc>
        <w:tc>
          <w:tcPr>
            <w:tcW w:w="1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3,432,099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27,804,379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27,804,379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the Level 3 reconciliation table below and the respective notes for further information on the method of measuring fair value.</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ARS investments, all of which had AAA ratings at the time of purchase, principally represent interests in municipal bonds, government-guaranteed student loans, insurance notes and portfolios of securities (primarily commercial paper). At June 30, 2008, our ARS consisting of private placement securities had been downgraded to either AA or AA. At June 30, 2008, $25.4 million of our ARS consisted primarily of municipal bonds and government-guaranteed student loan securities and $2.4 million of our ARS consisted of private placement securities. None of the underlying collateral for our ARS consisted of subprime mortgages or collateralized debt obligations. Due to continued negative conditions in the global credit markets, a significant portion of our ARS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investments continue to fail at auction with little to no trades in either the primary or the secondary market. As a result, there is a lack of transactions and associated pricing data available to provide a Level 1 or Level 2 basis for determining fair value of such investments. As such, we referenced pricing models provided by the respective brokerage firms holding the ARS, which were deemed to be reasonable pricing models given management’s own valuation analysis using a discounted cash flow model, the credit quality of the issuer and correspondence from the issuer, if applicable, to determine the fair value of the ARS investments. The table below reconciles amortized cost at December 31, 2007 with fair value at June 30, 2008, as determined by Level 3 (unobservable) inputs: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Sales or</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Redemptions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Securities at Par</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 Cost at</w:t>
            </w:r>
          </w:p>
        </w:tc>
        <w:tc>
          <w:tcPr>
            <w:tcW w:w="1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from 1/1/08 to</w:t>
            </w:r>
          </w:p>
        </w:tc>
        <w:tc>
          <w:tcPr>
            <w:tcW w:w="32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 Charge at</w:t>
            </w:r>
          </w:p>
        </w:tc>
        <w:tc>
          <w:tcPr>
            <w:tcW w:w="3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6/30/08 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12/31/07</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6/30/08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6/30/08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on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 available-for-sale(1)</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41,400,000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(14,100,000)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(2,927,720)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Auction rate securities available-for-sale(2)</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6,400,000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(367,901)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3,432,099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47,800,000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(16,700,000)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(3,295,621)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27,804,379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Aggregated fair value reported at June 30, 2008 reflects fair value primarily as determined by the brokerage firm for the securities it held. The inputs taken into consideration in the brokerage pricing model to calculate fair value include tax status (taxable vs. tax exempt), credit quality of the issuer, assumed maturity (generally two to three years), insurance wraps and the portfolio composition. In addition, the brokerage firm made assumptions regarding future cash flows, the likelihood of redemption and yields or spreads of trading instruments believed to be similar or comparable to the ARS. Management reviewed the inputs utilized by the brokerage firm related to tax status, credit quality of the insurer and maturity. Management also tested the valuation calculated by the brokerage firm using a discounted cash flow model in which a bond maturity of one year through five years was utilized and the annual coupon rate was set at the U.S. Treasury Department published average of the bond equivalent rates of the 91-day Treasury bills auctioned during the quarter ending June 30, 2008 (which was the Federal Family Education Loan Program special allowance rate for the quarter ending June 30, 2008) plus 120 basis points. Management believes that using this interest rate is reasonable given that a majority of our ARS portfolio is collateralized by student loans which are guaranteed by the U.S. government under the Federal Family Education Loan Program. Using this alternative methodology, aggregated fair value for these securities, as calculated by management, ranged between $26.5 million with a one-year maturity, $25.8 million with a two-year maturity and $23.7 million with a five-year maturity.</w:t>
      </w:r>
    </w:p>
    <w:p>
      <w:pPr>
        <w:spacing w:after="0" w:line="5"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Aggregated fair value reported at June 30, 2008 reflects fair value primarily as determined by the brokerage firm for the securities it held. The inputs taken into consideration in the brokerage firm pricing model to calculate fair value include maximum interest rate per the prospectus, credit quality of the issuer, the final maturity, the underlying collateral and the results of a proprietary four-year model. In addition, assumptions were made by the brokerage firm regarding the likelihood of redemption and the market value of similar or comparable ARS. Management reviewed the inputs utilized by the brokerage firm related to maximum interest rate, credit quality of the issuer and final maturity. Management also tested the valuation calculated by the brokerage firm using a discounted cash flow model in which a bond maturity of one year through five years was utilized and the annual coupon rate was set at LIBOR plus the spread as indicated in the respective security prospectus or the U.S. Treasury Department published average of the bond equivalent rates of the 91-day Treasury bills auctioned during the quarter ending June 30, 2008 (which was the Federal Family Education Loan Program special allowance rate for the quarter ending June 30, 2008) plus 120 basis points for the ARS collateralized by student loans. Using this alternative methodology, aggregated fair value for these securities, as calculated by management, ranged between $3.6 million with a one-year maturity, $3.4 million with a two-year maturity and $3.0 million with a four-year maturity.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For the three months ended June 30, 2008, we adjusted the carrying value of our entire ARS portfolio by an additional net $0.9 million to reflect a further reduction in the market value of our ARS due to continued failed auctions for all of our ARS. A failed auction results in a lack of liquidity for the security at issue but does not signify a default by the issuer; upon an auction failure, the interest rates reset based on a formula contained in the security, which rate is generally higher than the current market rate. Although we intend to hold our ARS until such time as we need to utilize the funds for operations, we took the additional net $0.9 million impairment charge, which we recorded as a realized loss in our consolidated statement of operations, because management determined that the decline in the market value of our ARS, as supported by management’s review of the respective brokerage firm’s fair value calculations, was other-than-temporary given the continued illiquidity of the ARS market, the uncertainty of when or if liquidity will return to the ARS market and the timing of when we may be required to liquidate our ARS for operating purposes. For the six months ended June 30, 2008, the carrying value of our ARS was lowered by $3.3 million. With this other-than-temporary write-down of our ARS to fair value, we believe that they continue to be properly classified as current assets in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Net loss per share is presented as basic and diluted net loss per share. 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(of which we have none outstanding), stock options and warrants are considered to be common stock equivalents and are only included in the calculation of diluted net loss per share when their effect is dilutive.</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Common stock equivalents of options to purchase 2,578,777 shares of common stock and warrants to purchase 50,000 shares of common stock and common stock equivalents of options to purchase 2,066,153 shares of common stock and warrants to purchase 417,828 shares of common stock for the three months and six months ended June 30, 2008 and 2007, respectively, are excluded from the calculations of diluted loss per share for all periods presented because the effect is non-dilutive.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We have applied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Comprehensive loss did not differ significantly from net loss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which is the successor to the 2000 Plan. Stock options issued to non-employees were recorded at their fair value as determined in accordance with EITF Issue No. 96-18, </w:t>
      </w:r>
      <w:r>
        <w:rPr>
          <w:rFonts w:ascii="Arial" w:cs="Arial" w:eastAsia="Arial" w:hAnsi="Arial"/>
          <w:sz w:val="18"/>
          <w:szCs w:val="18"/>
          <w:i w:val="1"/>
          <w:iCs w:val="1"/>
          <w:color w:val="auto"/>
        </w:rPr>
        <w:t>Accounting for Equity Instruments that are Issued to Other than Employees for Acquiring, or in Conjunction with 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or Services. </w:t>
      </w:r>
      <w:r>
        <w:rPr>
          <w:rFonts w:ascii="Arial" w:cs="Arial" w:eastAsia="Arial" w:hAnsi="Arial"/>
          <w:sz w:val="18"/>
          <w:szCs w:val="18"/>
          <w:color w:val="auto"/>
        </w:rPr>
        <w:t>Effective January 1, 2006, the benefits provided under these plans constitute share-based compensation subject to the provisions of SFAS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the three months and six months ended June 30, 2008 and 2007, share-based compensation expense related to stock options was recorded as a component of general and administrative expense and research and development expense. There were no stock option exercises during the three months and six months ended June 30, 2008. As of June 30, 2008, there was $7.5 million of unamortized compensation cost related to unvested stock option awards, which is expected to be recognized over a remaining weighted-average vesting period of 2.3 years.</w:t>
      </w:r>
    </w:p>
    <w:p>
      <w:pPr>
        <w:spacing w:after="0" w:line="11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exercise price of stock options to purchase 27,600 and 604,540 shares of common stock granted during the three months and six months ended June 30, 2008, respectively, was equal to market value on the date of grant and the share-based compensation expense for such stock options is reflected in operating results for the three months and six months ended June 30, 2008.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5"/>
              </w:rPr>
              <w:t>Three months ended</w:t>
            </w:r>
          </w:p>
        </w:tc>
        <w:tc>
          <w:tcPr>
            <w:tcW w:w="21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5"/>
              </w:rPr>
              <w:t>Three months ended</w:t>
            </w:r>
          </w:p>
        </w:tc>
        <w:tc>
          <w:tcPr>
            <w:tcW w:w="20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4"/>
              </w:rPr>
              <w:t>Six months ended</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r>
      <w:tr>
        <w:trPr>
          <w:trHeight w:val="149"/>
        </w:trPr>
        <w:tc>
          <w:tcPr>
            <w:tcW w:w="3880" w:type="dxa"/>
            <w:vAlign w:val="bottom"/>
          </w:tcPr>
          <w:p>
            <w:pPr>
              <w:spacing w:after="0"/>
              <w:rPr>
                <w:sz w:val="12"/>
                <w:szCs w:val="12"/>
                <w:color w:val="auto"/>
              </w:rPr>
            </w:pPr>
          </w:p>
        </w:tc>
        <w:tc>
          <w:tcPr>
            <w:tcW w:w="21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June 30,</w:t>
            </w:r>
          </w:p>
        </w:tc>
        <w:tc>
          <w:tcPr>
            <w:tcW w:w="21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June 30,</w:t>
            </w:r>
          </w:p>
        </w:tc>
        <w:tc>
          <w:tcPr>
            <w:tcW w:w="20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38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9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0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9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1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3.49%</w:t>
            </w:r>
          </w:p>
        </w:tc>
        <w:tc>
          <w:tcPr>
            <w:tcW w:w="21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5.03%</w:t>
            </w:r>
          </w:p>
        </w:tc>
        <w:tc>
          <w:tcPr>
            <w:tcW w:w="2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180" w:type="dxa"/>
            <w:vAlign w:val="bottom"/>
            <w:gridSpan w:val="2"/>
          </w:tcPr>
          <w:p>
            <w:pPr>
              <w:jc w:val="right"/>
              <w:ind w:right="840"/>
              <w:spacing w:after="0"/>
              <w:rPr>
                <w:sz w:val="20"/>
                <w:szCs w:val="20"/>
                <w:color w:val="auto"/>
              </w:rPr>
            </w:pPr>
            <w:r>
              <w:rPr>
                <w:rFonts w:ascii="Arial" w:cs="Arial" w:eastAsia="Arial" w:hAnsi="Arial"/>
                <w:sz w:val="18"/>
                <w:szCs w:val="18"/>
                <w:color w:val="auto"/>
              </w:rPr>
              <w:t>69.00%</w:t>
            </w:r>
          </w:p>
        </w:tc>
        <w:tc>
          <w:tcPr>
            <w:tcW w:w="2180" w:type="dxa"/>
            <w:vAlign w:val="bottom"/>
            <w:gridSpan w:val="2"/>
          </w:tcPr>
          <w:p>
            <w:pPr>
              <w:jc w:val="right"/>
              <w:ind w:right="840"/>
              <w:spacing w:after="0"/>
              <w:rPr>
                <w:sz w:val="20"/>
                <w:szCs w:val="20"/>
                <w:color w:val="auto"/>
              </w:rPr>
            </w:pPr>
            <w:r>
              <w:rPr>
                <w:rFonts w:ascii="Arial" w:cs="Arial" w:eastAsia="Arial" w:hAnsi="Arial"/>
                <w:sz w:val="18"/>
                <w:szCs w:val="18"/>
                <w:color w:val="auto"/>
              </w:rPr>
              <w:t>69.00%</w:t>
            </w:r>
          </w:p>
        </w:tc>
        <w:tc>
          <w:tcPr>
            <w:tcW w:w="2000" w:type="dxa"/>
            <w:vAlign w:val="bottom"/>
            <w:gridSpan w:val="2"/>
          </w:tcPr>
          <w:p>
            <w:pPr>
              <w:jc w:val="right"/>
              <w:ind w:right="840"/>
              <w:spacing w:after="0"/>
              <w:rPr>
                <w:sz w:val="20"/>
                <w:szCs w:val="20"/>
                <w:color w:val="auto"/>
              </w:rPr>
            </w:pPr>
            <w:r>
              <w:rPr>
                <w:rFonts w:ascii="Arial" w:cs="Arial" w:eastAsia="Arial" w:hAnsi="Arial"/>
                <w:sz w:val="18"/>
                <w:szCs w:val="18"/>
                <w:color w:val="auto"/>
              </w:rPr>
              <w:t>69.00%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4.0</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19"/>
                <w:szCs w:val="19"/>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weighted average volatility of our stock price, factoring in changes in the daily share price, the volatility of certain peers within our industry sector and management’s judgment. We have not paid any dividends on our common stock since our inception, and we do not anticipate paying any dividends on our common stock in the foreseeable future. The expected option term represents the weighted average of the expected term of our stock options and the expected term of the stock options of our peer group.</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months and six months ended June 30, 2008 was based on stock option awards ultimately expected to vest, such expense should be reduced for estimated forfeitures. SFAS No. 123R requires forfeitures to be estimated at the time of grant and revised, if necessary, in subsequent periods if actual forfeitures differ from those estimates. We have very few employees, our turnover has been minimal and our stock options vest monthly; therefore, we do not estimate any forfeitures in 2008 and will adjust our stock-based compensation expense should any forfeitures occur. The weighted-average fair value of each stock option granted during the three months and six ended June 30, 2008, estimated as of the grant date using the Black-Scholes option valuation model, was $4.52 and $4.42 per stock option, respectively, whereas the weighted-average fair value of each stock option granted during the three months and six months ended June 30, 2007 was $3.19 per stock option and $5.27 per stock option,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adopted the provisions of Interpretation No. 48, </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 xml:space="preserve"> (“FIN 48”), on January 1, 2007. As a result of the adoption of FIN 48, we had no cumulative effect adjustment, and therefore no change to the January 1, 2007 balance in retained earnings. At January 1, 2007, December 31, 2007 and June 30, 2008, we had no unrecognized tax benefits that, if recognized, would affect our effective income tax rate in future periods.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December 31, 2007 and no accrued interest or penalties at June 30,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adoption of FIN 48 did not impact our consolidated financial condition, results of operations or cash flows. At January 1, 2007 and June 30, 2008, we had net deferred tax assets of $37.1 million. The deferred tax assets are primarily composed of federal and state tax net operating loss (“NOL”) carryforwards and federal and state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determined that an ownership change occurred on May 28, 2003 and September 2, 2004, in which approximately $0.5 million on each date, were estimated as the annual limitation. These limitations will result in the expiration of unused federal net operating loss carryforwards and federal tax credits in the amount of $8.8 million and $0.2 million, respectively. The January 1, 2007 net deferred tax asset was reduced by $3.3 million, with a corresponding reduction of the valuation allowance. In each period since our inception, we have recorded a valuation allowance for the full amount of our deferred tax asset, as the realization of the deferred tax asset is uncertain. As a result, for the three months and six months ended June 30, 2008, we have not recorded any federal or state income tax benefit in our consolidated statement of operations.</w:t>
      </w:r>
    </w:p>
    <w:p>
      <w:pPr>
        <w:spacing w:after="0" w:line="202" w:lineRule="exact"/>
        <w:rPr>
          <w:sz w:val="20"/>
          <w:szCs w:val="20"/>
          <w:color w:val="auto"/>
        </w:rPr>
      </w:pPr>
    </w:p>
    <w:p>
      <w:pPr>
        <w:ind w:right="87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182" w:lineRule="exact"/>
        <w:rPr>
          <w:sz w:val="20"/>
          <w:szCs w:val="20"/>
          <w:color w:val="auto"/>
        </w:rPr>
      </w:pPr>
    </w:p>
    <w:p>
      <w:pPr>
        <w:ind w:right="966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of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stock option is granted.</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three months ended June 30, 2008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44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1,990,078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4420" w:type="dxa"/>
            <w:vAlign w:val="bottom"/>
            <w:gridSpan w:val="3"/>
          </w:tcPr>
          <w:p>
            <w:pPr>
              <w:jc w:val="right"/>
              <w:ind w:right="880"/>
              <w:spacing w:after="0"/>
              <w:rPr>
                <w:sz w:val="20"/>
                <w:szCs w:val="20"/>
                <w:color w:val="auto"/>
              </w:rPr>
            </w:pPr>
            <w:r>
              <w:rPr>
                <w:rFonts w:ascii="Arial" w:cs="Arial" w:eastAsia="Arial" w:hAnsi="Arial"/>
                <w:sz w:val="18"/>
                <w:szCs w:val="18"/>
                <w:color w:val="auto"/>
              </w:rPr>
              <w:t>604,540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Cancelled</w:t>
            </w:r>
          </w:p>
        </w:tc>
        <w:tc>
          <w:tcPr>
            <w:tcW w:w="284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(15,841)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2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4"/>
              </w:rPr>
              <w:t>2,578,777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aggregate intrinsic value of stock options exercised during the three months and six months ended June 30, 2008 was $0, outstanding at June 30, 2008 was $2.7 million and exercisable at June 30, 2008 was $0.3 million. Of the total stock options outstanding as of June 30, 2008, options to purchase 1,131,023 shares of common stock are exercisable, with a weighted average exercise price of $12.56 per share and a weighted average contractual life of 7.9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The estimated fair value of each ESPP purchase is determined on the date the offering period begins using the Black-Scholes option valuation model. For the three and six months ended June 30, 2008, 0 shares and 14,801 shares of common stock were issued, respectively. At June 30, 2008, 280,172 shares of common stock were available for future issuance under the ESPP.</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2007 included in our Annual Report on Form 10-K filed with the Securities and Exchange Commission, or SEC, on March 17, 2008. Past operating results are not necessarily indicative of results that may occur in future periods.</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may include, but are not limited to, statements preceded by, followed by or that otherwise include the words “believes,” “expects,” “anticipates,” “intends,” “estimates,” “projects,” “can,” “could,” “may,” “will,” “would” or similar expressions.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development stage company. We have incurred significant net losses since our inception. At June 30, 2008, from inception, our accumulated deficit was approximately $220.8 million, including $42.4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over the long-term as we expand our research and development programs and acquire or in-license products, technologies or businesses that are complementary to our own.</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pipeline includes six clinical-stage product candidates and two preclinical-stage product candidates. At present, we plan to focus our resources on the development of the following two prioritized product development programs:</w:t>
      </w:r>
    </w:p>
    <w:p>
      <w:pPr>
        <w:spacing w:after="0" w:line="51" w:lineRule="exact"/>
        <w:rPr>
          <w:sz w:val="20"/>
          <w:szCs w:val="20"/>
          <w:color w:val="auto"/>
        </w:rPr>
      </w:pPr>
    </w:p>
    <w:p>
      <w:pPr>
        <w:jc w:val="both"/>
        <w:ind w:left="900" w:right="14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for which we initiated a Phase IIb clinical trial in the first quarter of 2008 to determine the safety and efficacy of MN-221 in patients with severe, acute exacerbations of asthma, or status asthmaticus, in the emergency room and a Phase IIa clinical trial in the second quarter of 2008 to determine the safety and efficacy of MN-221 with more prolonged infusions and different infusion rates in patients with moderate to severe, but stable asthma; and</w:t>
      </w:r>
    </w:p>
    <w:p>
      <w:pPr>
        <w:spacing w:after="0" w:line="3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MN-166 for the treatment of multiple sclerosis, or MS, for which we completed a Phase II clinical trial in Eastern Europe in the second quarter of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proof-of-concept Phase II clinical trials, we will either continue to pursue development independently, as we presently intend with MN-221, or establish strategic collaborations to support Phase III clinical development, as we presently intend with MN-166. Following the completion of the Phase II clinical trial for MN-166, we are not planning to pursue any further significant clinical development of MN-166 until such time that we are able to secure a strategic collaboration to advance MN-166 into Phase III clinical development.</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Beyond MN-221 for the treatment of acute exacerbations of asthma and MN-166 for the treatment of MS, the remainder of our pipeline will not be the subject of significant development activity, except as required to maintain our license rights or as otherwise deemed necessary to maximize the value of such product candidates. We will pursue a variety of initiatives to monetize these product candidates. Our other product development programs consist of the following:</w:t>
      </w:r>
    </w:p>
    <w:p>
      <w:pPr>
        <w:spacing w:after="0" w:line="62" w:lineRule="exact"/>
        <w:rPr>
          <w:sz w:val="20"/>
          <w:szCs w:val="20"/>
          <w:color w:val="auto"/>
        </w:rPr>
      </w:pPr>
    </w:p>
    <w:p>
      <w:pPr>
        <w:ind w:left="900" w:right="6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IIa clinical trial for the treatment of insomnia in the fourth quarter of 2007;</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Ib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is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is in preclinical development.</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February 1, 2008, we announced additional data from a double-blind analysis of the first year of treatment from our two-year Phase II clinical trial of MN-166 for the treatment of MS. The analysis showed that MN-166 decreased the formation of black holes, which are permanent brain lesions believed to indicate the death of nerves in the brain, on magnetic resonance imaging, or MRI, in MS patients, adding support to our belief that MN-166 may provide neuroprotection in relapsing MS. Data demonstrated that a 60 mg per day dosing regimen of MN-166 significantly reduced the proportion of new T1 gadolinium-enhancing or new T2 lesions identified at month two of the study that evolved into persistent black holes at month ten compared to placebo (RR 0.63, p=0.011). Treatment with a 30 mg per day dosing regimen of MN-166 also showed a trend toward reduced risk of new lesion evolution to persistent black holes compared to placebo (RR 0.735, p=0.074).</w:t>
      </w:r>
    </w:p>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March 31, 2008, we announced the initiation of a Phase IIb clinical trial for MN-221 in patients with severe, acute exacerbations of asthma, or status asthmaticus, by holding the investigator’s meeting for such study. This randomized, modified single-blind, placebo-controlled, dose escalation Phase IIb clinical trial, which is designed to determine the safety and efficacy of MN-221 in patients with severe, acute exacerbations of asthma will involve approximately 36 patients in three dose cohorts at approximately eight emergency department clinical sites in the United States.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April 7, 2008, we announced the results of a completed Phase II clinical trial of MN-166 for the treatment of MS. The two-year randomized, double-blind, placebo-controlled Phase II clinical trial included 297 patients with relapsing MS. We previously announced the one-year results for this study on March 27, 2007.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second year of the study, all patients received active drug.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in those patients receiving MN-166 at either 30 or 60 mg per day for 24 months than in those patients receiving the drug for 12 months (p=0.026). Sustained disability progression was measured as a greater than or equal to 1.0 point increase from baseline in the Expanded Disability Status Scale, or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Persistent Black Holes, or PBHs, an MRI indicator of neuronal loss, eight months later at month ten by 37%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w:t>
      </w:r>
    </w:p>
    <w:p>
      <w:pPr>
        <w:spacing w:after="0" w:line="1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June 23, 2008, we announced the initiation of dosing for a Phase IIa clinical trial for MN-221 in patients with moderate to severe, but stable asthma. This randomized, open-label, placebo-controlled Phase IIa clinical trial, which is designed to determine the safety and efficacy of MN-221 with more prolonged infusions and different infusion rates in patients with moderate to severe asthma, will involve approximately 15 to 25 patients in two dose cohorts at four clinical sites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have not generated any revenues from licensing, achievement of milestones or product sales to date, and we do not expect to generate any revenues from licensing, achievement of milestones or product sales until we are able to commercialize our product candidates ourselves or execute license or collaboration agreements with third parties. Any revenues generated prior to fiscal year 2007 were from the performance of development management services under master service agreements with Asahi Kasei Pharma Corporation and Argenes, Inc., pursuant to which we billed consulting fees and our pass-through clinical contract costs. We will not generate any revenues from either of these agreements in fiscal year 2008 or thereafter.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research and development expenses primarily consist of costs incurred to further our research and development activities, including feasibility and toxicology studies, regulatory activities, licensing and preclinical and clinical development activities, for our product candidates. These research and development expenses include external costs, such as fees paid to external service providers and vendors to conduct clinical trials, manufacture our product candidates and provide various other products and services related to our product development programs, and internal costs of compensation and other expenses for research and development personnel, supplies, materials, facility costs and depreciation.</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0"/>
              </w:rPr>
              <w:t>Three months ended</w:t>
            </w:r>
          </w:p>
        </w:tc>
        <w:tc>
          <w:tcPr>
            <w:tcW w:w="1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50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Disease/ Indication</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Candidate</w:t>
            </w:r>
          </w:p>
        </w:tc>
        <w:tc>
          <w:tcPr>
            <w:tcW w:w="50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70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Acute exacerbations of asthma</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MN-166</w:t>
            </w:r>
          </w:p>
        </w:tc>
        <w:tc>
          <w:tcPr>
            <w:tcW w:w="5000" w:type="dxa"/>
            <w:vAlign w:val="bottom"/>
          </w:tcPr>
          <w:p>
            <w:pPr>
              <w:spacing w:after="0"/>
              <w:rPr>
                <w:sz w:val="20"/>
                <w:szCs w:val="20"/>
                <w:color w:val="auto"/>
              </w:rPr>
            </w:pPr>
            <w:r>
              <w:rPr>
                <w:rFonts w:ascii="Arial" w:cs="Arial" w:eastAsia="Arial" w:hAnsi="Arial"/>
                <w:sz w:val="18"/>
                <w:szCs w:val="18"/>
                <w:color w:val="auto"/>
              </w:rPr>
              <w:t>Multiple sclerosis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1,967</w:t>
            </w:r>
          </w:p>
        </w:tc>
        <w:tc>
          <w:tcPr>
            <w:tcW w:w="500" w:type="dxa"/>
            <w:vAlign w:val="bottom"/>
          </w:tcPr>
          <w:p>
            <w:pPr>
              <w:jc w:val="right"/>
              <w:spacing w:after="0"/>
              <w:rPr>
                <w:sz w:val="20"/>
                <w:szCs w:val="20"/>
                <w:color w:val="auto"/>
              </w:rPr>
            </w:pPr>
            <w:r>
              <w:rPr>
                <w:rFonts w:ascii="Arial" w:cs="Arial" w:eastAsia="Arial" w:hAnsi="Arial"/>
                <w:sz w:val="18"/>
                <w:szCs w:val="18"/>
                <w:color w:val="auto"/>
              </w:rPr>
              <w:t>3,021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MN-001</w:t>
            </w:r>
          </w:p>
        </w:tc>
        <w:tc>
          <w:tcPr>
            <w:tcW w:w="5000" w:type="dxa"/>
            <w:vAlign w:val="bottom"/>
          </w:tcPr>
          <w:p>
            <w:pPr>
              <w:spacing w:after="0"/>
              <w:rPr>
                <w:sz w:val="20"/>
                <w:szCs w:val="20"/>
                <w:color w:val="auto"/>
              </w:rPr>
            </w:pPr>
            <w:r>
              <w:rPr>
                <w:rFonts w:ascii="Arial" w:cs="Arial" w:eastAsia="Arial" w:hAnsi="Arial"/>
                <w:sz w:val="18"/>
                <w:szCs w:val="18"/>
                <w:color w:val="auto"/>
              </w:rPr>
              <w:t>Interstitial cystitis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82</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Solid tumors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MN-305</w:t>
            </w:r>
          </w:p>
        </w:tc>
        <w:tc>
          <w:tcPr>
            <w:tcW w:w="5000" w:type="dxa"/>
            <w:vAlign w:val="bottom"/>
          </w:tcPr>
          <w:p>
            <w:pPr>
              <w:spacing w:after="0"/>
              <w:rPr>
                <w:sz w:val="20"/>
                <w:szCs w:val="20"/>
                <w:color w:val="auto"/>
              </w:rPr>
            </w:pPr>
            <w:r>
              <w:rPr>
                <w:rFonts w:ascii="Arial" w:cs="Arial" w:eastAsia="Arial" w:hAnsi="Arial"/>
                <w:sz w:val="18"/>
                <w:szCs w:val="18"/>
                <w:color w:val="auto"/>
              </w:rPr>
              <w:t>Generalized Anxiety Disorder/insomnia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3,411</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Preterm labor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MN-246</w:t>
            </w:r>
          </w:p>
        </w:tc>
        <w:tc>
          <w:tcPr>
            <w:tcW w:w="5000" w:type="dxa"/>
            <w:vAlign w:val="bottom"/>
          </w:tcPr>
          <w:p>
            <w:pPr>
              <w:spacing w:after="0"/>
              <w:rPr>
                <w:sz w:val="20"/>
                <w:szCs w:val="20"/>
                <w:color w:val="auto"/>
              </w:rPr>
            </w:pPr>
            <w:r>
              <w:rPr>
                <w:rFonts w:ascii="Arial" w:cs="Arial" w:eastAsia="Arial" w:hAnsi="Arial"/>
                <w:sz w:val="18"/>
                <w:szCs w:val="18"/>
                <w:color w:val="auto"/>
              </w:rPr>
              <w:t>Urinary incontinence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375</w:t>
            </w:r>
          </w:p>
        </w:tc>
        <w:tc>
          <w:tcPr>
            <w:tcW w:w="980" w:type="dxa"/>
            <w:vAlign w:val="bottom"/>
            <w:gridSpan w:val="2"/>
          </w:tcPr>
          <w:p>
            <w:pPr>
              <w:jc w:val="right"/>
              <w:ind w:right="33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MN-462</w:t>
            </w:r>
          </w:p>
        </w:tc>
        <w:tc>
          <w:tcPr>
            <w:tcW w:w="5000" w:type="dxa"/>
            <w:vAlign w:val="bottom"/>
          </w:tcPr>
          <w:p>
            <w:pPr>
              <w:spacing w:after="0"/>
              <w:rPr>
                <w:sz w:val="20"/>
                <w:szCs w:val="20"/>
                <w:color w:val="auto"/>
              </w:rPr>
            </w:pPr>
            <w:r>
              <w:rPr>
                <w:rFonts w:ascii="Arial" w:cs="Arial" w:eastAsia="Arial" w:hAnsi="Arial"/>
                <w:sz w:val="18"/>
                <w:szCs w:val="18"/>
                <w:color w:val="auto"/>
              </w:rPr>
              <w:t>Thrombotic disorders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5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Total research and development</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gridSpan w:val="4"/>
            <w:vMerge w:val="continue"/>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2,244</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17,855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8,322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32,060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Adhering to our strategy to focus our resources on our two prioritized product candidates, MN-221 for the treatment of acute exacerbations of asthma and MN-166 for the treatment of MS, we will limit our expenditures on the remainder of our existing product candidates to only those activities necessary to maintain our license rights or maximize the value of such product candidates, if any, while aggressively pursuing a variety of initiatives to monetize such product candidates on appropriate terms. In addition, following completion of all activities related to the Phase II clinical trial of MN-166 for the treatment of MS, we are not currently planning to pursue any further significant clinical development of MN-166 until such time that we secure a strategic collaboration to advance MN-166 into Phase III 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 on Marketable Securities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impairment charge relates to loss recognized on our marketable securities available-for-sale as a result of other-than-temporary declines in the fair value of such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foreign exchange loss is attributable to the weakness of the U.S. dollar against the euro.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income consists primarily of interest earned on our cash, cash equivalents and short-term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2007 as filed with the SEC on March 17, 2008, with the exception of the three accounting standards discussed below which we adopted as of January 1, 2008.</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allows an entity to voluntarily choose to measure certain financial assets and liabilities at fair value. SFAS No. 159 was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November 15, 2007. Effective January 1, 2008, we adopted SFAS No. 159, which resulted in no impact to our consolidated financial statements as we did not elect to measure any eligible financial assets or liabilities at fair value.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notes to our consolidated financial statements for information and related disclosures regarding our fair value measurements.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2008 and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June 30, 2008 or June 30,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Research and development expenses for the three months ended June 30, 2008 were $2.2 million, a decrease of $15.7 million when compared to $17.9 million for the three months ended June 30, 2007. The decrease in research and development expenses resulted from our business decision to focus on the development of our two prioritized assets, MN-221 for the treatment of acute exacerbations of asthma and MN-166 for the treatment of MS. This decrease in research and development expenses primarily included a decrease of $8.3 million related to the termination of a Phase III clinical trial for MN-001 for the treatment of bronchial asthma, a decrease of $1.4 million due to the completion of the two year Phase II clinical trial for MN-166 for the treatment of multiple sclerosis, a decrease of $0.5 million due to the completion of a Phase IIa study for MN-221 for the treatment of acute exacerbations of asthma and a decrease of $5.5 million related primarily to the ceased clinical development of MN-305 for the treatment of Generalized Anxiety Disorder/insomnia, MN-029 for the treatment of solid tumors, MN-221 for the treatment of preterm labor and MN-246 for the treatment of urinary incontinence.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assets, MN-221 for the treatment of acute exacerbations of asthma and MN-166 for the treatment of MS; however, we are not currently planning to pursue any further significant clinical development of MN-166 following completion of the Phase II clinical trial until such time that we secure a strategic collaboration to advance such product candidate into Phase III clinical development. As a result, we expect that our research and development expenses will increase with respect to MN-221 in future periods as we continue development and launch clinical trials in support of potential commercialization of this product candidate and decrease with respect to MN-166 in future periods as we will limit expenditures on this product candidate to those development activities necessary to maximize its value for purposes of securing a partner for Phase III clinical development. Beyond MN-221 and MN-166, we expect that research and development expenses will decrease for the remainder of our existing product candidates in future periods, as we will limit expenditures on these product candidates to those development activities required to maintain our license rights or as otherwise deemed necessary to maximize their value for purposes of monetizing such product candidates.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June 30, 2008, a decrease of $0.8 million when compared to $3.0 million for the three months ended June 30, 2007. The decrease was primarily due to a $0.5 million decrease in stock-based compensation and a $0.3 million decrease in corporate expenses related to consulting fees.</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future development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 on Marketable Securities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hold marketable securities available-for-sale, which consist principally of auction rate securities, or ARS. All of our ARS had AAA ratings at the time they were acquired. At June 30, 2008, our ARS consisting of private placement securities were downgraded to either AA or AA. ARS are generally long-term debt instruments that historically have provided liquidity through a “Dutch” auction process that resets the applicable interest rate at predetermined calendar intervals, typically 7, 28, 35 or 49 days. At June 30, 2007, the ARS market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was functioning properly, we had no failed auctions and the fair value of our ARS portfolio was equivalent to its original purchase price. Through December 31, 2007, only our ARS consisting of private placement securities had experienced failed auctions. However, in February 2008, all of our ARS began experiencing failed auctions. Due to continued negative conditions in the global credit markets, a significant portion of our ARS investments have continued to fail at auction with few to no trades in either the primary or the secondary market. As such, with the required adoption of SFAS No. 157, the fair value of our ARS portfolio was determined primarily on Level 3 criteria as prescribed by the accounting standard, which resulted in our reliance on pricing models and assumptions related to interest rates, maturities and discounted cash flows developed by the respective brokerage firms holding such securities. Based upon an analysis of the fair value of our entire ARS portfolio conducted on a security-by-security basis, we recorded a net $0.9 million write-down of the carrying value of our ARS during the three months ended June 30, 2008. Because of the continued illiquidity of the ARS market, the uncertainty of when and if liquidity will return to the overall ARS market and the timing of when we may be required to liquidate our ARS for operating purposes, we deemed the reduction in the overall fair value of our ARS portfolio as other-than-temporary and recorded the charge in our consolidated statement of operations. At June 30, 2008, the fair value of our ARS consisting primarily of municipal bonds and government-guaranteed student loan securities was $25.4 million, and the fair value of our ARS consisting of private placement securities was $2.4 million. In addition, with the other-than-temporary write-down of the carrying value of our ARS, we consider our ARS to be appropriately classified as current assets in our consolidated financial statements.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Phase II clinical trial for MN-166 for the treatment of MS was conducted in Eastern Europe. At the time we entered into the euro-denominated contract with the contract research organization, or CRO, we selected to manage this clinical trial on our behalf, the U.S. dollar to euro conversion rate had remained fairly constant; therefore, we did not enter into a hedging program to mitigate our foreign exchange exposure. At June 30, 2007, the conversion rate was approximately 1.30 U.S. dollars for each euro, which approximated the conversion rate at the time we entered into the contract. However, with the overall downturn in the U.S. financial markets in the first half of 2008, the conversion rate was approximately 1.60 U.S. dollars for each euro at June 30, 2008. There was relatively little change in the U.S. dollar to euro conversion rate between the first quarter of 2008 and the second quarter of 2008; therefore, the foreign exchange loss recorded during the three months ended June 30, 2008 was minimal.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Interest income primarily consisted of income earned on our cash and investment balances and totaled $0.5 million for the three months ended June 30, 2008, a decrease of $0.6 million when compared to $1.1 million for the three months ended June 30, 2007. The decrease was primarily due to a decrease of our investment balances, partially offset by increased interest rates on certain of our ARS due to interest rate resets as a result of failed auctions for such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2008 and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six months ended June 30, 2008 or June 30,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Research and development expenses for the six months ended June 30, 2008 were $8.3 million, a decrease of $23.8 million when compared to $32.1 million for the six months ended June 30, 2007. The decrease in research and development expenditures primarily resulted from a decrease of $14.9 million related to the termination of a Phase III clinical trial for MN-001 for the treatment of bronchial asthma, a decrease of $0.5 million due to the completion of the two year Phase II clinical trial for MN-166 for the treatment of multiple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sclerosis, a decrease of $9.2 million related primarily to the ceased clinical development of MN-305 for the treatment of Generalized Anxiety Disorder/insomnia, MN-029 for the treatment of solid tumors, MN-221 for the treatment of preterm labor and MN-246 for the treatment of urinary incontinence, offset primarily by a net increase of $0.8 million related to the Phase II clinical trials for MN-221 for the treatment of acute exacerbations of asthma.</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were $4.8 million for the six months ended June 30, 2008, a decrease of $1.3 million when compared to $6.1 million for the six months ended June 30, 2007. The decrease was primarily due to a $0.8 million decrease in stock-based compensation and a $0.5 million decrease related to reduced administrative headcount and consulting fees.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 on Marketable Securities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Based upon an analysis of the fair value of our entire ARS portfolio conducted on a security-by-security basis, we recorded a $3.3 million write-down of the carrying value of our ARS during the six months ended June 30, 2008. Because of the continued illiquidity of the ARS market, the uncertainty of when and if liquidity will return to the overall ARS market and the timing of when we may be required to liquidate our ARS for operating purposes, we deemed the reduction in the overall fair value of our ARS portfolio as other-than-temporary and recorded the charge in our consolidated statement of operations. At June 30, 2008, the fair value of our ARS consisting primarily of municipal bonds and government-guaranteed student loan securities was $25.4 million, and the fair value of our ARS consisting of private placement securities was $2.4 million. In addition, with the other-than-temporary write-down of the carrying value of our ARS, we consider our ARS to be appropriately classified as current assets in our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June 30, 2007, the conversion rate was approximately 1.30 U.S. dollars for each euro, which approximated the conversion rate at the time we entered into the contract with the CRO managing our Phase II clinical trial for MN-166 for the treatment of MS. However, with the overall downturn in the U.S. financial markets in the first half of 2008, the conversion rate was approximately 1.60 U.S. dollars for each euro through June 30, 2008. The 23% change in the U.S. dollar to euro conversion rate through June 30, 2008 resulted in the recording of a foreign exchange loss of $0.6 million related to the revaluation of our euro-denominated liabilities for the six months ended June 30, 2008.</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income primarily consisted of income earned on our cash and investment balances and totaled $1.3 million for the six months ended June 30, 2008, a decrease of $1.1 million when compared to $2.4 million for the six months ended June 30, 2007. The decrease was primarily due to a decrease in our investment balances, partially offset by increased interest rates on certain of our ARS due to interest rate resets as a result of failed auctions for such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the public sale of our common stock and the exercise of founders’ warrants, net of treasury stock repurchases. Through June 30, 2008, we received estimated net proceeds of $201.3 million from the sale of equity securities and warrant and stock option exercises as follows:</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October 2000 and August 2001, we issued and sold 1,000,000 shares of Series A preferred stock for aggregate net proceeds of $10.0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September 2, 2004, we issued and sold 27,677,856 shares of Series C preferred stock for aggregate net proceeds of $43.4 million;</w:t>
      </w:r>
    </w:p>
    <w:p>
      <w:pPr>
        <w:spacing w:after="0" w:line="113" w:lineRule="exact"/>
        <w:rPr>
          <w:rFonts w:ascii="Arial" w:cs="Arial" w:eastAsia="Arial" w:hAnsi="Arial"/>
          <w:sz w:val="16"/>
          <w:szCs w:val="16"/>
          <w:color w:val="auto"/>
        </w:rPr>
      </w:pPr>
    </w:p>
    <w:p>
      <w:pPr>
        <w:ind w:left="900" w:right="2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or IPO, of 3,000,000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900" w:right="200" w:hanging="446"/>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 March 8, 2005, we completed the sale of 157,300 shares of common stock for aggregate proceeds of $5.6 million, net of underwriting discounts and commissions, as a result of the underwriters’ partial exercise of the over-allotment option we granted to them in connection with our IPO;</w:t>
      </w:r>
    </w:p>
    <w:p>
      <w:pPr>
        <w:ind w:left="900" w:right="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At June 30, 2008, we had approximately $55.8 million in cash, cash equivalents and marketable securities available-for-sale, as compared to $70.6 million at December 31, 2007, which consisted of $28.0 million of cash and cash equivalents and $27.8 million of marketable securities available-for-sale. Our investments in ARS principally represent interests in government guaranteed student loans, municipal bonds, insurance notes and portfolios of securities (primarily commercial paper). At June 30, 2008, $25.4 million of our ARS consisted primarily of municipal bonds and government-guaranteed student loan securities and $2.4 million of our ARS consisted of private placement securities. None of the underlying collateral for our ARS consisted of subprime mortgages or collateralized debt obligations. Through the six months ended June 30, 2008, we lowered the carrying value of our entire ARS portfolio by $3.3 million to reflect the reduced market value of our ARS due to continued failed auctions for such securities. Although we intend to hold our ARS until such time as we need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utilize the funds for operations, we took a $3.3 million impairment charge, which we recorded as a realized loss in our consolidated statement of operations, because management determined that the decline in the market value of the ARS was other-than-temporary given the continued illiquidity of the ARS market and the uncertainty of when or if liquidity will return to the ARS market. We will continue to closely monitor our ARS investments, as the liquidity of such marketable securities available-for-sale could impact our ability to fund our operations after the second quarter of fiscal year 2009 if we are unable to liquidate such securities or otherwise obtain capital to fund our operations. In the event that the credit crisis continues to worsen and the ARS market remains illiquid, we may not be able to recover the full value of our ARS investments should we determine it is necessary to liquidate any such securities.</w:t>
      </w:r>
    </w:p>
    <w:p>
      <w:pPr>
        <w:spacing w:after="0" w:line="12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Net cash used in operating activities decreased to $12.3 million for the six months ended June 30, 2008 from $28.8 million for the six months ended June 30, 2007. The decrease was primarily due to a reduction in spending on research and development, as we focused on the development of our prioritized product candidates, MN-221 and MN-166. Net cash provided by investing activities for the six months ended June 30, 2008 was $21.6 million and primarily consisted of the sale of certain ARS. Net cash provided by financing activities was less than $0.1 million for the six months ended June 30, 2008 and was primarily due to cash receipts from the purchase of common stock under our employee stock purchase program.</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consumed substantial amounts of capital since our inception. We do not have any material commitments for capital expenditures, and we believe that our existing cash, cash equivalents and marketable securities as of June 30, 2008 will be sufficient to fund our anticipated operating requirements, at a minimum, through June 30, 2009. We may require significant additional financing in the future to fund our operations.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future uses and capital requirements will depend on, and could increase significantly as a result of, many factors, including but not limited to the following:</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 candidates or relinquish some or even all rights to product candidates. Failure to obtain adequate financing also may adversely affect our ability to operate as a going concern.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exposure to market risk as a result of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All of our marketable securities are classified as available-for-sale and reported on the balance sheet at fair value. Our marketable securities consist of ARS, all of which had AAA ratings at the time of purchase. At June 30, 2008, our ARS consisting of private placement securities have been downgraded to either</w:t>
      </w:r>
    </w:p>
    <w:p>
      <w:pPr>
        <w:ind w:firstLine="8"/>
        <w:spacing w:after="0" w:line="287" w:lineRule="auto"/>
        <w:tabs>
          <w:tab w:leader="none" w:pos="2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or AA. At June 30, 2008, we held $25.4 million of ARS consisting primarily of municipal bonds and government-guaranteed student loan securities and $2.4 million of ARS consisting of private placement securities. Our ARS are debt instruments with long-term maturities in which the interest rates are reset in short intervals through “Dutch” auctions by matching buyers and sellers. The recent conditions in the global credit markets have prevented some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the investments may not be readily convertible to cash until a future auction of these investments is successful or the securities are redeemed or mature. If the credit ratings of the security issuers deteriorate and any decline in market value is determined to be other-than-temporary, we are required to adjust the carrying value of the investment through an impairment charge.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Through June 30, 2008, we successfully liquidated $16.7 million of ARS at par value, which we reinvested in cash equivalents. As a result, we believe that we have sufficient capital to fund operations at least through the second quarter of 2009.</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With the continued uncertainty as to when and if liquidity will return to the overall ARS market, the downgrade of the credit quality of certain of our ARS insurers and the fact that auctions of our ARS have continued to fail, we consider the decline in fair value of such marketable securities as other-than-temporary, although we have the intent and ability to hold all of our illiquid ARS at least through the second quarter of 2009. As a result, at June 30, 2008, we recorded in our consolidated statement of operations a $3.3 million impairment charge related to our ARS, which reduced the carrying value of our ARS portfolio to $27.8 million.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will continue to closely monitor the market and evaluate our ARS portfolio on an ongoing basis, and we will adjust the carrying value of the investments through an impairment charge recorded as realized loss in our consolidated statement of operations should any further decline in market value be considered other-than-temporary. Any liquidity issues in the credit markets that extend into 2009 or beyond could adversely affect our business in the event that we are unable to liquidate any of our ARS or otherwise obtain capital to fund our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Rate Fluctuations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exposed to foreign currency exchange rate risk with respect to the Phase II clinical trial for MN-166 for the treatment of MS which we recently completed in Eastern Europe. We currently do not hedge our currency exchange rate risk; therefore, we are exposed to the fluctuations in the value of the U.S. dollar against the euro. The effects of changes in exchange rates between the U.S. dollar and euro denominated transactions are recorded as foreign currency transaction gain (loss) as a separate component of net loss. At June 30, 2008, a hypothetical 100 basis point change in the exchange rate would not have a material impact on our consolidated financial statements.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Securities and Exchange Commission, or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the near-term, the success of our business will depend on many factors, including the following risks:</w:t>
      </w:r>
    </w:p>
    <w:p>
      <w:pPr>
        <w:spacing w:after="0" w:line="90" w:lineRule="exact"/>
        <w:rPr>
          <w:sz w:val="20"/>
          <w:szCs w:val="20"/>
          <w:color w:val="auto"/>
        </w:rPr>
      </w:pPr>
    </w:p>
    <w:p>
      <w:pPr>
        <w:ind w:left="900" w:right="10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we are largely dependent on the success of our two prioritized product candidates, MN-221 for the treatment of acute exacerbations of asthma and MN-166 for the treatment of MS, and we cannot be certain that our ongoing and planned clinical development programs will demonstrate to the satisfaction of the U.S. Food and Drug Administration, or FDA, or similar foreign regulatory authorities that these product candidates are safe and effective or that either product candidate will receive regulatory approval or be successfully commercialized;</w:t>
      </w:r>
    </w:p>
    <w:p>
      <w:pPr>
        <w:spacing w:after="0" w:line="3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delays in the commencement, enrollment or completion of clinical testing for either of our prioritized product candidates, or significant issues regarding the adequacy of our clinical trial designs or the execution or success of our clinical trials, could result in increased costs to us and delay, limit or prevent our ability to obtain regulatory approval;</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outcome of final analyses of data from our clinical trials may vary from our initial analyses, and the FDA or other regulatory authorities may not agree with our interpretation of these results;</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ongoing or planned clinical trials for our prioritized product candidates may produce negative or inconclusive results, or may be inconsistent with previous clinical trial results, and we may decide, or the FDA or other regulatory authorities may require us, to conduct additional clinical trials or to modify our ongoing clinical trials;</w:t>
      </w:r>
    </w:p>
    <w:p>
      <w:pPr>
        <w:spacing w:after="0" w:line="59"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unexpected adverse effects or inadequate therapeutic efficacy of our prioritized product candidates could delay or prevent regulatory approval or commercialization or result in product liability claim</w:t>
      </w:r>
      <w:r>
        <w:rPr>
          <w:rFonts w:ascii="Arial" w:cs="Arial" w:eastAsia="Arial" w:hAnsi="Arial"/>
          <w:sz w:val="18"/>
          <w:szCs w:val="18"/>
          <w:color w:val="auto"/>
        </w:rPr>
        <w:t>s;</w:t>
      </w:r>
    </w:p>
    <w:p>
      <w:pPr>
        <w:spacing w:after="0" w:line="50"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delays or quality issues with respect to the completion of required pre-commercialization manufacturing development activities for our prioritized product candidates could result in increased costs to us, cause us to be required to perform additional non-clinical or clinical studies and delay or limit our clinical trials and our ability to obtain regulatory approval;</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may not be able to maintain patent protection for our product candidates and to commercialize our products without infringing the patent rights of others;</w:t>
      </w:r>
    </w:p>
    <w:p>
      <w:pPr>
        <w:spacing w:after="0" w:line="50" w:lineRule="exact"/>
        <w:rPr>
          <w:rFonts w:ascii="Arial" w:cs="Arial" w:eastAsia="Arial" w:hAnsi="Arial"/>
          <w:sz w:val="18"/>
          <w:szCs w:val="18"/>
          <w:i w:val="1"/>
          <w:iCs w:val="1"/>
          <w:color w:val="auto"/>
        </w:rPr>
      </w:pPr>
    </w:p>
    <w:p>
      <w:pPr>
        <w:ind w:left="900" w:right="4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even if our product candidates are approved by regulatory authorities, the market potential may be less than anticipated, and we expect intense competition for our targeted indications;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will require substantial additional funding and may be unable to raise capital when needed, which would force us to delay, reduce or eliminate our development programs and commercialization efforts.</w:t>
      </w:r>
    </w:p>
    <w:p>
      <w:pPr>
        <w:spacing w:after="0" w:line="13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i w:val="1"/>
          <w:iCs w:val="1"/>
          <w:color w:val="auto"/>
        </w:rPr>
        <w:t>Each of these factors, as well as other factors that may impact our business, are described in more detail in the following discussion. Although the factors highlighted above are among the most significant, any of the following factors could materially adversely affect our business or cause our actual results to differ materially from those contained in forward-looking statements we have made in this Quarterly Report on Form 10-Q and those we may make from time to time, and you should consider all of the factors described when evaluating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a development-stage biopharmaceutical company with a limited operating history. We have incurred significant net losses since our inception. For the three and six months ended June 30, 2008, we had a net loss of $4.9 million and $15.7 million, respectively. At June 30, 2008, our accumulated deficit was approximately $220.8 million. If we are successful raising additional capital to support such expansion,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any other development activities that we may initiate. In addition, we anticipate that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if at all, any revenues from the commercialization of our product candidates. To date, we have not generated any revenues from product sales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20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with regulations differing from country to country. We are not permitted to market any of our product candidates in the United States until we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MN-166 for the treatment of MS, and the success of our business currently depends on their successful development and commercialization. We have not submitted an NDA or foreign equivalent or received marketing approval for either of these two prioritized product candidates. In addition, we are not currently planning to pursue any further significant clinical development of MN-166 for the treatment of MS following completion of the Phase II clinical trial until such time that we are able to secure a strategic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collaboration to advance MN-166 into Phase III development, which may delay or impede the process of completing clinical trials and seeking regulatory approval for this product candidate.</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Any failure or delay in completing clinical trials or obtaining regulatory approval for either MN-221 or MN-166 would have a material and adverse impact on our business.</w:t>
      </w:r>
    </w:p>
    <w:p>
      <w:pPr>
        <w:spacing w:after="0" w:line="22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suspended or terminated at any time.</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To date, we have obtained regulatory authorization to conduct clinical trials for eight of our product development programs. Investigational New Drug Applications, or INDs, were approved and are active for seven of our product candidates. We also obtained five Clinical Trial Authorizations, or CTAs, which are the equivalent of a U.S. IND, approved to conduct a Phase II clinical trial for MN-166 in patients with MS in five countries in Eastern Europe and obtained two CTAs approved in Canada to conduct the two completed Phase I clinical trials for MN-246 in healthy subjects.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IIa clinical trial of MN-305 for the treatment of insomnia failed to achieve statistical significance in its primary endpoint; as a result, we are no longer pursuing the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We do not know whether enrollment in our ongoing and planned clinical trials for our product candidates will be completed on time, or whether our additional planned and ongoing clinical trials for our product candidates will be completed on schedule, if at all. The commencement and completion of clinical trials can be delayed for a variety of other reasons, including delays in:</w:t>
      </w:r>
    </w:p>
    <w:p>
      <w:pPr>
        <w:spacing w:after="0" w:line="3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2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 or our clinical protocols;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Amendments may require us to resubmit our clinical trial protocols to institutional review boards for reexamination, which may impact the costs, timing or successful completion of a clinical trial.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do not successfully complete clinical development of our product candidates, we will be unable to obtain regulatory approval to market products and generate revenues from such products. We may also fail to obtain the necessary regulatory approvals if we have inadequate financial or other resources to advance our product candidates through the clinical trial process. 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In addition, many of the factors that cause or lead to delays in the commencement or completion of clinical trials may also ultimately lead to the denial of regulatory approval for a product candidate. Finally,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5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MN-221 for acute exacerbations of asthma and preterm labor licensed from Kissei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MN-166 for MS licensed from Kyorin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MN-305 for General Anxiety Disorder/insomnia licensed from Mitsubishi Tanabe Pharma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Tanabe Pharma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In addition, new developments,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including the development of other drug technologies and methods of preventing the incidence of disease, occur in the pharmaceutical industry at a rapid pace.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developments may render our product candidates obsolete or noncompetitive.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From our inception to June 30, 2008, we had an accumulated deficit of $220.8 million. Our cash and marketable securities totaled approximately $55.8 million at June 30, 2008. We intend to manage our product development programs such that our existing cash, cash equivalents and marketable securities as of June 30, 2008 will be sufficient to meet our operating requirements through at least June 30, 2009. We have based this estimate on assumptions that may prove to be wrong, and we could spend our available financial resources faster than we currently expect. Our future capital requirements will depend on, and could increase significantly as a result of, many factors including:</w:t>
      </w:r>
    </w:p>
    <w:p>
      <w:pPr>
        <w:spacing w:after="0" w:line="3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all. To the extent that we raise additional capital by issuing equity securities, our existing stockholders’ ownership will be diluted. If we raise additional funds by incurring debt financing, the terms of the debt may involve significant cash payment obligations, as well as covenants and specific financial terms that may restrict our ability to operate our business. If sources of capital are not available, we may not be in a position to pursue present or future business opportunities that require financial commitments, and we may be required to:</w:t>
      </w:r>
    </w:p>
    <w:p>
      <w:pPr>
        <w:spacing w:after="0" w:line="6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terminate, delay or reduce the scope of one or more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 or other activities to commercialize a product candidate;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relinquish some or even all rights to our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the liquidity of a portion of our investment portfolio.</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hold marketable securities available-for-sale which consists of auction rate securities, or ARS, all of which had AAA ratings at the time they were acquired. At June 30, 2008, our ARS consisting of private placement securities were downgraded to either AA or AA. ARS are generally long-term debt instruments that historically have provided liquidity through a “Dutch” auction process that resets the applicable interest rate at predetermined calendar intervals, typically 7, 28, 35 or 49 days. At June 30, 2007, the ARS market was functioning properly and no failed auctions had occurred. The negative conditions in the global credit markets, however, have caused us to experience failed ARS auctions. At December 31, 2007, only our ARS consisting of private placement securities had experienced failed auctions; however, beginning in February 2008, all of our ARS began experiencing failed auctions. As a result, we have been prevented from liquidating certain of our ARS investments. At June 30, 2008, we held $25.4 million of ARS consisting primarily of government guaranteed student loans and municipal bonds and $2.4 million of ARS consisting of private placement securities. Through June 30, 2008, we successfully liquidated $16.7 million of ARS at par value, which we reinvested in cash equivalents. With the continued uncertainty as to when or if liquidity will return to the overall ARS market, the downgrade of the credit quality of certain of our ARS insurers and the continued failure of auctions for our ARS, we considered the decline in fair value as other-than-temporary at June 30, 2008, although we have the intent and ability to hold all of our illiquid ARS through at least the second quarter of 2009. As a result, we recorded in our consolidated statement of operations for the six months ended June 30, 2008, a $3.3 million impairment charge related to our ARS, which reduced the carrying value of our ARS portfolio to $27.8 million. We will continue to closely monitor the market and evaluate our ARS portfolio on an ongoing basis, and we will further adjust the carrying value of the investment through an impairment charge that would be recorded as realized loss in our consolidated statement of operations should any further decline in market value be considered other-than-temporary. Any liquidity issues in the credit markets that extend past June 30, 2009 could prevent us from successfully liquidating certain of our ARS in order to obtain needed capital to fund our operations, which may adversely affect our business. In addition, in the event that the credit crisis continues to worsen and the ARS market remains illiquid, we may not be able to recover the full value of our ARS investments should we determine it is necessary to sell any such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we are not planning to undertake any further significant clinical development activities, other than those activities deemed necessary to maximize each product candidate’s value, for any of our product candidates other than MN-221 for the treatment of acute exacerbations of asthma,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FDA Amendments Act of 2007. This new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 might differ from that required to obtain FDA approval. The regulatory approval process in other countries may include all of the risks detailed above regarding FDA approval in the United States. Approval by the FDA does not automatically lead to the approval of regulatory authorities outside of the United States, and approval by regulatory authorities outside of the United States does not automatically lead to FDA approval. In addition, regulatory approval in one country does not ensure regulatory approval in another, but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spacing w:after="0" w:line="335" w:lineRule="auto"/>
        <w:rPr>
          <w:sz w:val="20"/>
          <w:szCs w:val="20"/>
          <w:color w:val="auto"/>
        </w:rPr>
      </w:pPr>
      <w:r>
        <w:rPr>
          <w:rFonts w:ascii="Arial" w:cs="Arial" w:eastAsia="Arial" w:hAnsi="Arial"/>
          <w:sz w:val="15"/>
          <w:szCs w:val="15"/>
          <w:b w:val="1"/>
          <w:bCs w:val="1"/>
          <w:i w:val="1"/>
          <w:iCs w:val="1"/>
          <w:color w:val="auto"/>
        </w:rPr>
        <w:t>We rely on third parties to conduct our clinical trials and perform data collection and analysis.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CROs, medical institutions, clinical investigators, contract laboratories and other service providers to conduct our clinical trials and to perform data collection and analysis. Although we design and manage our current clinical trials, we do not have the ability to conduct all aspects of our clinical trials directly for our product candidates.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Biomedical, Inc. of Irvine, California; Quintiles, Inc. of Morrisville, North Carolina; PharmaNet, Inc. of Princeton, New Jersey; and Synteract, Inc. of Carlsbad, California.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product development programs. If these third parties fail to devote sufficient care, time and resources to our product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for commercial sale.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product development programs; however, we have only required the manufacture of our product candidates in very limited volume for preclinical and clinical studies, and we do not have any long-term commitments from our suppliers of clinical trial materials or guaranteed prices for our product candidates.</w:t>
      </w:r>
    </w:p>
    <w:p>
      <w:pPr>
        <w:spacing w:after="0" w:line="1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yet have agreements established regarding commercial supply of any of our product candidates and may not be able to establish or maintain commercial manufacturing arrangements on commercially reasonable terms for any of our product candidates. In particular, pursuant to our license agreement with Kissei Pharmaceutical Co., Ltd., Kissei Pharmaceutical has the exclusive right to manufacture the commercial supply of the active pharmaceutical ingredient, or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MN-221 on a commercial scale if MN-221 is approved by the FDA or other regulatory authorities for commercial sale. Any problems or delays we experience in preparing for commercial-scale manufacturing of a product candidate may result in a delay in FDA approval of the product candidate or may impair our ability to manufacture commercial quantities, which would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this acceptable stability data for our product candidates, as well as validate methods and manufacturing processes, in order to receive regulatory approval to commercialize any of our product candidates.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If any of these risks occur, our product supply will be interrupted and may result in lost or delayed revenues and delayed clinical trials or receipt of regulatory approval.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impacted.</w:t>
      </w:r>
    </w:p>
    <w:p>
      <w:pPr>
        <w:spacing w:after="0" w:line="151"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Our manufacturers are obligated to operate in accordance with FDA-mandated commercial good manufacturing practices, or cGMPs, and, in some cases, International Convention on Harmonization, or ICH, standards. A failure of any of our contract manufacturers to establish and follow cGMPs and to document their adherence to such practices may lead to significant delays in clinical trials, obtaining regulatory approval of product candidates or the ultimate launch of our products into the market. In addition, changing contract manufacturers is difficult. For example, a change in contract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rely on the third-party manufacturers of our product candidates to purchase from third-party suppliers the materials necessary to produce the compounds for our clinical trials, and we will rely on such manufacturers to purchase such materials to produce the compounds for commercial distribution if we obtain marketing approval for any of our product candidates. Suppliers may not sell these materials to our manufacturers at the time we need them or on commercially reasonable terms, if at all. We do not have any control over the process or timing of the acquisition of these materials by our manufacturers. Moreover, we currently do not have any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production of these materials. If our manufacturers are unable to obtain these materials for our clinical trials, testing of the affected product candidate would be delayed, which may significantly impact our ability to develop the product candidate. If our manufacturers or we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Even if U.S. regulatory approval is obtained, the FDA may still impose significant restrictions on a product’s indicated uses or marketing or impose ongoing requirements for potentially costly post-approval studies.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6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jc w:val="both"/>
        <w:ind w:right="100" w:firstLine="456"/>
        <w:spacing w:after="0" w:line="357" w:lineRule="auto"/>
        <w:rPr>
          <w:sz w:val="20"/>
          <w:szCs w:val="20"/>
          <w:color w:val="auto"/>
        </w:rPr>
      </w:pPr>
      <w:r>
        <w:rPr>
          <w:rFonts w:ascii="Arial" w:cs="Arial" w:eastAsia="Arial" w:hAnsi="Arial"/>
          <w:sz w:val="15"/>
          <w:szCs w:val="15"/>
          <w:color w:val="auto"/>
        </w:rPr>
        <w:t>Even 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cheaper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2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In addition, we may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If we are unable to establish our sales and marketing capability or any other capabilities necessary to commercialize any approved product,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any proposed sales, marketing and education programs.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Claims Act action. When an entity is determined to have violated the federal False Claims Act, it may be required to pay up to three times the actual damages sustained by the government, plus civil penalties for each separate false claim. Various states have also enacted laws modeled after the federal False Claims Act.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development and commercialization of drug products entails significant product liability risks.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liability claims may result in:</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August 4, 2008, we had 28 employees, of which 25 were full-time employees, one was a part-time employee and two were summer interns.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3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9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8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are required to comply with the Sarbanes-Oxley Act of 2002, or SOX, as well as rules and regulations implemented by the SEC, The Nasdaq Stock Market and the Osaka Securities Exchange, and incur significant legal, accounting and other expenses as a result. These rules impose various requirements on public companies, including requiring establishment and maintenance of effective disclosure and financial controls and changes in corporate governance practices. Our management and other personnel have devoted and will continue to devote a substantial amount of time to these compliance initiatives. Moreover, these rules and regulations increase our legal and financial compliance costs and make some activities more time-consuming and costly. For example,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Additionally, our independent auditors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required to perform a similar evaluation and report on the effectiveness of our internal controls over financial reporting.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Nasdaq, the SEC, the Osaka Securities Exchange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For example, the loss of clinical trial data from completed or ongoing clinical trials for MN-221 or MN-166, or our other product candidates,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For some of our product candidates, patent protection is no longer available for the API in such product candidates without regard to specific formulation or method of use. As a result, competitors that obtain the requisite regulatory approval will be able to offer products with the same API as found in some of our products so long as the competitors do not infringe any method of use, method of manufacture or formulation patents that we hold or have exclusive rights to through our licensors. For example, we currently do not have any unqualified composition of matter claims for MN-166. We are aware that Avigen, Inc. is conducting preclinical studies and clinical trials for a product that contains the same API contained in MN-166 to treat neuropathic pain.</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we generally do not maintain control over the payment of annuities, we cannot be certain that our licensors will timely pay such annuities and that the granted patents and pending patent applications will not become abandoned. As an example, it appears that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 or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of patents issued to third parties relating to our product candidates. Consequently, no assurance can be given that third-party patents containing claims covering our product candidates, their methods of use or manufacture do not exist or have not been filed and will not be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3" w:lineRule="exact"/>
        <w:rPr>
          <w:sz w:val="20"/>
          <w:szCs w:val="20"/>
          <w:color w:val="auto"/>
        </w:rPr>
      </w:pPr>
    </w:p>
    <w:p>
      <w:pPr>
        <w:ind w:left="900" w:right="3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treble damages and attorneys’ fees, if we are found to have willfully infringed a third party’s patent rights;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our collaborators having to enter into license arrangements that may not be available on commercially acceptable terms, if at all;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developing and commercializing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Prior to our listing on the Nasdaq Global Market on December 7, 2006, there was no active trading market for our common stock in the United States, as our common stock had only been listed on the Hercules Market of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June 30, 2008, our common stock has traded as high as approximately $42.00 and as low approximately $3.27.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3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9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 In the past, following periods of volatility in the market price of a 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6"/>
          <w:szCs w:val="16"/>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stock markets have from time to time experienced significant price and volume fluctuations that have affected the market prices for the common stock of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of common stock issuable upon the exercise of warrants held by three parties, of which warrants held by our two founders that relate to 1,285,657 shares were exercisable at $1.00 per share and a warrant held by a separate investor that relates to 50,000 shares was exercisable at $10.00 per share. At June 30, 2008, one warrant for 50,000 shares held by a separate investor was outstanding. All of the warrants held by our founders have been exercised, and the warrant held by a separate investor expires in May 2009. All of such shares, other than shares held by our affiliates, may also be sold from time to time in exempt transactions pursuant to Rule 144(k) promulgated by the SEC. The trading volume for our stock is low, with an average trading volume of approximately 5,200 shares per day on the Hercules Market of the Osaka Securities Exchange and approximately 32,500 shares per day on the Nasdaq Global Market during the month of June 2008.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2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23" w:lineRule="exact"/>
        <w:rPr>
          <w:rFonts w:ascii="Arial" w:cs="Arial" w:eastAsia="Arial" w:hAnsi="Arial"/>
          <w:sz w:val="18"/>
          <w:szCs w:val="18"/>
          <w:color w:val="auto"/>
        </w:rPr>
      </w:pPr>
    </w:p>
    <w:p>
      <w:pPr>
        <w:ind w:left="900" w:right="520" w:hanging="446"/>
        <w:spacing w:after="0" w:line="27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effected the initial public offering of our common stock, or IPO, pursuant to a Registration Statement on Form S-1 (File No. 333-119433) that was declared effective by the SEC on January 28, 2005. As of June 30, 2008, we had used approximately $110.7 million of the net proceeds from our IPO to fund our operations, including development of our product development programs, and we had used $1.6 million for acquisitions of property and equipment. Other than the compensation paid to our officers and directors, no proceeds were paid directly to any of our directors or officers (or their associates) or persons owning 10% or more of any class of our equity securities or to any other affiliates. We expect to use a majority of the remainder of the net proceeds from our IPO to continue the development of certain of our existing product development programs. In addition, we may use a portion of the net proceeds from our IPO to acquire technologies or businesses that are complementary to our own, but we currently have no commitments or agreements relating to any such transaction.</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jc w:val="both"/>
        <w:ind w:right="260" w:firstLine="456"/>
        <w:spacing w:after="0" w:line="370" w:lineRule="auto"/>
        <w:rPr>
          <w:sz w:val="20"/>
          <w:szCs w:val="20"/>
          <w:color w:val="auto"/>
        </w:rPr>
      </w:pPr>
      <w:r>
        <w:rPr>
          <w:rFonts w:ascii="Arial" w:cs="Arial" w:eastAsia="Arial" w:hAnsi="Arial"/>
          <w:sz w:val="15"/>
          <w:szCs w:val="15"/>
          <w:color w:val="auto"/>
        </w:rPr>
        <w:t>Our Annual Meting of Stockholders was held on June 6, 2008. A summary of the matters voted at the Annual Meeting and the results were provided in Item 8.01 of our Current Report on Form 8-K filed with the Securities and Exchange Commission on June 10, 2008 and are incorporated by reference herein.</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Severance</w:t>
            </w:r>
          </w:p>
        </w:tc>
        <w:tc>
          <w:tcPr>
            <w:tcW w:w="9100" w:type="dxa"/>
            <w:vAlign w:val="bottom"/>
          </w:tcPr>
          <w:p>
            <w:pPr>
              <w:ind w:left="60"/>
              <w:spacing w:after="0"/>
              <w:rPr>
                <w:sz w:val="20"/>
                <w:szCs w:val="20"/>
                <w:color w:val="auto"/>
              </w:rPr>
            </w:pPr>
            <w:r>
              <w:rPr>
                <w:rFonts w:ascii="Arial" w:cs="Arial" w:eastAsia="Arial" w:hAnsi="Arial"/>
                <w:sz w:val="18"/>
                <w:szCs w:val="18"/>
                <w:color w:val="auto"/>
                <w:w w:val="97"/>
              </w:rPr>
              <w:t>Agreement and Release by and between MediciNova, Inc. and Kenneth W. Locke, Ph.D., dated as of April 30, 2008.</w:t>
            </w:r>
          </w:p>
        </w:tc>
      </w:tr>
      <w:tr>
        <w:trPr>
          <w:trHeight w:val="316"/>
        </w:trPr>
        <w:tc>
          <w:tcPr>
            <w:tcW w:w="840" w:type="dxa"/>
            <w:vAlign w:val="bottom"/>
            <w:gridSpan w:val="2"/>
          </w:tcPr>
          <w:p>
            <w:pPr>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Consulting Agreement by and between MediciNova, Inc. and Kenneth W. Locke, Ph.D., dated as of May 1, 2008.</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Amendment of the MediciNova, Inc. Amended and Restated 2004 Stock Incentive Plan, dated June 6, 2008.</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10.4(3)</w:t>
            </w: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MediciNova, Inc. and Michael E. Kalafer, M.D., dated July 3, 2008.</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10.5(3)</w:t>
            </w: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Severance Protection Agreement between MediciNova, Inc. and Michael E. Kalafer, M.D., dated July 3,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June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June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June 10,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July 7, 2008 and incorporated herein by reference.</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240" w:top="459" w:right="6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6060" w:val="left"/>
          <w:tab w:leader="none" w:pos="8120" w:val="left"/>
          <w:tab w:leader="none" w:pos="846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3"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Yuichi Iwaki, M.D., Ph.D.</w:t>
      </w:r>
    </w:p>
    <w:p>
      <w:pPr>
        <w:jc w:val="center"/>
        <w:ind w:left="65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52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608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3"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Shintaro Asako</w:t>
      </w:r>
    </w:p>
    <w:p>
      <w:pPr>
        <w:jc w:val="center"/>
        <w:ind w:left="6520"/>
        <w:spacing w:after="0" w:line="221"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52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652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80"/>
          </w:cols>
          <w:pgMar w:left="240" w:top="459" w:right="8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00" w:type="dxa"/>
            <w:vAlign w:val="bottom"/>
          </w:tcPr>
          <w:p>
            <w:pPr>
              <w:ind w:left="29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Severance</w:t>
            </w:r>
          </w:p>
        </w:tc>
        <w:tc>
          <w:tcPr>
            <w:tcW w:w="9100" w:type="dxa"/>
            <w:vAlign w:val="bottom"/>
          </w:tcPr>
          <w:p>
            <w:pPr>
              <w:ind w:left="60"/>
              <w:spacing w:after="0"/>
              <w:rPr>
                <w:sz w:val="20"/>
                <w:szCs w:val="20"/>
                <w:color w:val="auto"/>
              </w:rPr>
            </w:pPr>
            <w:r>
              <w:rPr>
                <w:rFonts w:ascii="Arial" w:cs="Arial" w:eastAsia="Arial" w:hAnsi="Arial"/>
                <w:sz w:val="18"/>
                <w:szCs w:val="18"/>
                <w:color w:val="auto"/>
                <w:w w:val="97"/>
              </w:rPr>
              <w:t>Agreement and Release by and between MediciNova, Inc. and Kenneth W. Locke, Ph.D., dated as of April 30, 2008.</w:t>
            </w:r>
          </w:p>
        </w:tc>
      </w:tr>
      <w:tr>
        <w:trPr>
          <w:trHeight w:val="316"/>
        </w:trPr>
        <w:tc>
          <w:tcPr>
            <w:tcW w:w="1160" w:type="dxa"/>
            <w:vAlign w:val="bottom"/>
            <w:gridSpan w:val="2"/>
          </w:tcPr>
          <w:p>
            <w:pPr>
              <w:spacing w:after="0"/>
              <w:rPr>
                <w:sz w:val="20"/>
                <w:szCs w:val="20"/>
                <w:color w:val="auto"/>
              </w:rPr>
            </w:pPr>
            <w:r>
              <w:rPr>
                <w:rFonts w:ascii="Arial" w:cs="Arial" w:eastAsia="Arial" w:hAnsi="Arial"/>
                <w:sz w:val="18"/>
                <w:szCs w:val="18"/>
                <w:color w:val="auto"/>
              </w:rPr>
              <w:t>10.2(1)</w:t>
            </w:r>
          </w:p>
        </w:tc>
        <w:tc>
          <w:tcPr>
            <w:tcW w:w="9800" w:type="dxa"/>
            <w:vAlign w:val="bottom"/>
            <w:gridSpan w:val="2"/>
          </w:tcPr>
          <w:p>
            <w:pPr>
              <w:spacing w:after="0"/>
              <w:rPr>
                <w:sz w:val="20"/>
                <w:szCs w:val="20"/>
                <w:color w:val="auto"/>
              </w:rPr>
            </w:pPr>
            <w:r>
              <w:rPr>
                <w:rFonts w:ascii="Arial" w:cs="Arial" w:eastAsia="Arial" w:hAnsi="Arial"/>
                <w:sz w:val="18"/>
                <w:szCs w:val="18"/>
                <w:color w:val="auto"/>
              </w:rPr>
              <w:t>Consulting Agreement by and between MediciNova, Inc. and Kenneth W. Locke, Ph.D., dated as of May 1, 2008.</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10.3(2)</w:t>
            </w:r>
          </w:p>
        </w:tc>
        <w:tc>
          <w:tcPr>
            <w:tcW w:w="9800" w:type="dxa"/>
            <w:vAlign w:val="bottom"/>
            <w:gridSpan w:val="2"/>
          </w:tcPr>
          <w:p>
            <w:pPr>
              <w:spacing w:after="0"/>
              <w:rPr>
                <w:sz w:val="20"/>
                <w:szCs w:val="20"/>
                <w:color w:val="auto"/>
              </w:rPr>
            </w:pPr>
            <w:r>
              <w:rPr>
                <w:rFonts w:ascii="Arial" w:cs="Arial" w:eastAsia="Arial" w:hAnsi="Arial"/>
                <w:sz w:val="18"/>
                <w:szCs w:val="18"/>
                <w:color w:val="auto"/>
              </w:rPr>
              <w:t>Amendment of the MediciNova, Inc. Amended and Restated 2004 Stock Incentive Plan, dated June 6, 2008.</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10.4(3)</w:t>
            </w:r>
          </w:p>
        </w:tc>
        <w:tc>
          <w:tcPr>
            <w:tcW w:w="980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MediciNova, Inc. and Michael E. Kalafer, M.D., dated July 3, 2008.</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10.5(3)</w:t>
            </w:r>
          </w:p>
        </w:tc>
        <w:tc>
          <w:tcPr>
            <w:tcW w:w="9800" w:type="dxa"/>
            <w:vAlign w:val="bottom"/>
            <w:gridSpan w:val="2"/>
          </w:tcPr>
          <w:p>
            <w:pPr>
              <w:spacing w:after="0"/>
              <w:rPr>
                <w:sz w:val="20"/>
                <w:szCs w:val="20"/>
                <w:color w:val="auto"/>
              </w:rPr>
            </w:pPr>
            <w:r>
              <w:rPr>
                <w:rFonts w:ascii="Arial" w:cs="Arial" w:eastAsia="Arial" w:hAnsi="Arial"/>
                <w:sz w:val="18"/>
                <w:szCs w:val="18"/>
                <w:color w:val="auto"/>
              </w:rPr>
              <w:t>Severance Protection Agreement between MediciNova, Inc. and Michael E. Kalafer, M.D., dated July 3,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June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June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June 10,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July 7, 2008 and incorporated herein by reference.</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240" w:top="459" w:right="6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2008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11, 2008</w:t>
      </w:r>
    </w:p>
    <w:p>
      <w:pPr>
        <w:spacing w:after="0" w:line="225" w:lineRule="exact"/>
        <w:rPr>
          <w:sz w:val="20"/>
          <w:szCs w:val="20"/>
          <w:color w:val="auto"/>
        </w:rPr>
      </w:pPr>
    </w:p>
    <w:p>
      <w:pPr>
        <w:ind w:left="6860"/>
        <w:spacing w:after="0"/>
        <w:tabs>
          <w:tab w:leader="none" w:pos="8560" w:val="left"/>
          <w:tab w:leader="none" w:pos="8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2008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11, 2008</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2008,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11, 2008</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2008,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11, 2008</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7"/>
    </w:lvl>
  </w:abstractNum>
  <w:abstractNum w:abstractNumId="6">
    <w:nsid w:val="6763845E"/>
    <w:multiLevelType w:val="hybridMultilevel"/>
    <w:lvl w:ilvl="0">
      <w:lvlJc w:val="left"/>
      <w:lvlText w:val="%1."/>
      <w:numFmt w:val="decimal"/>
      <w:start w:val="8"/>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upperLetter"/>
      <w:start w:val="27"/>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2019-12-15T08:25:28Z</dcterms:created>
  <dcterms:modified xsi:type="dcterms:W3CDTF">2019-12-15T08:25:28Z</dcterms:modified>
</cp:coreProperties>
</file>