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147955</wp:posOffset>
            </wp:positionH>
            <wp:positionV relativeFrom="page">
              <wp:posOffset>273050</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page">
              <wp:posOffset>147955</wp:posOffset>
            </wp:positionH>
            <wp:positionV relativeFrom="page">
              <wp:posOffset>287655</wp:posOffset>
            </wp:positionV>
            <wp:extent cx="7265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page">
              <wp:posOffset>147955</wp:posOffset>
            </wp:positionH>
            <wp:positionV relativeFrom="page">
              <wp:posOffset>346710</wp:posOffset>
            </wp:positionV>
            <wp:extent cx="72656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5670" cy="762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72656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2792730</wp:posOffset>
            </wp:positionH>
            <wp:positionV relativeFrom="paragraph">
              <wp:posOffset>51435</wp:posOffset>
            </wp:positionV>
            <wp:extent cx="16802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210" cy="7620"/>
                    </a:xfrm>
                    <a:prstGeom prst="rect">
                      <a:avLst/>
                    </a:prstGeom>
                    <a:noFill/>
                  </pic:spPr>
                </pic:pic>
              </a:graphicData>
            </a:graphic>
          </wp:anchor>
        </w:drawing>
      </w:r>
    </w:p>
    <w:p>
      <w:pPr>
        <w:spacing w:after="0" w:line="100"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2792730</wp:posOffset>
            </wp:positionH>
            <wp:positionV relativeFrom="paragraph">
              <wp:posOffset>50800</wp:posOffset>
            </wp:positionV>
            <wp:extent cx="16802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210" cy="7620"/>
                    </a:xfrm>
                    <a:prstGeom prst="rect">
                      <a:avLst/>
                    </a:prstGeom>
                    <a:noFill/>
                  </pic:spPr>
                </pic:pic>
              </a:graphicData>
            </a:graphic>
          </wp:anchor>
        </w:drawing>
      </w:r>
    </w:p>
    <w:p>
      <w:pPr>
        <w:spacing w:after="0" w:line="98" w:lineRule="exact"/>
        <w:rPr>
          <w:sz w:val="24"/>
          <w:szCs w:val="24"/>
          <w:color w:val="auto"/>
        </w:rPr>
      </w:pPr>
    </w:p>
    <w:p>
      <w:pPr>
        <w:ind w:left="7"/>
        <w:spacing w:after="0"/>
        <w:rPr>
          <w:sz w:val="20"/>
          <w:szCs w:val="20"/>
          <w:color w:val="auto"/>
        </w:rPr>
      </w:pPr>
      <w:r>
        <w:rPr>
          <w:rFonts w:ascii="Arial" w:cs="Arial" w:eastAsia="Arial" w:hAnsi="Arial"/>
          <w:sz w:val="12"/>
          <w:szCs w:val="12"/>
          <w:b w:val="1"/>
          <w:bCs w:val="1"/>
          <w:color w:val="auto"/>
        </w:rPr>
        <w:t>(Mark One)</w:t>
      </w:r>
    </w:p>
    <w:p>
      <w:pPr>
        <w:spacing w:after="0" w:line="5" w:lineRule="exact"/>
        <w:rPr>
          <w:sz w:val="24"/>
          <w:szCs w:val="24"/>
          <w:color w:val="auto"/>
        </w:rPr>
      </w:pPr>
    </w:p>
    <w:p>
      <w:pPr>
        <w:ind w:left="587" w:hanging="587"/>
        <w:spacing w:after="0"/>
        <w:tabs>
          <w:tab w:leader="none" w:pos="587"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w:t>
      </w:r>
    </w:p>
    <w:p>
      <w:pPr>
        <w:spacing w:after="0" w:line="44" w:lineRule="exact"/>
        <w:rPr>
          <w:sz w:val="24"/>
          <w:szCs w:val="24"/>
          <w:color w:val="auto"/>
        </w:rPr>
      </w:pPr>
    </w:p>
    <w:p>
      <w:pPr>
        <w:jc w:val="center"/>
        <w:ind w:right="73"/>
        <w:spacing w:after="0"/>
        <w:rPr>
          <w:sz w:val="20"/>
          <w:szCs w:val="20"/>
          <w:color w:val="auto"/>
        </w:rPr>
      </w:pPr>
      <w:r>
        <w:rPr>
          <w:rFonts w:ascii="Arial" w:cs="Arial" w:eastAsia="Arial" w:hAnsi="Arial"/>
          <w:sz w:val="12"/>
          <w:szCs w:val="12"/>
          <w:b w:val="1"/>
          <w:bCs w:val="1"/>
          <w:color w:val="auto"/>
        </w:rPr>
        <w:t>For the fiscal year ended December 31, 2019</w:t>
      </w:r>
    </w:p>
    <w:p>
      <w:pPr>
        <w:spacing w:after="0" w:line="36" w:lineRule="exact"/>
        <w:rPr>
          <w:sz w:val="24"/>
          <w:szCs w:val="24"/>
          <w:color w:val="auto"/>
        </w:rPr>
      </w:pPr>
    </w:p>
    <w:p>
      <w:pPr>
        <w:jc w:val="center"/>
        <w:ind w:right="73"/>
        <w:spacing w:after="0"/>
        <w:rPr>
          <w:sz w:val="20"/>
          <w:szCs w:val="20"/>
          <w:color w:val="auto"/>
        </w:rPr>
      </w:pPr>
      <w:r>
        <w:rPr>
          <w:rFonts w:ascii="Arial" w:cs="Arial" w:eastAsia="Arial" w:hAnsi="Arial"/>
          <w:sz w:val="12"/>
          <w:szCs w:val="12"/>
          <w:b w:val="1"/>
          <w:bCs w:val="1"/>
          <w:color w:val="auto"/>
        </w:rPr>
        <w:t>or</w:t>
      </w:r>
    </w:p>
    <w:p>
      <w:pPr>
        <w:spacing w:after="0" w:line="39" w:lineRule="exact"/>
        <w:rPr>
          <w:sz w:val="24"/>
          <w:szCs w:val="24"/>
          <w:color w:val="auto"/>
        </w:rPr>
      </w:pPr>
    </w:p>
    <w:p>
      <w:pPr>
        <w:ind w:left="587" w:hanging="587"/>
        <w:spacing w:after="0"/>
        <w:tabs>
          <w:tab w:leader="none" w:pos="587"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527"/>
          </w:cols>
          <w:pgMar w:left="233" w:top="561" w:right="139" w:bottom="1440" w:gutter="0" w:footer="0" w:header="0"/>
        </w:sectPr>
      </w:pPr>
    </w:p>
    <w:p>
      <w:pPr>
        <w:spacing w:after="0" w:line="56" w:lineRule="exact"/>
        <w:rPr>
          <w:sz w:val="24"/>
          <w:szCs w:val="24"/>
          <w:color w:val="auto"/>
        </w:rPr>
      </w:pPr>
    </w:p>
    <w:p>
      <w:pPr>
        <w:ind w:left="4467"/>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59" w:lineRule="exact"/>
        <w:rPr>
          <w:sz w:val="24"/>
          <w:szCs w:val="24"/>
          <w:color w:val="auto"/>
        </w:rPr>
      </w:pPr>
    </w:p>
    <w:p>
      <w:pPr>
        <w:sectPr>
          <w:pgSz w:w="11900" w:h="16838" w:orient="portrait"/>
          <w:cols w:equalWidth="0" w:num="2">
            <w:col w:w="6107" w:space="340"/>
            <w:col w:w="5080"/>
          </w:cols>
          <w:pgMar w:left="233" w:top="561" w:right="139" w:bottom="1440" w:gutter="0" w:footer="0" w:header="0"/>
          <w:type w:val="continuous"/>
        </w:sectPr>
      </w:pPr>
    </w:p>
    <w:p>
      <w:pPr>
        <w:jc w:val="center"/>
        <w:ind w:right="93"/>
        <w:spacing w:after="0"/>
        <w:rPr>
          <w:sz w:val="20"/>
          <w:szCs w:val="20"/>
          <w:color w:val="auto"/>
        </w:rPr>
      </w:pPr>
      <w:r>
        <w:rPr>
          <w:rFonts w:ascii="Arial" w:cs="Arial" w:eastAsia="Arial" w:hAnsi="Arial"/>
          <w:sz w:val="11"/>
          <w:szCs w:val="11"/>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2792730</wp:posOffset>
            </wp:positionH>
            <wp:positionV relativeFrom="paragraph">
              <wp:posOffset>57785</wp:posOffset>
            </wp:positionV>
            <wp:extent cx="16802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7620"/>
                    </a:xfrm>
                    <a:prstGeom prst="rect">
                      <a:avLst/>
                    </a:prstGeom>
                    <a:noFill/>
                  </pic:spPr>
                </pic:pic>
              </a:graphicData>
            </a:graphic>
          </wp:anchor>
        </w:drawing>
      </w:r>
    </w:p>
    <w:p>
      <w:pPr>
        <w:sectPr>
          <w:pgSz w:w="11900" w:h="16838" w:orient="portrait"/>
          <w:cols w:equalWidth="0" w:num="1">
            <w:col w:w="11527"/>
          </w:cols>
          <w:pgMar w:left="233" w:top="561" w:right="139" w:bottom="1440" w:gutter="0" w:footer="0" w:header="0"/>
          <w:type w:val="continuous"/>
        </w:sectPr>
      </w:pPr>
    </w:p>
    <w:p>
      <w:pPr>
        <w:spacing w:after="0" w:line="115" w:lineRule="exact"/>
        <w:rPr>
          <w:sz w:val="24"/>
          <w:szCs w:val="24"/>
          <w:color w:val="auto"/>
        </w:rPr>
      </w:pPr>
    </w:p>
    <w:tbl>
      <w:tblPr>
        <w:tblLayout w:type="fixed"/>
        <w:tblInd w:w="7" w:type="dxa"/>
        <w:tblCellMar>
          <w:top w:w="0" w:type="dxa"/>
          <w:left w:w="0" w:type="dxa"/>
          <w:bottom w:w="0" w:type="dxa"/>
          <w:right w:w="0" w:type="dxa"/>
        </w:tblCellMar>
      </w:tblPr>
      <w:tr>
        <w:trPr>
          <w:trHeight w:val="373"/>
        </w:trPr>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6"/>
          </w:tcPr>
          <w:p>
            <w:pPr>
              <w:jc w:val="center"/>
              <w:ind w:left="960"/>
              <w:spacing w:after="0"/>
              <w:rPr>
                <w:sz w:val="20"/>
                <w:szCs w:val="20"/>
                <w:color w:val="auto"/>
              </w:rPr>
            </w:pPr>
            <w:r>
              <w:rPr>
                <w:rFonts w:ascii="Arial" w:cs="Arial" w:eastAsia="Arial" w:hAnsi="Arial"/>
                <w:sz w:val="31"/>
                <w:szCs w:val="31"/>
                <w:b w:val="1"/>
                <w:bCs w:val="1"/>
                <w:color w:val="auto"/>
              </w:rPr>
              <w:t>MEDICINOVA, INC.</w:t>
            </w:r>
          </w:p>
        </w:tc>
        <w:tc>
          <w:tcPr>
            <w:tcW w:w="2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980" w:type="dxa"/>
            <w:vAlign w:val="bottom"/>
            <w:gridSpan w:val="6"/>
          </w:tcPr>
          <w:p>
            <w:pPr>
              <w:jc w:val="center"/>
              <w:ind w:left="980"/>
              <w:spacing w:after="0"/>
              <w:rPr>
                <w:sz w:val="20"/>
                <w:szCs w:val="20"/>
                <w:color w:val="auto"/>
              </w:rPr>
            </w:pPr>
            <w:r>
              <w:rPr>
                <w:rFonts w:ascii="Arial" w:cs="Arial" w:eastAsia="Arial" w:hAnsi="Arial"/>
                <w:sz w:val="12"/>
                <w:szCs w:val="12"/>
                <w:b w:val="1"/>
                <w:bCs w:val="1"/>
                <w:color w:val="auto"/>
                <w:w w:val="93"/>
              </w:rPr>
              <w:t>(Exact Name of Registrant as Specified in its Charter)</w:t>
            </w:r>
          </w:p>
        </w:tc>
        <w:tc>
          <w:tcPr>
            <w:tcW w:w="2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3960" w:type="dxa"/>
            <w:vAlign w:val="bottom"/>
            <w:gridSpan w:val="3"/>
          </w:tcPr>
          <w:p>
            <w:pPr>
              <w:jc w:val="center"/>
              <w:ind w:right="3174"/>
              <w:spacing w:after="0"/>
              <w:rPr>
                <w:sz w:val="20"/>
                <w:szCs w:val="20"/>
                <w:color w:val="auto"/>
              </w:rPr>
            </w:pPr>
            <w:r>
              <w:rPr>
                <w:rFonts w:ascii="Arial" w:cs="Arial" w:eastAsia="Arial" w:hAnsi="Arial"/>
                <w:sz w:val="12"/>
                <w:szCs w:val="12"/>
                <w:b w:val="1"/>
                <w:bCs w:val="1"/>
                <w:color w:val="auto"/>
                <w:w w:val="94"/>
              </w:rPr>
              <w:t>Delaware</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jc w:val="right"/>
              <w:ind w:right="767"/>
              <w:spacing w:after="0"/>
              <w:rPr>
                <w:sz w:val="20"/>
                <w:szCs w:val="20"/>
                <w:color w:val="auto"/>
              </w:rPr>
            </w:pPr>
            <w:r>
              <w:rPr>
                <w:rFonts w:ascii="Arial" w:cs="Arial" w:eastAsia="Arial" w:hAnsi="Arial"/>
                <w:sz w:val="12"/>
                <w:szCs w:val="12"/>
                <w:b w:val="1"/>
                <w:bCs w:val="1"/>
                <w:color w:val="auto"/>
              </w:rPr>
              <w:t>33-0927979</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400" w:type="dxa"/>
            <w:vAlign w:val="bottom"/>
            <w:gridSpan w:val="4"/>
          </w:tcPr>
          <w:p>
            <w:pPr>
              <w:jc w:val="center"/>
              <w:ind w:right="714"/>
              <w:spacing w:after="0"/>
              <w:rPr>
                <w:sz w:val="20"/>
                <w:szCs w:val="20"/>
                <w:color w:val="auto"/>
              </w:rPr>
            </w:pPr>
            <w:r>
              <w:rPr>
                <w:rFonts w:ascii="Arial" w:cs="Arial" w:eastAsia="Arial" w:hAnsi="Arial"/>
                <w:sz w:val="9"/>
                <w:szCs w:val="9"/>
                <w:b w:val="1"/>
                <w:bCs w:val="1"/>
                <w:color w:val="auto"/>
                <w:w w:val="94"/>
              </w:rPr>
              <w:t>(State or Other Jurisdiction of</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340" w:type="dxa"/>
            <w:vAlign w:val="bottom"/>
            <w:gridSpan w:val="2"/>
          </w:tcPr>
          <w:p>
            <w:pPr>
              <w:jc w:val="center"/>
              <w:ind w:right="1438"/>
              <w:spacing w:after="0"/>
              <w:rPr>
                <w:sz w:val="20"/>
                <w:szCs w:val="20"/>
                <w:color w:val="auto"/>
              </w:rPr>
            </w:pPr>
            <w:r>
              <w:rPr>
                <w:rFonts w:ascii="Arial" w:cs="Arial" w:eastAsia="Arial" w:hAnsi="Arial"/>
                <w:sz w:val="9"/>
                <w:szCs w:val="9"/>
                <w:b w:val="1"/>
                <w:bCs w:val="1"/>
                <w:color w:val="auto"/>
                <w:w w:val="98"/>
              </w:rPr>
              <w:t>(I.R.S. Employer</w:t>
            </w:r>
          </w:p>
        </w:tc>
        <w:tc>
          <w:tcPr>
            <w:tcW w:w="0" w:type="dxa"/>
            <w:vAlign w:val="bottom"/>
          </w:tcPr>
          <w:p>
            <w:pPr>
              <w:spacing w:after="0"/>
              <w:rPr>
                <w:sz w:val="1"/>
                <w:szCs w:val="1"/>
                <w:color w:val="auto"/>
              </w:rPr>
            </w:pPr>
          </w:p>
        </w:tc>
      </w:tr>
      <w:tr>
        <w:trPr>
          <w:trHeight w:val="121"/>
        </w:trPr>
        <w:tc>
          <w:tcPr>
            <w:tcW w:w="6400" w:type="dxa"/>
            <w:vAlign w:val="bottom"/>
            <w:gridSpan w:val="4"/>
          </w:tcPr>
          <w:p>
            <w:pPr>
              <w:jc w:val="center"/>
              <w:ind w:right="714"/>
              <w:spacing w:after="0"/>
              <w:rPr>
                <w:sz w:val="20"/>
                <w:szCs w:val="20"/>
                <w:color w:val="auto"/>
              </w:rPr>
            </w:pPr>
            <w:r>
              <w:rPr>
                <w:rFonts w:ascii="Arial" w:cs="Arial" w:eastAsia="Arial" w:hAnsi="Arial"/>
                <w:sz w:val="9"/>
                <w:szCs w:val="9"/>
                <w:b w:val="1"/>
                <w:bCs w:val="1"/>
                <w:color w:val="auto"/>
                <w:w w:val="95"/>
              </w:rPr>
              <w:t>Incorporation or Organization)</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340" w:type="dxa"/>
            <w:vAlign w:val="bottom"/>
            <w:gridSpan w:val="2"/>
          </w:tcPr>
          <w:p>
            <w:pPr>
              <w:jc w:val="center"/>
              <w:ind w:right="1438"/>
              <w:spacing w:after="0"/>
              <w:rPr>
                <w:sz w:val="20"/>
                <w:szCs w:val="20"/>
                <w:color w:val="auto"/>
              </w:rPr>
            </w:pPr>
            <w:r>
              <w:rPr>
                <w:rFonts w:ascii="Arial" w:cs="Arial" w:eastAsia="Arial" w:hAnsi="Arial"/>
                <w:sz w:val="9"/>
                <w:szCs w:val="9"/>
                <w:b w:val="1"/>
                <w:bCs w:val="1"/>
                <w:color w:val="auto"/>
                <w:w w:val="94"/>
              </w:rPr>
              <w:t>Identification No.)</w:t>
            </w:r>
          </w:p>
        </w:tc>
        <w:tc>
          <w:tcPr>
            <w:tcW w:w="0" w:type="dxa"/>
            <w:vAlign w:val="bottom"/>
          </w:tcPr>
          <w:p>
            <w:pPr>
              <w:spacing w:after="0"/>
              <w:rPr>
                <w:sz w:val="1"/>
                <w:szCs w:val="1"/>
                <w:color w:val="auto"/>
              </w:rPr>
            </w:pPr>
          </w:p>
        </w:tc>
      </w:tr>
      <w:tr>
        <w:trPr>
          <w:trHeight w:val="204"/>
        </w:trPr>
        <w:tc>
          <w:tcPr>
            <w:tcW w:w="6400" w:type="dxa"/>
            <w:vAlign w:val="bottom"/>
            <w:gridSpan w:val="4"/>
          </w:tcPr>
          <w:p>
            <w:pPr>
              <w:jc w:val="center"/>
              <w:ind w:right="714"/>
              <w:spacing w:after="0"/>
              <w:rPr>
                <w:sz w:val="20"/>
                <w:szCs w:val="20"/>
                <w:color w:val="auto"/>
              </w:rPr>
            </w:pPr>
            <w:r>
              <w:rPr>
                <w:rFonts w:ascii="Arial" w:cs="Arial" w:eastAsia="Arial" w:hAnsi="Arial"/>
                <w:sz w:val="12"/>
                <w:szCs w:val="12"/>
                <w:b w:val="1"/>
                <w:bCs w:val="1"/>
                <w:color w:val="auto"/>
                <w:w w:val="93"/>
              </w:rPr>
              <w:t>4275 Executive Square, Suite 300, La Jolla, CA</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jc w:val="right"/>
              <w:ind w:right="907"/>
              <w:spacing w:after="0"/>
              <w:rPr>
                <w:sz w:val="20"/>
                <w:szCs w:val="20"/>
                <w:color w:val="auto"/>
              </w:rPr>
            </w:pPr>
            <w:r>
              <w:rPr>
                <w:rFonts w:ascii="Arial" w:cs="Arial" w:eastAsia="Arial" w:hAnsi="Arial"/>
                <w:sz w:val="12"/>
                <w:szCs w:val="12"/>
                <w:b w:val="1"/>
                <w:bCs w:val="1"/>
                <w:color w:val="auto"/>
              </w:rPr>
              <w:t>92037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400" w:type="dxa"/>
            <w:vAlign w:val="bottom"/>
            <w:gridSpan w:val="4"/>
          </w:tcPr>
          <w:p>
            <w:pPr>
              <w:jc w:val="center"/>
              <w:ind w:right="714"/>
              <w:spacing w:after="0"/>
              <w:rPr>
                <w:sz w:val="20"/>
                <w:szCs w:val="20"/>
                <w:color w:val="auto"/>
              </w:rPr>
            </w:pPr>
            <w:r>
              <w:rPr>
                <w:rFonts w:ascii="Arial" w:cs="Arial" w:eastAsia="Arial" w:hAnsi="Arial"/>
                <w:sz w:val="9"/>
                <w:szCs w:val="9"/>
                <w:b w:val="1"/>
                <w:bCs w:val="1"/>
                <w:color w:val="auto"/>
                <w:w w:val="93"/>
              </w:rPr>
              <w:t>(Address of Principal Executive Offices)</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340" w:type="dxa"/>
            <w:vAlign w:val="bottom"/>
            <w:gridSpan w:val="2"/>
          </w:tcPr>
          <w:p>
            <w:pPr>
              <w:jc w:val="center"/>
              <w:ind w:right="1438"/>
              <w:spacing w:after="0"/>
              <w:rPr>
                <w:sz w:val="20"/>
                <w:szCs w:val="20"/>
                <w:color w:val="auto"/>
              </w:rPr>
            </w:pPr>
            <w:r>
              <w:rPr>
                <w:rFonts w:ascii="Arial" w:cs="Arial" w:eastAsia="Arial" w:hAnsi="Arial"/>
                <w:sz w:val="9"/>
                <w:szCs w:val="9"/>
                <w:b w:val="1"/>
                <w:bCs w:val="1"/>
                <w:color w:val="auto"/>
                <w:w w:val="98"/>
              </w:rPr>
              <w:t>(Zip Code)</w:t>
            </w:r>
          </w:p>
        </w:tc>
        <w:tc>
          <w:tcPr>
            <w:tcW w:w="0" w:type="dxa"/>
            <w:vAlign w:val="bottom"/>
          </w:tcPr>
          <w:p>
            <w:pPr>
              <w:spacing w:after="0"/>
              <w:rPr>
                <w:sz w:val="1"/>
                <w:szCs w:val="1"/>
                <w:color w:val="auto"/>
              </w:rPr>
            </w:pPr>
          </w:p>
        </w:tc>
      </w:tr>
      <w:tr>
        <w:trPr>
          <w:trHeight w:val="158"/>
        </w:trPr>
        <w:tc>
          <w:tcPr>
            <w:tcW w:w="6400" w:type="dxa"/>
            <w:vAlign w:val="bottom"/>
            <w:gridSpan w:val="4"/>
          </w:tcPr>
          <w:p>
            <w:pPr>
              <w:jc w:val="center"/>
              <w:ind w:left="4963"/>
              <w:spacing w:after="0"/>
              <w:rPr>
                <w:sz w:val="20"/>
                <w:szCs w:val="20"/>
                <w:color w:val="auto"/>
              </w:rPr>
            </w:pPr>
            <w:r>
              <w:rPr>
                <w:rFonts w:ascii="Arial" w:cs="Arial" w:eastAsia="Arial" w:hAnsi="Arial"/>
                <w:sz w:val="12"/>
                <w:szCs w:val="12"/>
                <w:b w:val="1"/>
                <w:bCs w:val="1"/>
                <w:color w:val="auto"/>
                <w:w w:val="95"/>
              </w:rPr>
              <w:t>(858) 373-1500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520" w:type="dxa"/>
            <w:vAlign w:val="bottom"/>
            <w:gridSpan w:val="3"/>
          </w:tcPr>
          <w:p>
            <w:pPr>
              <w:jc w:val="center"/>
              <w:ind w:left="54"/>
              <w:spacing w:after="0"/>
              <w:rPr>
                <w:sz w:val="20"/>
                <w:szCs w:val="20"/>
                <w:color w:val="auto"/>
              </w:rPr>
            </w:pPr>
            <w:r>
              <w:rPr>
                <w:rFonts w:ascii="Arial" w:cs="Arial" w:eastAsia="Arial" w:hAnsi="Arial"/>
                <w:sz w:val="9"/>
                <w:szCs w:val="9"/>
                <w:b w:val="1"/>
                <w:bCs w:val="1"/>
                <w:color w:val="auto"/>
                <w:w w:val="92"/>
              </w:rPr>
              <w:t>(Registrant’s Telephone Number, Including Area Code)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320" w:type="dxa"/>
            <w:vAlign w:val="bottom"/>
            <w:gridSpan w:val="8"/>
          </w:tcPr>
          <w:p>
            <w:pPr>
              <w:jc w:val="center"/>
              <w:ind w:right="3238"/>
              <w:spacing w:after="0"/>
              <w:rPr>
                <w:sz w:val="20"/>
                <w:szCs w:val="20"/>
                <w:color w:val="auto"/>
              </w:rPr>
            </w:pPr>
            <w:r>
              <w:rPr>
                <w:rFonts w:ascii="Arial" w:cs="Arial" w:eastAsia="Arial" w:hAnsi="Arial"/>
                <w:sz w:val="12"/>
                <w:szCs w:val="12"/>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38"/>
        </w:trPr>
        <w:tc>
          <w:tcPr>
            <w:tcW w:w="24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9"/>
                <w:szCs w:val="9"/>
                <w:b w:val="1"/>
                <w:bCs w:val="1"/>
                <w:color w:val="auto"/>
                <w:w w:val="94"/>
              </w:rPr>
              <w:t>Title of Each Class</w:t>
            </w:r>
          </w:p>
        </w:tc>
        <w:tc>
          <w:tcPr>
            <w:tcW w:w="3200" w:type="dxa"/>
            <w:vAlign w:val="bottom"/>
            <w:gridSpan w:val="2"/>
          </w:tcPr>
          <w:p>
            <w:pPr>
              <w:spacing w:after="0"/>
              <w:rPr>
                <w:sz w:val="12"/>
                <w:szCs w:val="12"/>
                <w:color w:val="auto"/>
              </w:rPr>
            </w:pPr>
          </w:p>
        </w:tc>
        <w:tc>
          <w:tcPr>
            <w:tcW w:w="780" w:type="dxa"/>
            <w:vAlign w:val="bottom"/>
            <w:gridSpan w:val="4"/>
          </w:tcPr>
          <w:p>
            <w:pPr>
              <w:jc w:val="center"/>
              <w:ind w:right="140"/>
              <w:spacing w:after="0"/>
              <w:rPr>
                <w:sz w:val="20"/>
                <w:szCs w:val="20"/>
                <w:color w:val="auto"/>
              </w:rPr>
            </w:pPr>
            <w:r>
              <w:rPr>
                <w:rFonts w:ascii="Arial" w:cs="Arial" w:eastAsia="Arial" w:hAnsi="Arial"/>
                <w:sz w:val="9"/>
                <w:szCs w:val="9"/>
                <w:b w:val="1"/>
                <w:bCs w:val="1"/>
                <w:color w:val="auto"/>
                <w:w w:val="94"/>
              </w:rPr>
              <w:t>Trading Symbol</w:t>
            </w:r>
          </w:p>
        </w:tc>
        <w:tc>
          <w:tcPr>
            <w:tcW w:w="4340" w:type="dxa"/>
            <w:vAlign w:val="bottom"/>
            <w:gridSpan w:val="2"/>
          </w:tcPr>
          <w:p>
            <w:pPr>
              <w:jc w:val="center"/>
              <w:ind w:left="2487"/>
              <w:spacing w:after="0"/>
              <w:rPr>
                <w:sz w:val="20"/>
                <w:szCs w:val="20"/>
                <w:color w:val="auto"/>
              </w:rPr>
            </w:pPr>
            <w:r>
              <w:rPr>
                <w:rFonts w:ascii="Arial" w:cs="Arial" w:eastAsia="Arial" w:hAnsi="Arial"/>
                <w:sz w:val="9"/>
                <w:szCs w:val="9"/>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0" w:type="dxa"/>
            <w:vAlign w:val="bottom"/>
            <w:gridSpan w:val="2"/>
            <w:vMerge w:val="restart"/>
          </w:tcPr>
          <w:p>
            <w:pPr>
              <w:spacing w:after="0"/>
              <w:rPr>
                <w:sz w:val="20"/>
                <w:szCs w:val="20"/>
                <w:color w:val="auto"/>
              </w:rPr>
            </w:pPr>
            <w:r>
              <w:rPr>
                <w:rFonts w:ascii="Arial" w:cs="Arial" w:eastAsia="Arial" w:hAnsi="Arial"/>
                <w:sz w:val="12"/>
                <w:szCs w:val="12"/>
                <w:color w:val="auto"/>
              </w:rPr>
              <w:t>0.001 per share</w:t>
            </w:r>
          </w:p>
        </w:tc>
        <w:tc>
          <w:tcPr>
            <w:tcW w:w="520" w:type="dxa"/>
            <w:vAlign w:val="bottom"/>
            <w:tcBorders>
              <w:top w:val="single" w:sz="8" w:color="auto"/>
            </w:tcBorders>
            <w:gridSpan w:val="2"/>
            <w:vMerge w:val="restart"/>
          </w:tcPr>
          <w:p>
            <w:pPr>
              <w:jc w:val="center"/>
              <w:ind w:left="82"/>
              <w:spacing w:after="0"/>
              <w:rPr>
                <w:sz w:val="20"/>
                <w:szCs w:val="20"/>
                <w:color w:val="auto"/>
              </w:rPr>
            </w:pPr>
            <w:r>
              <w:rPr>
                <w:rFonts w:ascii="Arial" w:cs="Arial" w:eastAsia="Arial" w:hAnsi="Arial"/>
                <w:sz w:val="12"/>
                <w:szCs w:val="12"/>
                <w:color w:val="auto"/>
              </w:rPr>
              <w:t>MNOV</w:t>
            </w:r>
          </w:p>
        </w:tc>
        <w:tc>
          <w:tcPr>
            <w:tcW w:w="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200" w:type="dxa"/>
            <w:vAlign w:val="bottom"/>
            <w:gridSpan w:val="2"/>
          </w:tcPr>
          <w:p>
            <w:pPr>
              <w:ind w:left="1740"/>
              <w:spacing w:after="0"/>
              <w:rPr>
                <w:sz w:val="20"/>
                <w:szCs w:val="20"/>
                <w:color w:val="auto"/>
              </w:rPr>
            </w:pPr>
            <w:r>
              <w:rPr>
                <w:rFonts w:ascii="Arial" w:cs="Arial" w:eastAsia="Arial" w:hAnsi="Arial"/>
                <w:sz w:val="12"/>
                <w:szCs w:val="12"/>
                <w:color w:val="auto"/>
                <w:w w:val="97"/>
              </w:rPr>
              <w:t>Common Stock, par value $</w:t>
            </w:r>
          </w:p>
        </w:tc>
        <w:tc>
          <w:tcPr>
            <w:tcW w:w="320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w w:val="98"/>
              </w:rPr>
              <w:t>The NASDAQ Stock Market LLC</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320" w:type="dxa"/>
            <w:vAlign w:val="bottom"/>
            <w:gridSpan w:val="8"/>
          </w:tcPr>
          <w:p>
            <w:pPr>
              <w:jc w:val="center"/>
              <w:ind w:right="3218"/>
              <w:spacing w:after="0"/>
              <w:rPr>
                <w:sz w:val="20"/>
                <w:szCs w:val="20"/>
                <w:color w:val="auto"/>
              </w:rPr>
            </w:pPr>
            <w:r>
              <w:rPr>
                <w:rFonts w:ascii="Arial" w:cs="Arial" w:eastAsia="Arial" w:hAnsi="Arial"/>
                <w:sz w:val="12"/>
                <w:szCs w:val="12"/>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57"/>
        </w:trPr>
        <w:tc>
          <w:tcPr>
            <w:tcW w:w="2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400" w:type="dxa"/>
            <w:vAlign w:val="bottom"/>
            <w:gridSpan w:val="4"/>
          </w:tcPr>
          <w:p>
            <w:pPr>
              <w:ind w:left="600"/>
              <w:spacing w:after="0"/>
              <w:rPr>
                <w:sz w:val="20"/>
                <w:szCs w:val="20"/>
                <w:color w:val="auto"/>
              </w:rPr>
            </w:pPr>
            <w:r>
              <w:rPr>
                <w:rFonts w:ascii="Arial" w:cs="Arial" w:eastAsia="Arial" w:hAnsi="Arial"/>
                <w:sz w:val="12"/>
                <w:szCs w:val="12"/>
                <w:color w:val="auto"/>
                <w:w w:val="93"/>
              </w:rPr>
              <w:t>Indicate by check mark if the registrant is a well-known seasoned issuer, as defined in Rule 405 of the Securities Act.</w:t>
            </w:r>
          </w:p>
        </w:tc>
        <w:tc>
          <w:tcPr>
            <w:tcW w:w="300" w:type="dxa"/>
            <w:vAlign w:val="bottom"/>
          </w:tcPr>
          <w:p>
            <w:pPr>
              <w:jc w:val="right"/>
              <w:spacing w:after="0"/>
              <w:rPr>
                <w:sz w:val="20"/>
                <w:szCs w:val="20"/>
                <w:color w:val="auto"/>
              </w:rPr>
            </w:pPr>
            <w:r>
              <w:rPr>
                <w:rFonts w:ascii="Arial" w:cs="Arial" w:eastAsia="Arial" w:hAnsi="Arial"/>
                <w:sz w:val="12"/>
                <w:szCs w:val="12"/>
                <w:color w:val="auto"/>
              </w:rPr>
              <w:t>Yes</w:t>
            </w:r>
          </w:p>
        </w:tc>
        <w:tc>
          <w:tcPr>
            <w:tcW w:w="22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260" w:type="dxa"/>
            <w:vAlign w:val="bottom"/>
            <w:gridSpan w:val="2"/>
          </w:tcPr>
          <w:p>
            <w:pPr>
              <w:ind w:left="80"/>
              <w:spacing w:after="0"/>
              <w:rPr>
                <w:sz w:val="20"/>
                <w:szCs w:val="20"/>
                <w:color w:val="auto"/>
              </w:rPr>
            </w:pPr>
            <w:r>
              <w:rPr>
                <w:rFonts w:ascii="Arial" w:cs="Arial" w:eastAsia="Arial" w:hAnsi="Arial"/>
                <w:sz w:val="12"/>
                <w:szCs w:val="12"/>
                <w:color w:val="auto"/>
              </w:rPr>
              <w:t>No</w:t>
            </w:r>
          </w:p>
        </w:tc>
        <w:tc>
          <w:tcPr>
            <w:tcW w:w="4340" w:type="dxa"/>
            <w:vAlign w:val="bottom"/>
            <w:gridSpan w:val="2"/>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97"/>
        </w:trPr>
        <w:tc>
          <w:tcPr>
            <w:tcW w:w="6400" w:type="dxa"/>
            <w:vAlign w:val="bottom"/>
            <w:gridSpan w:val="4"/>
          </w:tcPr>
          <w:p>
            <w:pPr>
              <w:ind w:left="600"/>
              <w:spacing w:after="0"/>
              <w:rPr>
                <w:sz w:val="20"/>
                <w:szCs w:val="20"/>
                <w:color w:val="auto"/>
              </w:rPr>
            </w:pPr>
            <w:r>
              <w:rPr>
                <w:rFonts w:ascii="Arial" w:cs="Arial" w:eastAsia="Arial" w:hAnsi="Arial"/>
                <w:sz w:val="12"/>
                <w:szCs w:val="12"/>
                <w:color w:val="auto"/>
                <w:w w:val="94"/>
              </w:rPr>
              <w:t>Indicate by check mark if the registrant is not required to file reports pursuant to Section 13 or 15(d) of the Act.  Yes</w:t>
            </w:r>
          </w:p>
        </w:tc>
        <w:tc>
          <w:tcPr>
            <w:tcW w:w="300" w:type="dxa"/>
            <w:vAlign w:val="bottom"/>
          </w:tcPr>
          <w:p>
            <w:pPr>
              <w:jc w:val="right"/>
              <w:ind w:right="62"/>
              <w:spacing w:after="0" w:line="121" w:lineRule="exact"/>
              <w:rPr>
                <w:sz w:val="20"/>
                <w:szCs w:val="20"/>
                <w:color w:val="auto"/>
              </w:rPr>
            </w:pPr>
            <w:r>
              <w:rPr>
                <w:rFonts w:ascii="MS PGothic" w:cs="MS PGothic" w:eastAsia="MS PGothic" w:hAnsi="MS PGothic"/>
                <w:sz w:val="12"/>
                <w:szCs w:val="12"/>
                <w:color w:val="auto"/>
              </w:rPr>
              <w:t>☐</w:t>
            </w:r>
          </w:p>
        </w:tc>
        <w:tc>
          <w:tcPr>
            <w:tcW w:w="220" w:type="dxa"/>
            <w:vAlign w:val="bottom"/>
          </w:tcPr>
          <w:p>
            <w:pPr>
              <w:spacing w:after="0"/>
              <w:rPr>
                <w:sz w:val="20"/>
                <w:szCs w:val="20"/>
                <w:color w:val="auto"/>
              </w:rPr>
            </w:pPr>
            <w:r>
              <w:rPr>
                <w:rFonts w:ascii="Arial" w:cs="Arial" w:eastAsia="Arial" w:hAnsi="Arial"/>
                <w:sz w:val="12"/>
                <w:szCs w:val="12"/>
                <w:color w:val="auto"/>
              </w:rPr>
              <w:t>No</w:t>
            </w:r>
          </w:p>
        </w:tc>
        <w:tc>
          <w:tcPr>
            <w:tcW w:w="260" w:type="dxa"/>
            <w:vAlign w:val="bottom"/>
            <w:gridSpan w:val="2"/>
          </w:tcPr>
          <w:p>
            <w:pPr>
              <w:spacing w:after="0" w:line="121" w:lineRule="exact"/>
              <w:rPr>
                <w:sz w:val="20"/>
                <w:szCs w:val="20"/>
                <w:color w:val="auto"/>
              </w:rPr>
            </w:pPr>
            <w:r>
              <w:rPr>
                <w:rFonts w:ascii="MS PGothic" w:cs="MS PGothic" w:eastAsia="MS PGothic" w:hAnsi="MS PGothic"/>
                <w:sz w:val="12"/>
                <w:szCs w:val="12"/>
                <w:color w:val="auto"/>
              </w:rPr>
              <w:t>☒</w:t>
            </w:r>
          </w:p>
        </w:tc>
        <w:tc>
          <w:tcPr>
            <w:tcW w:w="2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1520" w:type="dxa"/>
            <w:vAlign w:val="bottom"/>
            <w:gridSpan w:val="10"/>
          </w:tcPr>
          <w:p>
            <w:pPr>
              <w:ind w:left="600"/>
              <w:spacing w:after="0" w:line="136" w:lineRule="exact"/>
              <w:rPr>
                <w:sz w:val="20"/>
                <w:szCs w:val="20"/>
                <w:color w:val="auto"/>
              </w:rPr>
            </w:pPr>
            <w:r>
              <w:rPr>
                <w:rFonts w:ascii="Arial" w:cs="Arial" w:eastAsia="Arial" w:hAnsi="Arial"/>
                <w:sz w:val="12"/>
                <w:szCs w:val="12"/>
                <w:color w:val="auto"/>
                <w:w w:val="95"/>
              </w:rPr>
              <w:t>Indicate by check mark whether the registrant: (1) has filed all reports required to be filed by Section 13 or 15(d) of the Securities Exchange Act of 1934 during the preceding 12 months (or for such shorter period that</w:t>
            </w:r>
          </w:p>
        </w:tc>
        <w:tc>
          <w:tcPr>
            <w:tcW w:w="0" w:type="dxa"/>
            <w:vAlign w:val="bottom"/>
          </w:tcPr>
          <w:p>
            <w:pPr>
              <w:spacing w:after="0"/>
              <w:rPr>
                <w:sz w:val="1"/>
                <w:szCs w:val="1"/>
                <w:color w:val="auto"/>
              </w:rPr>
            </w:pPr>
          </w:p>
        </w:tc>
      </w:tr>
      <w:tr>
        <w:trPr>
          <w:trHeight w:val="193"/>
        </w:trPr>
        <w:tc>
          <w:tcPr>
            <w:tcW w:w="6700" w:type="dxa"/>
            <w:vAlign w:val="bottom"/>
            <w:gridSpan w:val="5"/>
          </w:tcPr>
          <w:p>
            <w:pPr>
              <w:jc w:val="right"/>
              <w:spacing w:after="0" w:line="138" w:lineRule="exact"/>
              <w:rPr>
                <w:sz w:val="20"/>
                <w:szCs w:val="20"/>
                <w:color w:val="auto"/>
              </w:rPr>
            </w:pPr>
            <w:r>
              <w:rPr>
                <w:rFonts w:ascii="Arial" w:cs="Arial" w:eastAsia="Arial" w:hAnsi="Arial"/>
                <w:sz w:val="12"/>
                <w:szCs w:val="12"/>
                <w:color w:val="auto"/>
                <w:w w:val="94"/>
              </w:rPr>
              <w:t xml:space="preserve">the registrant was required to file such reports), and (2) has been subject to such filing requirements for the past 90 days.  Yes </w:t>
            </w:r>
            <w:r>
              <w:rPr>
                <w:rFonts w:ascii="MS PGothic" w:cs="MS PGothic" w:eastAsia="MS PGothic" w:hAnsi="MS PGothic"/>
                <w:sz w:val="12"/>
                <w:szCs w:val="12"/>
                <w:color w:val="auto"/>
                <w:w w:val="94"/>
              </w:rPr>
              <w:t>☒</w:t>
            </w:r>
            <w:r>
              <w:rPr>
                <w:rFonts w:ascii="Arial" w:cs="Arial" w:eastAsia="Arial" w:hAnsi="Arial"/>
                <w:sz w:val="12"/>
                <w:szCs w:val="12"/>
                <w:color w:val="auto"/>
                <w:w w:val="94"/>
              </w:rPr>
              <w:t xml:space="preserve">  No</w:t>
            </w:r>
          </w:p>
        </w:tc>
        <w:tc>
          <w:tcPr>
            <w:tcW w:w="22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7" w:right="140" w:firstLine="599"/>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left="7" w:right="220" w:firstLine="599"/>
        <w:spacing w:after="0" w:line="25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7"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520" w:type="dxa"/>
            <w:vAlign w:val="bottom"/>
          </w:tcPr>
          <w:p>
            <w:pPr>
              <w:ind w:left="56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tcPr>
          <w:p>
            <w:pPr>
              <w:ind w:left="2840"/>
              <w:spacing w:after="0"/>
              <w:rPr>
                <w:sz w:val="20"/>
                <w:szCs w:val="20"/>
                <w:color w:val="auto"/>
              </w:rPr>
            </w:pPr>
            <w:r>
              <w:rPr>
                <w:rFonts w:ascii="Arial" w:cs="Arial" w:eastAsia="Arial" w:hAnsi="Arial"/>
                <w:sz w:val="12"/>
                <w:szCs w:val="12"/>
                <w:color w:val="auto"/>
              </w:rPr>
              <w:t>Accelerated filer</w:t>
            </w:r>
          </w:p>
        </w:tc>
        <w:tc>
          <w:tcPr>
            <w:tcW w:w="660" w:type="dxa"/>
            <w:vAlign w:val="bottom"/>
          </w:tcPr>
          <w:p>
            <w:pPr>
              <w:ind w:left="5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2"/>
        </w:trPr>
        <w:tc>
          <w:tcPr>
            <w:tcW w:w="1900" w:type="dxa"/>
            <w:vAlign w:val="bottom"/>
          </w:tcPr>
          <w:p>
            <w:pPr>
              <w:spacing w:after="0"/>
              <w:rPr>
                <w:sz w:val="20"/>
                <w:szCs w:val="20"/>
                <w:color w:val="auto"/>
              </w:rPr>
            </w:pPr>
            <w:r>
              <w:rPr>
                <w:rFonts w:ascii="Arial" w:cs="Arial" w:eastAsia="Arial" w:hAnsi="Arial"/>
                <w:sz w:val="12"/>
                <w:szCs w:val="12"/>
                <w:color w:val="auto"/>
              </w:rPr>
              <w:t>Non-accelerated filer</w:t>
            </w:r>
          </w:p>
        </w:tc>
        <w:tc>
          <w:tcPr>
            <w:tcW w:w="3520" w:type="dxa"/>
            <w:vAlign w:val="bottom"/>
          </w:tcPr>
          <w:p>
            <w:pPr>
              <w:ind w:left="56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tcPr>
          <w:p>
            <w:pPr>
              <w:ind w:left="2840"/>
              <w:spacing w:after="0"/>
              <w:rPr>
                <w:sz w:val="20"/>
                <w:szCs w:val="20"/>
                <w:color w:val="auto"/>
              </w:rPr>
            </w:pPr>
            <w:r>
              <w:rPr>
                <w:rFonts w:ascii="Arial" w:cs="Arial" w:eastAsia="Arial" w:hAnsi="Arial"/>
                <w:sz w:val="12"/>
                <w:szCs w:val="12"/>
                <w:color w:val="auto"/>
              </w:rPr>
              <w:t>Smaller reporting company</w:t>
            </w:r>
          </w:p>
        </w:tc>
        <w:tc>
          <w:tcPr>
            <w:tcW w:w="660" w:type="dxa"/>
            <w:vAlign w:val="bottom"/>
          </w:tcPr>
          <w:p>
            <w:pPr>
              <w:ind w:left="5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3"/>
        </w:trPr>
        <w:tc>
          <w:tcPr>
            <w:tcW w:w="190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520" w:type="dxa"/>
            <w:vAlign w:val="bottom"/>
          </w:tcPr>
          <w:p>
            <w:pPr>
              <w:ind w:left="560"/>
              <w:spacing w:after="0" w:line="121" w:lineRule="exact"/>
              <w:rPr>
                <w:sz w:val="20"/>
                <w:szCs w:val="20"/>
                <w:color w:val="auto"/>
              </w:rPr>
            </w:pPr>
            <w:r>
              <w:rPr>
                <w:rFonts w:ascii="MS PGothic" w:cs="MS PGothic" w:eastAsia="MS PGothic" w:hAnsi="MS PGothic"/>
                <w:sz w:val="12"/>
                <w:szCs w:val="12"/>
                <w:color w:val="auto"/>
              </w:rPr>
              <w:t>☐</w:t>
            </w:r>
          </w:p>
        </w:tc>
        <w:tc>
          <w:tcPr>
            <w:tcW w:w="474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15" w:lineRule="exact"/>
        <w:rPr>
          <w:sz w:val="24"/>
          <w:szCs w:val="24"/>
          <w:color w:val="auto"/>
        </w:rPr>
      </w:pPr>
    </w:p>
    <w:p>
      <w:pPr>
        <w:ind w:left="7" w:right="200" w:firstLine="59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5" w:lineRule="exact"/>
        <w:rPr>
          <w:sz w:val="24"/>
          <w:szCs w:val="24"/>
          <w:color w:val="auto"/>
        </w:rPr>
      </w:pPr>
    </w:p>
    <w:p>
      <w:pPr>
        <w:ind w:left="607"/>
        <w:spacing w:after="0" w:line="138" w:lineRule="exact"/>
        <w:tabs>
          <w:tab w:leader="none" w:pos="7707"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Securities Exchange Act of 1934).  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70" w:lineRule="exact"/>
        <w:rPr>
          <w:sz w:val="24"/>
          <w:szCs w:val="24"/>
          <w:color w:val="auto"/>
        </w:rPr>
      </w:pPr>
    </w:p>
    <w:p>
      <w:pPr>
        <w:ind w:left="7" w:right="100" w:firstLine="599"/>
        <w:spacing w:after="0" w:line="238"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was approximately $392,964,130 based on the closing price of the registrant’s common stock on the NASDAQ Global Market of $9.63 per share on June 28, 2019. Shares of common stock held by each executive officer and director and each affiliated entity has been excluded from this calculation. This determination of affiliate status may not be conclusive for other purposes.</w:t>
      </w:r>
    </w:p>
    <w:p>
      <w:pPr>
        <w:spacing w:after="0" w:line="19" w:lineRule="exact"/>
        <w:rPr>
          <w:sz w:val="24"/>
          <w:szCs w:val="24"/>
          <w:color w:val="auto"/>
        </w:rPr>
      </w:pPr>
    </w:p>
    <w:p>
      <w:pPr>
        <w:ind w:left="607"/>
        <w:spacing w:after="0"/>
        <w:rPr>
          <w:sz w:val="20"/>
          <w:szCs w:val="20"/>
          <w:color w:val="auto"/>
        </w:rPr>
      </w:pPr>
      <w:r>
        <w:rPr>
          <w:rFonts w:ascii="Arial" w:cs="Arial" w:eastAsia="Arial" w:hAnsi="Arial"/>
          <w:sz w:val="12"/>
          <w:szCs w:val="12"/>
          <w:color w:val="auto"/>
        </w:rPr>
        <w:t>The number of outstanding shares of the registrant’s common stock, par value $0.001 per share, as of February 12, 2020 was 43,956,020.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73"/>
        <w:spacing w:after="0"/>
        <w:rPr>
          <w:sz w:val="20"/>
          <w:szCs w:val="20"/>
          <w:color w:val="auto"/>
        </w:rPr>
      </w:pPr>
      <w:r>
        <w:rPr>
          <w:rFonts w:ascii="Arial" w:cs="Arial" w:eastAsia="Arial" w:hAnsi="Arial"/>
          <w:sz w:val="12"/>
          <w:szCs w:val="12"/>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398780</wp:posOffset>
            </wp:positionV>
            <wp:extent cx="73063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527"/>
          </w:cols>
          <w:pgMar w:left="233" w:top="561" w:right="139" w:bottom="1440" w:gutter="0" w:footer="0" w:header="0"/>
          <w:type w:val="continuous"/>
        </w:sectPr>
      </w:pPr>
    </w:p>
    <w:bookmarkStart w:id="1" w:name="page2"/>
    <w:bookmarkEnd w:id="1"/>
    <w:p>
      <w:pPr>
        <w:ind w:firstLine="599"/>
        <w:spacing w:after="0" w:line="253" w:lineRule="auto"/>
        <w:rPr>
          <w:sz w:val="20"/>
          <w:szCs w:val="20"/>
          <w:color w:val="auto"/>
        </w:rPr>
      </w:pPr>
      <w:r>
        <w:rPr>
          <w:rFonts w:ascii="Arial" w:cs="Arial" w:eastAsia="Arial" w:hAnsi="Arial"/>
          <w:sz w:val="12"/>
          <w:szCs w:val="12"/>
          <w:color w:val="auto"/>
        </w:rPr>
        <w:t>Portions of the registrant’s Proxy Statement to be filed with the Securities and Exchange Commission pursuant to Regulation 14A in connection with the registrant’s 2020 Annual Meeting of Stockholders, which will be filed subsequent to the date hereof,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72656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72656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518"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gridSpan w:val="6"/>
          </w:tcPr>
          <w:p>
            <w:pPr>
              <w:jc w:val="center"/>
              <w:ind w:right="4060"/>
              <w:spacing w:after="0"/>
              <w:rPr>
                <w:sz w:val="20"/>
                <w:szCs w:val="20"/>
                <w:color w:val="auto"/>
              </w:rPr>
            </w:pPr>
            <w:r>
              <w:rPr>
                <w:rFonts w:ascii="Arial" w:cs="Arial" w:eastAsia="Arial" w:hAnsi="Arial"/>
                <w:sz w:val="15"/>
                <w:szCs w:val="15"/>
                <w:b w:val="1"/>
                <w:bCs w:val="1"/>
                <w:color w:val="auto"/>
              </w:rPr>
              <w:t>MEDICINOVA, INC.</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80" w:type="dxa"/>
            <w:vAlign w:val="bottom"/>
            <w:gridSpan w:val="8"/>
          </w:tcPr>
          <w:p>
            <w:pPr>
              <w:jc w:val="center"/>
              <w:ind w:right="3180"/>
              <w:spacing w:after="0"/>
              <w:rPr>
                <w:sz w:val="20"/>
                <w:szCs w:val="20"/>
                <w:color w:val="auto"/>
              </w:rPr>
            </w:pPr>
            <w:r>
              <w:rPr>
                <w:rFonts w:ascii="Arial" w:cs="Arial" w:eastAsia="Arial" w:hAnsi="Arial"/>
                <w:sz w:val="15"/>
                <w:szCs w:val="15"/>
                <w:b w:val="1"/>
                <w:bCs w:val="1"/>
                <w:color w:val="auto"/>
              </w:rPr>
              <w:t>FORM 10-K—ANNUAL REPORT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80" w:type="dxa"/>
            <w:vAlign w:val="bottom"/>
            <w:gridSpan w:val="8"/>
          </w:tcPr>
          <w:p>
            <w:pPr>
              <w:jc w:val="center"/>
              <w:ind w:right="3180"/>
              <w:spacing w:after="0"/>
              <w:rPr>
                <w:sz w:val="20"/>
                <w:szCs w:val="20"/>
                <w:color w:val="auto"/>
              </w:rPr>
            </w:pPr>
            <w:r>
              <w:rPr>
                <w:rFonts w:ascii="Arial" w:cs="Arial" w:eastAsia="Arial" w:hAnsi="Arial"/>
                <w:sz w:val="15"/>
                <w:szCs w:val="15"/>
                <w:b w:val="1"/>
                <w:bCs w:val="1"/>
                <w:color w:val="auto"/>
                <w:w w:val="93"/>
              </w:rPr>
              <w:t>For the Fiscal Year Ended December 31, 2019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gridSpan w:val="6"/>
          </w:tcPr>
          <w:p>
            <w:pPr>
              <w:jc w:val="center"/>
              <w:ind w:right="4040"/>
              <w:spacing w:after="0"/>
              <w:rPr>
                <w:sz w:val="20"/>
                <w:szCs w:val="20"/>
                <w:color w:val="auto"/>
              </w:rPr>
            </w:pPr>
            <w:r>
              <w:rPr>
                <w:rFonts w:ascii="Arial" w:cs="Arial" w:eastAsia="Arial" w:hAnsi="Arial"/>
                <w:sz w:val="15"/>
                <w:szCs w:val="15"/>
                <w:b w:val="1"/>
                <w:bCs w:val="1"/>
                <w:color w:val="auto"/>
                <w:w w:val="91"/>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PART I</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5"/>
        </w:trPr>
        <w:tc>
          <w:tcPr>
            <w:tcW w:w="12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gridSpan w:val="2"/>
          </w:tcPr>
          <w:p>
            <w:pPr>
              <w:spacing w:after="0" w:line="163" w:lineRule="exact"/>
              <w:rPr>
                <w:sz w:val="20"/>
                <w:szCs w:val="20"/>
                <w:color w:val="auto"/>
              </w:rPr>
            </w:pPr>
            <w:r>
              <w:rPr>
                <w:rFonts w:ascii="Arial" w:cs="Arial" w:eastAsia="Arial" w:hAnsi="Arial"/>
                <w:sz w:val="15"/>
                <w:szCs w:val="15"/>
                <w:color w:val="auto"/>
              </w:rPr>
              <w:t>Item 1</w:t>
            </w:r>
          </w:p>
        </w:tc>
        <w:tc>
          <w:tcPr>
            <w:tcW w:w="9340" w:type="dxa"/>
            <w:vAlign w:val="bottom"/>
            <w:gridSpan w:val="19"/>
          </w:tcPr>
          <w:p>
            <w:pPr>
              <w:spacing w:after="0" w:line="163" w:lineRule="exact"/>
              <w:rPr>
                <w:rFonts w:ascii="Arial" w:cs="Arial" w:eastAsia="Arial" w:hAnsi="Arial"/>
                <w:sz w:val="15"/>
                <w:szCs w:val="15"/>
                <w:color w:val="0000EE"/>
              </w:rPr>
            </w:pPr>
            <w:hyperlink w:anchor="page6">
              <w:r>
                <w:rPr>
                  <w:rFonts w:ascii="Arial" w:cs="Arial" w:eastAsia="Arial" w:hAnsi="Arial"/>
                  <w:sz w:val="15"/>
                  <w:szCs w:val="15"/>
                  <w:color w:val="0000EE"/>
                </w:rPr>
                <w:t>Business</w:t>
              </w:r>
            </w:hyperlink>
          </w:p>
        </w:tc>
        <w:tc>
          <w:tcPr>
            <w:tcW w:w="800" w:type="dxa"/>
            <w:vAlign w:val="bottom"/>
          </w:tcPr>
          <w:p>
            <w:pPr>
              <w:jc w:val="center"/>
              <w:ind w:left="43"/>
              <w:spacing w:after="0" w:line="163" w:lineRule="exact"/>
              <w:rPr>
                <w:sz w:val="20"/>
                <w:szCs w:val="20"/>
                <w:color w:val="auto"/>
              </w:rPr>
            </w:pPr>
            <w:r>
              <w:rPr>
                <w:rFonts w:ascii="Arial" w:cs="Arial" w:eastAsia="Arial" w:hAnsi="Arial"/>
                <w:sz w:val="15"/>
                <w:szCs w:val="15"/>
                <w:color w:val="auto"/>
                <w:w w:val="95"/>
              </w:rPr>
              <w:t>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1A</w:t>
            </w:r>
          </w:p>
        </w:tc>
        <w:tc>
          <w:tcPr>
            <w:tcW w:w="780" w:type="dxa"/>
            <w:vAlign w:val="bottom"/>
            <w:tcBorders>
              <w:bottom w:val="single" w:sz="8" w:color="0000EE"/>
            </w:tcBorders>
            <w:gridSpan w:val="3"/>
          </w:tcPr>
          <w:p>
            <w:pPr>
              <w:spacing w:after="0" w:line="166" w:lineRule="exact"/>
              <w:rPr>
                <w:rFonts w:ascii="Arial" w:cs="Arial" w:eastAsia="Arial" w:hAnsi="Arial"/>
                <w:sz w:val="15"/>
                <w:szCs w:val="15"/>
                <w:color w:val="0000EE"/>
                <w:w w:val="91"/>
              </w:rPr>
            </w:pPr>
            <w:hyperlink w:anchor="page29">
              <w:r>
                <w:rPr>
                  <w:rFonts w:ascii="Arial" w:cs="Arial" w:eastAsia="Arial" w:hAnsi="Arial"/>
                  <w:sz w:val="15"/>
                  <w:szCs w:val="15"/>
                  <w:color w:val="0000EE"/>
                  <w:w w:val="91"/>
                </w:rPr>
                <w:t>Risk Factors</w:t>
              </w:r>
            </w:hyperlink>
          </w:p>
        </w:tc>
        <w:tc>
          <w:tcPr>
            <w:tcW w:w="8560" w:type="dxa"/>
            <w:vAlign w:val="bottom"/>
            <w:gridSpan w:val="16"/>
          </w:tcPr>
          <w:p>
            <w:pPr>
              <w:spacing w:after="0"/>
              <w:rPr>
                <w:sz w:val="14"/>
                <w:szCs w:val="14"/>
                <w:color w:val="auto"/>
              </w:rPr>
            </w:pPr>
          </w:p>
        </w:tc>
        <w:tc>
          <w:tcPr>
            <w:tcW w:w="800" w:type="dxa"/>
            <w:vAlign w:val="bottom"/>
          </w:tcPr>
          <w:p>
            <w:pPr>
              <w:jc w:val="right"/>
              <w:ind w:right="163"/>
              <w:spacing w:after="0" w:line="166"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1B</w:t>
            </w:r>
          </w:p>
        </w:tc>
        <w:tc>
          <w:tcPr>
            <w:tcW w:w="1760" w:type="dxa"/>
            <w:vAlign w:val="bottom"/>
            <w:tcBorders>
              <w:bottom w:val="single" w:sz="8" w:color="0000EE"/>
            </w:tcBorders>
            <w:gridSpan w:val="8"/>
          </w:tcPr>
          <w:p>
            <w:pPr>
              <w:spacing w:after="0" w:line="166" w:lineRule="exact"/>
              <w:rPr>
                <w:rFonts w:ascii="Arial" w:cs="Arial" w:eastAsia="Arial" w:hAnsi="Arial"/>
                <w:sz w:val="15"/>
                <w:szCs w:val="15"/>
                <w:color w:val="0000EE"/>
                <w:w w:val="92"/>
              </w:rPr>
            </w:pPr>
            <w:hyperlink w:anchor="page50">
              <w:r>
                <w:rPr>
                  <w:rFonts w:ascii="Arial" w:cs="Arial" w:eastAsia="Arial" w:hAnsi="Arial"/>
                  <w:sz w:val="15"/>
                  <w:szCs w:val="15"/>
                  <w:color w:val="0000EE"/>
                  <w:w w:val="92"/>
                </w:rPr>
                <w:t>Unresolved Staff Comments</w:t>
              </w:r>
            </w:hyperlink>
          </w:p>
        </w:tc>
        <w:tc>
          <w:tcPr>
            <w:tcW w:w="7580" w:type="dxa"/>
            <w:vAlign w:val="bottom"/>
            <w:gridSpan w:val="11"/>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50</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2</w:t>
            </w:r>
          </w:p>
        </w:tc>
        <w:tc>
          <w:tcPr>
            <w:tcW w:w="9340" w:type="dxa"/>
            <w:vAlign w:val="bottom"/>
            <w:gridSpan w:val="19"/>
          </w:tcPr>
          <w:p>
            <w:pPr>
              <w:spacing w:after="0" w:line="166" w:lineRule="exact"/>
              <w:rPr>
                <w:rFonts w:ascii="Arial" w:cs="Arial" w:eastAsia="Arial" w:hAnsi="Arial"/>
                <w:sz w:val="15"/>
                <w:szCs w:val="15"/>
                <w:color w:val="0000EE"/>
              </w:rPr>
            </w:pPr>
            <w:hyperlink w:anchor="page50">
              <w:r>
                <w:rPr>
                  <w:rFonts w:ascii="Arial" w:cs="Arial" w:eastAsia="Arial" w:hAnsi="Arial"/>
                  <w:sz w:val="15"/>
                  <w:szCs w:val="15"/>
                  <w:color w:val="0000EE"/>
                </w:rPr>
                <w:t>Properties</w:t>
              </w:r>
            </w:hyperlink>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3</w:t>
            </w:r>
          </w:p>
        </w:tc>
        <w:tc>
          <w:tcPr>
            <w:tcW w:w="9340" w:type="dxa"/>
            <w:vAlign w:val="bottom"/>
            <w:gridSpan w:val="19"/>
          </w:tcPr>
          <w:p>
            <w:pPr>
              <w:spacing w:after="0" w:line="166" w:lineRule="exact"/>
              <w:rPr>
                <w:rFonts w:ascii="Arial" w:cs="Arial" w:eastAsia="Arial" w:hAnsi="Arial"/>
                <w:sz w:val="15"/>
                <w:szCs w:val="15"/>
                <w:color w:val="0000EE"/>
              </w:rPr>
            </w:pPr>
            <w:hyperlink w:anchor="page50">
              <w:r>
                <w:rPr>
                  <w:rFonts w:ascii="Arial" w:cs="Arial" w:eastAsia="Arial" w:hAnsi="Arial"/>
                  <w:sz w:val="15"/>
                  <w:szCs w:val="15"/>
                  <w:color w:val="0000EE"/>
                </w:rPr>
                <w:t>Legal Proceedings</w:t>
              </w:r>
            </w:hyperlink>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4</w:t>
            </w:r>
          </w:p>
        </w:tc>
        <w:tc>
          <w:tcPr>
            <w:tcW w:w="9340" w:type="dxa"/>
            <w:vAlign w:val="bottom"/>
            <w:gridSpan w:val="19"/>
          </w:tcPr>
          <w:p>
            <w:pPr>
              <w:spacing w:after="0" w:line="166" w:lineRule="exact"/>
              <w:rPr>
                <w:rFonts w:ascii="Arial" w:cs="Arial" w:eastAsia="Arial" w:hAnsi="Arial"/>
                <w:sz w:val="15"/>
                <w:szCs w:val="15"/>
                <w:color w:val="0000EE"/>
              </w:rPr>
            </w:pPr>
            <w:hyperlink w:anchor="page50">
              <w:r>
                <w:rPr>
                  <w:rFonts w:ascii="Arial" w:cs="Arial" w:eastAsia="Arial" w:hAnsi="Arial"/>
                  <w:sz w:val="15"/>
                  <w:szCs w:val="15"/>
                  <w:color w:val="0000EE"/>
                </w:rPr>
                <w:t>Mine Safety Disclosures</w:t>
              </w:r>
            </w:hyperlink>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50</w:t>
            </w:r>
          </w:p>
        </w:tc>
        <w:tc>
          <w:tcPr>
            <w:tcW w:w="0" w:type="dxa"/>
            <w:vAlign w:val="bottom"/>
          </w:tcPr>
          <w:p>
            <w:pPr>
              <w:spacing w:after="0"/>
              <w:rPr>
                <w:sz w:val="1"/>
                <w:szCs w:val="1"/>
                <w:color w:val="auto"/>
              </w:rPr>
            </w:pPr>
          </w:p>
        </w:tc>
      </w:tr>
      <w:tr>
        <w:trPr>
          <w:trHeight w:val="294"/>
        </w:trPr>
        <w:tc>
          <w:tcPr>
            <w:tcW w:w="1200" w:type="dxa"/>
            <w:vAlign w:val="bottom"/>
            <w:gridSpan w:val="2"/>
          </w:tcPr>
          <w:p>
            <w:pPr>
              <w:spacing w:after="0"/>
              <w:rPr>
                <w:sz w:val="20"/>
                <w:szCs w:val="20"/>
                <w:color w:val="auto"/>
              </w:rPr>
            </w:pPr>
            <w:r>
              <w:rPr>
                <w:rFonts w:ascii="Arial" w:cs="Arial" w:eastAsia="Arial" w:hAnsi="Arial"/>
                <w:sz w:val="15"/>
                <w:szCs w:val="15"/>
                <w:b w:val="1"/>
                <w:bCs w:val="1"/>
                <w:color w:val="auto"/>
              </w:rPr>
              <w:t>PART II</w:t>
            </w: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00" w:type="dxa"/>
            <w:vAlign w:val="bottom"/>
            <w:gridSpan w:val="2"/>
          </w:tcPr>
          <w:p>
            <w:pPr>
              <w:spacing w:after="0" w:line="161" w:lineRule="exact"/>
              <w:rPr>
                <w:sz w:val="20"/>
                <w:szCs w:val="20"/>
                <w:color w:val="auto"/>
              </w:rPr>
            </w:pPr>
            <w:r>
              <w:rPr>
                <w:rFonts w:ascii="Arial" w:cs="Arial" w:eastAsia="Arial" w:hAnsi="Arial"/>
                <w:sz w:val="15"/>
                <w:szCs w:val="15"/>
                <w:color w:val="auto"/>
              </w:rPr>
              <w:t>Item 5</w:t>
            </w:r>
          </w:p>
        </w:tc>
        <w:tc>
          <w:tcPr>
            <w:tcW w:w="6940" w:type="dxa"/>
            <w:vAlign w:val="bottom"/>
            <w:tcBorders>
              <w:bottom w:val="single" w:sz="8" w:color="0000EE"/>
            </w:tcBorders>
            <w:gridSpan w:val="18"/>
          </w:tcPr>
          <w:p>
            <w:pPr>
              <w:spacing w:after="0" w:line="161" w:lineRule="exact"/>
              <w:rPr>
                <w:rFonts w:ascii="Arial" w:cs="Arial" w:eastAsia="Arial" w:hAnsi="Arial"/>
                <w:sz w:val="15"/>
                <w:szCs w:val="15"/>
                <w:color w:val="0000EE"/>
                <w:w w:val="93"/>
              </w:rPr>
            </w:pPr>
            <w:hyperlink w:anchor="page51">
              <w:r>
                <w:rPr>
                  <w:rFonts w:ascii="Arial" w:cs="Arial" w:eastAsia="Arial" w:hAnsi="Arial"/>
                  <w:sz w:val="15"/>
                  <w:szCs w:val="15"/>
                  <w:color w:val="0000EE"/>
                  <w:w w:val="93"/>
                </w:rPr>
                <w:t>Market for Registrant’s Common Equity, Related Stockholder Matters and Issuer Purchases of Equity Securities</w:t>
              </w:r>
            </w:hyperlink>
          </w:p>
        </w:tc>
        <w:tc>
          <w:tcPr>
            <w:tcW w:w="2400" w:type="dxa"/>
            <w:vAlign w:val="bottom"/>
          </w:tcPr>
          <w:p>
            <w:pPr>
              <w:spacing w:after="0"/>
              <w:rPr>
                <w:sz w:val="14"/>
                <w:szCs w:val="14"/>
                <w:color w:val="auto"/>
              </w:rPr>
            </w:pPr>
          </w:p>
        </w:tc>
        <w:tc>
          <w:tcPr>
            <w:tcW w:w="800" w:type="dxa"/>
            <w:vAlign w:val="bottom"/>
          </w:tcPr>
          <w:p>
            <w:pPr>
              <w:jc w:val="center"/>
              <w:ind w:left="43"/>
              <w:spacing w:after="0" w:line="161" w:lineRule="exact"/>
              <w:rPr>
                <w:sz w:val="20"/>
                <w:szCs w:val="20"/>
                <w:color w:val="auto"/>
              </w:rPr>
            </w:pPr>
            <w:r>
              <w:rPr>
                <w:rFonts w:ascii="Arial" w:cs="Arial" w:eastAsia="Arial" w:hAnsi="Arial"/>
                <w:sz w:val="15"/>
                <w:szCs w:val="15"/>
                <w:color w:val="auto"/>
                <w:w w:val="95"/>
              </w:rPr>
              <w:t>51</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6</w:t>
            </w:r>
          </w:p>
        </w:tc>
        <w:tc>
          <w:tcPr>
            <w:tcW w:w="9340" w:type="dxa"/>
            <w:vAlign w:val="bottom"/>
            <w:gridSpan w:val="19"/>
          </w:tcPr>
          <w:p>
            <w:pPr>
              <w:spacing w:after="0" w:line="166" w:lineRule="exact"/>
              <w:rPr>
                <w:rFonts w:ascii="Arial" w:cs="Arial" w:eastAsia="Arial" w:hAnsi="Arial"/>
                <w:sz w:val="15"/>
                <w:szCs w:val="15"/>
                <w:color w:val="0000EE"/>
              </w:rPr>
            </w:pPr>
            <w:hyperlink w:anchor="page51">
              <w:r>
                <w:rPr>
                  <w:rFonts w:ascii="Arial" w:cs="Arial" w:eastAsia="Arial" w:hAnsi="Arial"/>
                  <w:sz w:val="15"/>
                  <w:szCs w:val="15"/>
                  <w:color w:val="0000EE"/>
                </w:rPr>
                <w:t>Selected Financial Data</w:t>
              </w:r>
            </w:hyperlink>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7</w:t>
            </w:r>
          </w:p>
        </w:tc>
        <w:tc>
          <w:tcPr>
            <w:tcW w:w="9340" w:type="dxa"/>
            <w:vAlign w:val="bottom"/>
            <w:gridSpan w:val="19"/>
          </w:tcPr>
          <w:p>
            <w:pPr>
              <w:spacing w:after="0" w:line="166" w:lineRule="exact"/>
              <w:rPr>
                <w:rFonts w:ascii="Arial" w:cs="Arial" w:eastAsia="Arial" w:hAnsi="Arial"/>
                <w:sz w:val="15"/>
                <w:szCs w:val="15"/>
                <w:color w:val="0000EE"/>
              </w:rPr>
            </w:pPr>
            <w:hyperlink w:anchor="page52">
              <w:r>
                <w:rPr>
                  <w:rFonts w:ascii="Arial" w:cs="Arial" w:eastAsia="Arial" w:hAnsi="Arial"/>
                  <w:sz w:val="15"/>
                  <w:szCs w:val="15"/>
                  <w:color w:val="0000EE"/>
                </w:rPr>
                <w:t>Management’s Discussion and Analysis of Financial Condition and Results of Operations</w:t>
              </w:r>
            </w:hyperlink>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52</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7A</w:t>
            </w:r>
          </w:p>
        </w:tc>
        <w:tc>
          <w:tcPr>
            <w:tcW w:w="5540" w:type="dxa"/>
            <w:vAlign w:val="bottom"/>
            <w:tcBorders>
              <w:top w:val="single" w:sz="8" w:color="0000EE"/>
            </w:tcBorders>
            <w:gridSpan w:val="15"/>
          </w:tcPr>
          <w:p>
            <w:pPr>
              <w:spacing w:after="0" w:line="166" w:lineRule="exact"/>
              <w:rPr>
                <w:rFonts w:ascii="Arial" w:cs="Arial" w:eastAsia="Arial" w:hAnsi="Arial"/>
                <w:sz w:val="15"/>
                <w:szCs w:val="15"/>
                <w:color w:val="0000EE"/>
              </w:rPr>
            </w:pPr>
            <w:hyperlink w:anchor="page56">
              <w:r>
                <w:rPr>
                  <w:rFonts w:ascii="Arial" w:cs="Arial" w:eastAsia="Arial" w:hAnsi="Arial"/>
                  <w:sz w:val="15"/>
                  <w:szCs w:val="15"/>
                  <w:color w:val="0000EE"/>
                </w:rPr>
                <w:t>Quantitative and Qualitative Disclosures About Market Risk</w:t>
              </w:r>
            </w:hyperlink>
          </w:p>
        </w:tc>
        <w:tc>
          <w:tcPr>
            <w:tcW w:w="3800" w:type="dxa"/>
            <w:vAlign w:val="bottom"/>
            <w:gridSpan w:val="4"/>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56</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8</w:t>
            </w:r>
          </w:p>
        </w:tc>
        <w:tc>
          <w:tcPr>
            <w:tcW w:w="3740" w:type="dxa"/>
            <w:vAlign w:val="bottom"/>
            <w:tcBorders>
              <w:top w:val="single" w:sz="8" w:color="0000EE"/>
            </w:tcBorders>
            <w:gridSpan w:val="13"/>
          </w:tcPr>
          <w:p>
            <w:pPr>
              <w:spacing w:after="0" w:line="166" w:lineRule="exact"/>
              <w:rPr>
                <w:rFonts w:ascii="Arial" w:cs="Arial" w:eastAsia="Arial" w:hAnsi="Arial"/>
                <w:sz w:val="15"/>
                <w:szCs w:val="15"/>
                <w:color w:val="0000EE"/>
              </w:rPr>
            </w:pPr>
            <w:hyperlink w:anchor="page56">
              <w:r>
                <w:rPr>
                  <w:rFonts w:ascii="Arial" w:cs="Arial" w:eastAsia="Arial" w:hAnsi="Arial"/>
                  <w:sz w:val="15"/>
                  <w:szCs w:val="15"/>
                  <w:color w:val="0000EE"/>
                </w:rPr>
                <w:t>Financial Statements and Supplementary Data</w:t>
              </w:r>
            </w:hyperlink>
          </w:p>
        </w:tc>
        <w:tc>
          <w:tcPr>
            <w:tcW w:w="5600" w:type="dxa"/>
            <w:vAlign w:val="bottom"/>
            <w:gridSpan w:val="6"/>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56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9</w:t>
            </w:r>
          </w:p>
        </w:tc>
        <w:tc>
          <w:tcPr>
            <w:tcW w:w="5600" w:type="dxa"/>
            <w:vAlign w:val="bottom"/>
            <w:tcBorders>
              <w:bottom w:val="single" w:sz="8" w:color="0000EE"/>
            </w:tcBorders>
            <w:gridSpan w:val="16"/>
          </w:tcPr>
          <w:p>
            <w:pPr>
              <w:spacing w:after="0" w:line="166" w:lineRule="exact"/>
              <w:rPr>
                <w:rFonts w:ascii="Arial" w:cs="Arial" w:eastAsia="Arial" w:hAnsi="Arial"/>
                <w:sz w:val="15"/>
                <w:szCs w:val="15"/>
                <w:color w:val="0000EE"/>
                <w:w w:val="93"/>
              </w:rPr>
            </w:pPr>
            <w:hyperlink w:anchor="page75">
              <w:r>
                <w:rPr>
                  <w:rFonts w:ascii="Arial" w:cs="Arial" w:eastAsia="Arial" w:hAnsi="Arial"/>
                  <w:sz w:val="15"/>
                  <w:szCs w:val="15"/>
                  <w:color w:val="0000EE"/>
                  <w:w w:val="93"/>
                </w:rPr>
                <w:t>Changes in and Disagreements With Accountants on Accounting and Financial Disclosure</w:t>
              </w:r>
            </w:hyperlink>
          </w:p>
        </w:tc>
        <w:tc>
          <w:tcPr>
            <w:tcW w:w="3740" w:type="dxa"/>
            <w:vAlign w:val="bottom"/>
            <w:gridSpan w:val="3"/>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75</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9A</w:t>
            </w:r>
          </w:p>
        </w:tc>
        <w:tc>
          <w:tcPr>
            <w:tcW w:w="9340" w:type="dxa"/>
            <w:vAlign w:val="bottom"/>
            <w:gridSpan w:val="19"/>
          </w:tcPr>
          <w:p>
            <w:pPr>
              <w:spacing w:after="0" w:line="166" w:lineRule="exact"/>
              <w:rPr>
                <w:rFonts w:ascii="Arial" w:cs="Arial" w:eastAsia="Arial" w:hAnsi="Arial"/>
                <w:sz w:val="15"/>
                <w:szCs w:val="15"/>
                <w:color w:val="0000EE"/>
              </w:rPr>
            </w:pPr>
            <w:hyperlink w:anchor="page75">
              <w:r>
                <w:rPr>
                  <w:rFonts w:ascii="Arial" w:cs="Arial" w:eastAsia="Arial" w:hAnsi="Arial"/>
                  <w:sz w:val="15"/>
                  <w:szCs w:val="15"/>
                  <w:color w:val="0000EE"/>
                </w:rPr>
                <w:t>Controls and Procedures</w:t>
              </w:r>
            </w:hyperlink>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75</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9B</w:t>
            </w:r>
          </w:p>
        </w:tc>
        <w:tc>
          <w:tcPr>
            <w:tcW w:w="1520" w:type="dxa"/>
            <w:vAlign w:val="bottom"/>
            <w:tcBorders>
              <w:top w:val="single" w:sz="8" w:color="0000EE"/>
            </w:tcBorders>
            <w:gridSpan w:val="6"/>
          </w:tcPr>
          <w:p>
            <w:pPr>
              <w:spacing w:after="0" w:line="166" w:lineRule="exact"/>
              <w:rPr>
                <w:rFonts w:ascii="Arial" w:cs="Arial" w:eastAsia="Arial" w:hAnsi="Arial"/>
                <w:sz w:val="15"/>
                <w:szCs w:val="15"/>
                <w:color w:val="0000EE"/>
              </w:rPr>
            </w:pPr>
            <w:hyperlink w:anchor="page79">
              <w:r>
                <w:rPr>
                  <w:rFonts w:ascii="Arial" w:cs="Arial" w:eastAsia="Arial" w:hAnsi="Arial"/>
                  <w:sz w:val="15"/>
                  <w:szCs w:val="15"/>
                  <w:color w:val="0000EE"/>
                </w:rPr>
                <w:t>Other Information</w:t>
              </w:r>
            </w:hyperlink>
          </w:p>
        </w:tc>
        <w:tc>
          <w:tcPr>
            <w:tcW w:w="7820" w:type="dxa"/>
            <w:vAlign w:val="bottom"/>
            <w:gridSpan w:val="13"/>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79</w:t>
            </w:r>
          </w:p>
        </w:tc>
        <w:tc>
          <w:tcPr>
            <w:tcW w:w="0" w:type="dxa"/>
            <w:vAlign w:val="bottom"/>
          </w:tcPr>
          <w:p>
            <w:pPr>
              <w:spacing w:after="0"/>
              <w:rPr>
                <w:sz w:val="1"/>
                <w:szCs w:val="1"/>
                <w:color w:val="auto"/>
              </w:rPr>
            </w:pPr>
          </w:p>
        </w:tc>
      </w:tr>
      <w:tr>
        <w:trPr>
          <w:trHeight w:val="294"/>
        </w:trPr>
        <w:tc>
          <w:tcPr>
            <w:tcW w:w="1200" w:type="dxa"/>
            <w:vAlign w:val="bottom"/>
            <w:gridSpan w:val="2"/>
          </w:tcPr>
          <w:p>
            <w:pPr>
              <w:spacing w:after="0"/>
              <w:rPr>
                <w:sz w:val="20"/>
                <w:szCs w:val="20"/>
                <w:color w:val="auto"/>
              </w:rPr>
            </w:pPr>
            <w:r>
              <w:rPr>
                <w:rFonts w:ascii="Arial" w:cs="Arial" w:eastAsia="Arial" w:hAnsi="Arial"/>
                <w:sz w:val="15"/>
                <w:szCs w:val="15"/>
                <w:b w:val="1"/>
                <w:bCs w:val="1"/>
                <w:color w:val="auto"/>
              </w:rPr>
              <w:t>PART III</w:t>
            </w: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00" w:type="dxa"/>
            <w:vAlign w:val="bottom"/>
            <w:gridSpan w:val="2"/>
          </w:tcPr>
          <w:p>
            <w:pPr>
              <w:spacing w:after="0" w:line="161" w:lineRule="exact"/>
              <w:rPr>
                <w:sz w:val="20"/>
                <w:szCs w:val="20"/>
                <w:color w:val="auto"/>
              </w:rPr>
            </w:pPr>
            <w:r>
              <w:rPr>
                <w:rFonts w:ascii="Arial" w:cs="Arial" w:eastAsia="Arial" w:hAnsi="Arial"/>
                <w:sz w:val="15"/>
                <w:szCs w:val="15"/>
                <w:color w:val="auto"/>
              </w:rPr>
              <w:t>Item 10</w:t>
            </w:r>
          </w:p>
        </w:tc>
        <w:tc>
          <w:tcPr>
            <w:tcW w:w="3520" w:type="dxa"/>
            <w:vAlign w:val="bottom"/>
            <w:tcBorders>
              <w:bottom w:val="single" w:sz="8" w:color="0000EE"/>
            </w:tcBorders>
            <w:gridSpan w:val="12"/>
          </w:tcPr>
          <w:p>
            <w:pPr>
              <w:spacing w:after="0" w:line="161" w:lineRule="exact"/>
              <w:rPr>
                <w:rFonts w:ascii="Arial" w:cs="Arial" w:eastAsia="Arial" w:hAnsi="Arial"/>
                <w:sz w:val="15"/>
                <w:szCs w:val="15"/>
                <w:color w:val="0000EE"/>
                <w:w w:val="93"/>
              </w:rPr>
            </w:pPr>
            <w:hyperlink w:anchor="page80">
              <w:r>
                <w:rPr>
                  <w:rFonts w:ascii="Arial" w:cs="Arial" w:eastAsia="Arial" w:hAnsi="Arial"/>
                  <w:sz w:val="15"/>
                  <w:szCs w:val="15"/>
                  <w:color w:val="0000EE"/>
                  <w:w w:val="93"/>
                </w:rPr>
                <w:t>Directors, Executive Officers and Corporate Governance</w:t>
              </w:r>
            </w:hyperlink>
          </w:p>
        </w:tc>
        <w:tc>
          <w:tcPr>
            <w:tcW w:w="5820" w:type="dxa"/>
            <w:vAlign w:val="bottom"/>
            <w:gridSpan w:val="7"/>
          </w:tcPr>
          <w:p>
            <w:pPr>
              <w:spacing w:after="0"/>
              <w:rPr>
                <w:sz w:val="14"/>
                <w:szCs w:val="14"/>
                <w:color w:val="auto"/>
              </w:rPr>
            </w:pPr>
          </w:p>
        </w:tc>
        <w:tc>
          <w:tcPr>
            <w:tcW w:w="800" w:type="dxa"/>
            <w:vAlign w:val="bottom"/>
          </w:tcPr>
          <w:p>
            <w:pPr>
              <w:jc w:val="center"/>
              <w:ind w:left="43"/>
              <w:spacing w:after="0" w:line="161" w:lineRule="exact"/>
              <w:rPr>
                <w:sz w:val="20"/>
                <w:szCs w:val="20"/>
                <w:color w:val="auto"/>
              </w:rPr>
            </w:pPr>
            <w:r>
              <w:rPr>
                <w:rFonts w:ascii="Arial" w:cs="Arial" w:eastAsia="Arial" w:hAnsi="Arial"/>
                <w:sz w:val="15"/>
                <w:szCs w:val="15"/>
                <w:color w:val="auto"/>
                <w:w w:val="95"/>
              </w:rPr>
              <w:t>80</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11</w:t>
            </w:r>
          </w:p>
        </w:tc>
        <w:tc>
          <w:tcPr>
            <w:tcW w:w="1560" w:type="dxa"/>
            <w:vAlign w:val="bottom"/>
            <w:tcBorders>
              <w:bottom w:val="single" w:sz="8" w:color="0000EE"/>
            </w:tcBorders>
            <w:gridSpan w:val="7"/>
          </w:tcPr>
          <w:p>
            <w:pPr>
              <w:spacing w:after="0" w:line="166" w:lineRule="exact"/>
              <w:rPr>
                <w:rFonts w:ascii="Arial" w:cs="Arial" w:eastAsia="Arial" w:hAnsi="Arial"/>
                <w:sz w:val="15"/>
                <w:szCs w:val="15"/>
                <w:color w:val="0000EE"/>
                <w:w w:val="92"/>
              </w:rPr>
            </w:pPr>
            <w:hyperlink w:anchor="page80">
              <w:r>
                <w:rPr>
                  <w:rFonts w:ascii="Arial" w:cs="Arial" w:eastAsia="Arial" w:hAnsi="Arial"/>
                  <w:sz w:val="15"/>
                  <w:szCs w:val="15"/>
                  <w:color w:val="0000EE"/>
                  <w:w w:val="92"/>
                </w:rPr>
                <w:t>Executive Compensation</w:t>
              </w:r>
            </w:hyperlink>
          </w:p>
        </w:tc>
        <w:tc>
          <w:tcPr>
            <w:tcW w:w="7780" w:type="dxa"/>
            <w:vAlign w:val="bottom"/>
            <w:gridSpan w:val="12"/>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80</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12</w:t>
            </w:r>
          </w:p>
        </w:tc>
        <w:tc>
          <w:tcPr>
            <w:tcW w:w="9340" w:type="dxa"/>
            <w:vAlign w:val="bottom"/>
            <w:gridSpan w:val="19"/>
          </w:tcPr>
          <w:p>
            <w:pPr>
              <w:spacing w:after="0" w:line="166" w:lineRule="exact"/>
              <w:rPr>
                <w:rFonts w:ascii="Arial" w:cs="Arial" w:eastAsia="Arial" w:hAnsi="Arial"/>
                <w:sz w:val="15"/>
                <w:szCs w:val="15"/>
                <w:color w:val="0000EE"/>
              </w:rPr>
            </w:pPr>
            <w:hyperlink w:anchor="page80">
              <w:r>
                <w:rPr>
                  <w:rFonts w:ascii="Arial" w:cs="Arial" w:eastAsia="Arial" w:hAnsi="Arial"/>
                  <w:sz w:val="15"/>
                  <w:szCs w:val="15"/>
                  <w:color w:val="0000EE"/>
                </w:rPr>
                <w:t>Security Ownership of Certain Beneficial Owners and Management and Related Stockholder Matters</w:t>
              </w:r>
            </w:hyperlink>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80</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13</w:t>
            </w:r>
          </w:p>
        </w:tc>
        <w:tc>
          <w:tcPr>
            <w:tcW w:w="6260" w:type="dxa"/>
            <w:vAlign w:val="bottom"/>
            <w:tcBorders>
              <w:top w:val="single" w:sz="8" w:color="0000EE"/>
            </w:tcBorders>
            <w:gridSpan w:val="17"/>
          </w:tcPr>
          <w:p>
            <w:pPr>
              <w:spacing w:after="0" w:line="166" w:lineRule="exact"/>
              <w:rPr>
                <w:rFonts w:ascii="Arial" w:cs="Arial" w:eastAsia="Arial" w:hAnsi="Arial"/>
                <w:sz w:val="15"/>
                <w:szCs w:val="15"/>
                <w:color w:val="0000EE"/>
              </w:rPr>
            </w:pPr>
            <w:hyperlink w:anchor="page81">
              <w:r>
                <w:rPr>
                  <w:rFonts w:ascii="Arial" w:cs="Arial" w:eastAsia="Arial" w:hAnsi="Arial"/>
                  <w:sz w:val="15"/>
                  <w:szCs w:val="15"/>
                  <w:color w:val="0000EE"/>
                </w:rPr>
                <w:t>Certain Relationships and Related Transactions, and Director Independence</w:t>
              </w:r>
            </w:hyperlink>
          </w:p>
        </w:tc>
        <w:tc>
          <w:tcPr>
            <w:tcW w:w="3080" w:type="dxa"/>
            <w:vAlign w:val="bottom"/>
            <w:gridSpan w:val="2"/>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81</w:t>
            </w:r>
          </w:p>
        </w:tc>
        <w:tc>
          <w:tcPr>
            <w:tcW w:w="0" w:type="dxa"/>
            <w:vAlign w:val="bottom"/>
          </w:tcPr>
          <w:p>
            <w:pPr>
              <w:spacing w:after="0"/>
              <w:rPr>
                <w:sz w:val="1"/>
                <w:szCs w:val="1"/>
                <w:color w:val="auto"/>
              </w:rPr>
            </w:pPr>
          </w:p>
        </w:tc>
      </w:tr>
      <w:tr>
        <w:trPr>
          <w:trHeight w:val="166"/>
        </w:trPr>
        <w:tc>
          <w:tcPr>
            <w:tcW w:w="1200" w:type="dxa"/>
            <w:vAlign w:val="bottom"/>
            <w:gridSpan w:val="2"/>
          </w:tcPr>
          <w:p>
            <w:pPr>
              <w:spacing w:after="0" w:line="166" w:lineRule="exact"/>
              <w:rPr>
                <w:sz w:val="20"/>
                <w:szCs w:val="20"/>
                <w:color w:val="auto"/>
              </w:rPr>
            </w:pPr>
            <w:r>
              <w:rPr>
                <w:rFonts w:ascii="Arial" w:cs="Arial" w:eastAsia="Arial" w:hAnsi="Arial"/>
                <w:sz w:val="15"/>
                <w:szCs w:val="15"/>
                <w:color w:val="auto"/>
              </w:rPr>
              <w:t>Item 14</w:t>
            </w:r>
          </w:p>
        </w:tc>
        <w:tc>
          <w:tcPr>
            <w:tcW w:w="4680" w:type="dxa"/>
            <w:vAlign w:val="bottom"/>
            <w:tcBorders>
              <w:top w:val="single" w:sz="8" w:color="0000EE"/>
            </w:tcBorders>
            <w:gridSpan w:val="14"/>
          </w:tcPr>
          <w:p>
            <w:pPr>
              <w:spacing w:after="0" w:line="166" w:lineRule="exact"/>
              <w:rPr>
                <w:rFonts w:ascii="Arial" w:cs="Arial" w:eastAsia="Arial" w:hAnsi="Arial"/>
                <w:sz w:val="15"/>
                <w:szCs w:val="15"/>
                <w:color w:val="0000EE"/>
              </w:rPr>
            </w:pPr>
            <w:hyperlink w:anchor="page81">
              <w:r>
                <w:rPr>
                  <w:rFonts w:ascii="Arial" w:cs="Arial" w:eastAsia="Arial" w:hAnsi="Arial"/>
                  <w:sz w:val="15"/>
                  <w:szCs w:val="15"/>
                  <w:color w:val="0000EE"/>
                </w:rPr>
                <w:t>Principal Accountant Fees and Services</w:t>
              </w:r>
            </w:hyperlink>
          </w:p>
        </w:tc>
        <w:tc>
          <w:tcPr>
            <w:tcW w:w="4660" w:type="dxa"/>
            <w:vAlign w:val="bottom"/>
            <w:gridSpan w:val="5"/>
          </w:tcPr>
          <w:p>
            <w:pPr>
              <w:spacing w:after="0"/>
              <w:rPr>
                <w:sz w:val="14"/>
                <w:szCs w:val="14"/>
                <w:color w:val="auto"/>
              </w:rPr>
            </w:pPr>
          </w:p>
        </w:tc>
        <w:tc>
          <w:tcPr>
            <w:tcW w:w="800" w:type="dxa"/>
            <w:vAlign w:val="bottom"/>
          </w:tcPr>
          <w:p>
            <w:pPr>
              <w:jc w:val="center"/>
              <w:ind w:left="43"/>
              <w:spacing w:after="0" w:line="166" w:lineRule="exact"/>
              <w:rPr>
                <w:sz w:val="20"/>
                <w:szCs w:val="20"/>
                <w:color w:val="auto"/>
              </w:rPr>
            </w:pPr>
            <w:r>
              <w:rPr>
                <w:rFonts w:ascii="Arial" w:cs="Arial" w:eastAsia="Arial" w:hAnsi="Arial"/>
                <w:sz w:val="15"/>
                <w:szCs w:val="15"/>
                <w:color w:val="auto"/>
                <w:w w:val="95"/>
              </w:rPr>
              <w:t>81</w:t>
            </w:r>
          </w:p>
        </w:tc>
        <w:tc>
          <w:tcPr>
            <w:tcW w:w="0" w:type="dxa"/>
            <w:vAlign w:val="bottom"/>
          </w:tcPr>
          <w:p>
            <w:pPr>
              <w:spacing w:after="0"/>
              <w:rPr>
                <w:sz w:val="1"/>
                <w:szCs w:val="1"/>
                <w:color w:val="auto"/>
              </w:rPr>
            </w:pPr>
          </w:p>
        </w:tc>
      </w:tr>
      <w:tr>
        <w:trPr>
          <w:trHeight w:val="294"/>
        </w:trPr>
        <w:tc>
          <w:tcPr>
            <w:tcW w:w="1200" w:type="dxa"/>
            <w:vAlign w:val="bottom"/>
            <w:gridSpan w:val="2"/>
          </w:tcPr>
          <w:p>
            <w:pPr>
              <w:spacing w:after="0"/>
              <w:rPr>
                <w:sz w:val="20"/>
                <w:szCs w:val="20"/>
                <w:color w:val="auto"/>
              </w:rPr>
            </w:pPr>
            <w:r>
              <w:rPr>
                <w:rFonts w:ascii="Arial" w:cs="Arial" w:eastAsia="Arial" w:hAnsi="Arial"/>
                <w:sz w:val="15"/>
                <w:szCs w:val="15"/>
                <w:b w:val="1"/>
                <w:bCs w:val="1"/>
                <w:color w:val="auto"/>
              </w:rPr>
              <w:t>PART IV</w:t>
            </w: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00" w:type="dxa"/>
            <w:vAlign w:val="bottom"/>
            <w:gridSpan w:val="2"/>
          </w:tcPr>
          <w:p>
            <w:pPr>
              <w:spacing w:after="0" w:line="161" w:lineRule="exact"/>
              <w:rPr>
                <w:sz w:val="20"/>
                <w:szCs w:val="20"/>
                <w:color w:val="auto"/>
              </w:rPr>
            </w:pPr>
            <w:r>
              <w:rPr>
                <w:rFonts w:ascii="Arial" w:cs="Arial" w:eastAsia="Arial" w:hAnsi="Arial"/>
                <w:sz w:val="15"/>
                <w:szCs w:val="15"/>
                <w:color w:val="auto"/>
              </w:rPr>
              <w:t>Item 15</w:t>
            </w:r>
          </w:p>
        </w:tc>
        <w:tc>
          <w:tcPr>
            <w:tcW w:w="9340" w:type="dxa"/>
            <w:vAlign w:val="bottom"/>
            <w:gridSpan w:val="19"/>
          </w:tcPr>
          <w:p>
            <w:pPr>
              <w:spacing w:after="0" w:line="161" w:lineRule="exact"/>
              <w:rPr>
                <w:rFonts w:ascii="Arial" w:cs="Arial" w:eastAsia="Arial" w:hAnsi="Arial"/>
                <w:sz w:val="15"/>
                <w:szCs w:val="15"/>
                <w:color w:val="0000EE"/>
              </w:rPr>
            </w:pPr>
            <w:hyperlink w:anchor="page82">
              <w:r>
                <w:rPr>
                  <w:rFonts w:ascii="Arial" w:cs="Arial" w:eastAsia="Arial" w:hAnsi="Arial"/>
                  <w:sz w:val="15"/>
                  <w:szCs w:val="15"/>
                  <w:color w:val="0000EE"/>
                </w:rPr>
                <w:t>Exhibits and Financial Statement Schedules</w:t>
              </w:r>
            </w:hyperlink>
          </w:p>
        </w:tc>
        <w:tc>
          <w:tcPr>
            <w:tcW w:w="800" w:type="dxa"/>
            <w:vAlign w:val="bottom"/>
          </w:tcPr>
          <w:p>
            <w:pPr>
              <w:jc w:val="center"/>
              <w:ind w:left="43"/>
              <w:spacing w:after="0" w:line="161" w:lineRule="exact"/>
              <w:rPr>
                <w:sz w:val="20"/>
                <w:szCs w:val="20"/>
                <w:color w:val="auto"/>
              </w:rPr>
            </w:pPr>
            <w:r>
              <w:rPr>
                <w:rFonts w:ascii="Arial" w:cs="Arial" w:eastAsia="Arial" w:hAnsi="Arial"/>
                <w:sz w:val="15"/>
                <w:szCs w:val="15"/>
                <w:color w:val="auto"/>
                <w:w w:val="95"/>
              </w:rPr>
              <w:t>82</w:t>
            </w:r>
          </w:p>
        </w:tc>
        <w:tc>
          <w:tcPr>
            <w:tcW w:w="0" w:type="dxa"/>
            <w:vAlign w:val="bottom"/>
          </w:tcPr>
          <w:p>
            <w:pPr>
              <w:spacing w:after="0"/>
              <w:rPr>
                <w:sz w:val="1"/>
                <w:szCs w:val="1"/>
                <w:color w:val="auto"/>
              </w:rPr>
            </w:pPr>
          </w:p>
        </w:tc>
      </w:tr>
      <w:tr>
        <w:trPr>
          <w:trHeight w:val="270"/>
        </w:trPr>
        <w:tc>
          <w:tcPr>
            <w:tcW w:w="700" w:type="dxa"/>
            <w:vAlign w:val="bottom"/>
            <w:tcBorders>
              <w:bottom w:val="single" w:sz="8" w:color="0000EE"/>
            </w:tcBorders>
          </w:tcPr>
          <w:p>
            <w:pPr>
              <w:spacing w:after="0"/>
              <w:rPr>
                <w:rFonts w:ascii="Arial" w:cs="Arial" w:eastAsia="Arial" w:hAnsi="Arial"/>
                <w:sz w:val="15"/>
                <w:szCs w:val="15"/>
                <w:b w:val="1"/>
                <w:bCs w:val="1"/>
                <w:color w:val="0000EE"/>
                <w:w w:val="87"/>
              </w:rPr>
            </w:pPr>
            <w:hyperlink w:anchor="page86">
              <w:r>
                <w:rPr>
                  <w:rFonts w:ascii="Arial" w:cs="Arial" w:eastAsia="Arial" w:hAnsi="Arial"/>
                  <w:sz w:val="15"/>
                  <w:szCs w:val="15"/>
                  <w:b w:val="1"/>
                  <w:bCs w:val="1"/>
                  <w:color w:val="0000EE"/>
                  <w:w w:val="87"/>
                </w:rPr>
                <w:t>Signatures</w:t>
              </w:r>
            </w:hyperlink>
          </w:p>
        </w:tc>
        <w:tc>
          <w:tcPr>
            <w:tcW w:w="500" w:type="dxa"/>
            <w:vAlign w:val="bottom"/>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800" w:type="dxa"/>
            <w:vAlign w:val="bottom"/>
          </w:tcPr>
          <w:p>
            <w:pPr>
              <w:jc w:val="center"/>
              <w:ind w:left="43"/>
              <w:spacing w:after="0"/>
              <w:rPr>
                <w:sz w:val="20"/>
                <w:szCs w:val="20"/>
                <w:color w:val="auto"/>
              </w:rPr>
            </w:pPr>
            <w:r>
              <w:rPr>
                <w:rFonts w:ascii="Arial" w:cs="Arial" w:eastAsia="Arial" w:hAnsi="Arial"/>
                <w:sz w:val="15"/>
                <w:szCs w:val="15"/>
                <w:color w:val="auto"/>
                <w:w w:val="95"/>
              </w:rPr>
              <w:t>86</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620" w:firstLine="440"/>
        <w:spacing w:after="0" w:line="290" w:lineRule="auto"/>
        <w:rPr>
          <w:sz w:val="20"/>
          <w:szCs w:val="20"/>
          <w:color w:val="auto"/>
        </w:rPr>
      </w:pPr>
      <w:r>
        <w:rPr>
          <w:rFonts w:ascii="Arial" w:cs="Arial" w:eastAsia="Arial" w:hAnsi="Arial"/>
          <w:sz w:val="15"/>
          <w:szCs w:val="15"/>
          <w:color w:val="auto"/>
        </w:rPr>
        <w:t>The MediciNova logo is a registered trademark of MediciNova, Inc. All other product and company names are registered trademarks or trademarks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PART 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216" w:lineRule="exact"/>
        <w:rPr>
          <w:sz w:val="20"/>
          <w:szCs w:val="20"/>
          <w:color w:val="auto"/>
        </w:rPr>
      </w:pPr>
    </w:p>
    <w:p>
      <w:pPr>
        <w:jc w:val="both"/>
        <w:ind w:firstLine="834"/>
        <w:spacing w:after="0" w:line="266" w:lineRule="auto"/>
        <w:rPr>
          <w:sz w:val="20"/>
          <w:szCs w:val="20"/>
          <w:color w:val="auto"/>
        </w:rPr>
      </w:pPr>
      <w:r>
        <w:rPr>
          <w:rFonts w:ascii="Arial" w:cs="Arial" w:eastAsia="Arial" w:hAnsi="Arial"/>
          <w:sz w:val="15"/>
          <w:szCs w:val="15"/>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1" w:lineRule="exact"/>
        <w:rPr>
          <w:sz w:val="20"/>
          <w:szCs w:val="20"/>
          <w:color w:val="auto"/>
        </w:rPr>
      </w:pPr>
    </w:p>
    <w:p>
      <w:pPr>
        <w:jc w:val="both"/>
        <w:ind w:firstLine="834"/>
        <w:spacing w:after="0" w:line="264" w:lineRule="auto"/>
        <w:rPr>
          <w:sz w:val="20"/>
          <w:szCs w:val="20"/>
          <w:color w:val="auto"/>
        </w:rPr>
      </w:pPr>
      <w:r>
        <w:rPr>
          <w:rFonts w:ascii="Arial" w:cs="Arial" w:eastAsia="Arial" w:hAnsi="Arial"/>
          <w:sz w:val="15"/>
          <w:szCs w:val="15"/>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factors are among those that may cause actual results to differ materially from our forward-looking statements:</w:t>
      </w:r>
    </w:p>
    <w:p>
      <w:pPr>
        <w:spacing w:after="0" w:line="106" w:lineRule="exact"/>
        <w:rPr>
          <w:sz w:val="20"/>
          <w:szCs w:val="20"/>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raise additional capital if needed;</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generate revenues from product sales to continue business operations;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develop and commercialize our product candidates;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or delay in completing clinical trials or obtaining FDA or foreign regulatory approval for our product candidates in a timely manner;</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Unsuccessful clinical trials stemming from clinical trial designs, failure to enroll a sufficient number of patients, undesirable side effects and other safety concerns;</w:t>
      </w:r>
    </w:p>
    <w:p>
      <w:pPr>
        <w:spacing w:after="0" w:line="117" w:lineRule="exact"/>
        <w:rPr>
          <w:rFonts w:ascii="Arial" w:cs="Arial" w:eastAsia="Arial" w:hAnsi="Arial"/>
          <w:sz w:val="14"/>
          <w:szCs w:val="14"/>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demonstrate sufficient efficacy of product candidates;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Reliance on the success of our MN-166 (ibudilast) and MN-001 (tipelukast) product candidates;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Delays in commencement or completion of clinical trials or suspension or termination of clinical trials;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Loss of our licensed rights to develop and commercialize a product candidate as a result of the termination of the underlying licensing agreement;</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Competitors may develop products rendering our product candidates obsolete and noncompetitive;</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successfully attract partners and enter into collaborations on acceptable terms;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Dependence on third parties to conduct clinical trials and to manufacture product candidates;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Dependence on third parties to market and distribute products;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product candidates, if approved, may not gain market acceptance or obtain adequate coverage for third party reimbursement;</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Disputes or other developments concerning our intellectual property rights;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Actual and anticipated fluctuations in our quarterly or annual operating results;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markets;</w:t>
      </w:r>
    </w:p>
    <w:p>
      <w:pPr>
        <w:spacing w:after="0" w:line="106" w:lineRule="exact"/>
        <w:rPr>
          <w:rFonts w:ascii="Arial" w:cs="Arial" w:eastAsia="Arial" w:hAnsi="Arial"/>
          <w:sz w:val="15"/>
          <w:szCs w:val="15"/>
          <w:color w:val="auto"/>
        </w:rPr>
      </w:pPr>
    </w:p>
    <w:p>
      <w:pPr>
        <w:ind w:left="1180" w:hanging="595"/>
        <w:spacing w:after="0"/>
        <w:tabs>
          <w:tab w:leader="none" w:pos="1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Litigation or public concern about the safety of our potential products;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 w:name="page5"/>
    <w:bookmarkEnd w:id="4"/>
    <w:p>
      <w:pPr>
        <w:ind w:left="595" w:hanging="595"/>
        <w:spacing w:after="0"/>
        <w:tabs>
          <w:tab w:leader="none" w:pos="595"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International trade or foreign exchange restrictions, increased tariffs, foreign currency exchange;</w:t>
      </w:r>
    </w:p>
    <w:p>
      <w:pPr>
        <w:spacing w:after="0" w:line="117" w:lineRule="exact"/>
        <w:rPr>
          <w:rFonts w:ascii="Arial" w:cs="Arial" w:eastAsia="Arial" w:hAnsi="Arial"/>
          <w:sz w:val="14"/>
          <w:szCs w:val="14"/>
          <w:color w:val="auto"/>
        </w:rPr>
      </w:pPr>
    </w:p>
    <w:p>
      <w:pPr>
        <w:ind w:left="595" w:hanging="595"/>
        <w:spacing w:after="0"/>
        <w:tabs>
          <w:tab w:leader="none" w:pos="595"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 quality material for our products may become difficult to obtain or expensive;</w:t>
      </w:r>
    </w:p>
    <w:p>
      <w:pPr>
        <w:spacing w:after="0" w:line="106" w:lineRule="exact"/>
        <w:rPr>
          <w:rFonts w:ascii="Arial" w:cs="Arial" w:eastAsia="Arial" w:hAnsi="Arial"/>
          <w:sz w:val="15"/>
          <w:szCs w:val="15"/>
          <w:color w:val="auto"/>
        </w:rPr>
      </w:pPr>
    </w:p>
    <w:p>
      <w:pPr>
        <w:ind w:left="595" w:hanging="595"/>
        <w:spacing w:after="0"/>
        <w:tabs>
          <w:tab w:leader="none" w:pos="595" w:val="left"/>
        </w:tabs>
        <w:numPr>
          <w:ilvl w:val="0"/>
          <w:numId w:val="4"/>
        </w:numPr>
        <w:rPr>
          <w:rFonts w:ascii="Arial" w:cs="Arial" w:eastAsia="Arial" w:hAnsi="Arial"/>
          <w:sz w:val="15"/>
          <w:szCs w:val="15"/>
          <w:color w:val="auto"/>
        </w:rPr>
      </w:pPr>
      <w:r>
        <w:rPr>
          <w:rFonts w:ascii="Arial" w:cs="Arial" w:eastAsia="Arial" w:hAnsi="Arial"/>
          <w:sz w:val="15"/>
          <w:szCs w:val="15"/>
          <w:color w:val="auto"/>
        </w:rPr>
        <w:t>Strict government regulations on our business;</w:t>
      </w:r>
    </w:p>
    <w:p>
      <w:pPr>
        <w:spacing w:after="0" w:line="106" w:lineRule="exact"/>
        <w:rPr>
          <w:rFonts w:ascii="Arial" w:cs="Arial" w:eastAsia="Arial" w:hAnsi="Arial"/>
          <w:sz w:val="15"/>
          <w:szCs w:val="15"/>
          <w:color w:val="auto"/>
        </w:rPr>
      </w:pPr>
    </w:p>
    <w:p>
      <w:pPr>
        <w:ind w:left="595" w:hanging="595"/>
        <w:spacing w:after="0"/>
        <w:tabs>
          <w:tab w:leader="none" w:pos="595" w:val="left"/>
        </w:tabs>
        <w:numPr>
          <w:ilvl w:val="0"/>
          <w:numId w:val="4"/>
        </w:numPr>
        <w:rPr>
          <w:rFonts w:ascii="Arial" w:cs="Arial" w:eastAsia="Arial" w:hAnsi="Arial"/>
          <w:sz w:val="15"/>
          <w:szCs w:val="15"/>
          <w:color w:val="auto"/>
        </w:rPr>
      </w:pPr>
      <w:r>
        <w:rPr>
          <w:rFonts w:ascii="Arial" w:cs="Arial" w:eastAsia="Arial" w:hAnsi="Arial"/>
          <w:sz w:val="15"/>
          <w:szCs w:val="15"/>
          <w:color w:val="auto"/>
        </w:rPr>
        <w:t>Regulations governing the production or marketing of our product candidates;</w:t>
      </w:r>
    </w:p>
    <w:p>
      <w:pPr>
        <w:spacing w:after="0" w:line="106" w:lineRule="exact"/>
        <w:rPr>
          <w:rFonts w:ascii="Arial" w:cs="Arial" w:eastAsia="Arial" w:hAnsi="Arial"/>
          <w:sz w:val="15"/>
          <w:szCs w:val="15"/>
          <w:color w:val="auto"/>
        </w:rPr>
      </w:pPr>
    </w:p>
    <w:p>
      <w:pPr>
        <w:ind w:left="595" w:hanging="595"/>
        <w:spacing w:after="0"/>
        <w:tabs>
          <w:tab w:leader="none" w:pos="595" w:val="left"/>
        </w:tabs>
        <w:numPr>
          <w:ilvl w:val="0"/>
          <w:numId w:val="4"/>
        </w:numPr>
        <w:rPr>
          <w:rFonts w:ascii="Arial" w:cs="Arial" w:eastAsia="Arial" w:hAnsi="Arial"/>
          <w:sz w:val="15"/>
          <w:szCs w:val="15"/>
          <w:color w:val="auto"/>
        </w:rPr>
      </w:pPr>
      <w:r>
        <w:rPr>
          <w:rFonts w:ascii="Arial" w:cs="Arial" w:eastAsia="Arial" w:hAnsi="Arial"/>
          <w:sz w:val="15"/>
          <w:szCs w:val="15"/>
          <w:color w:val="auto"/>
        </w:rPr>
        <w:t>Loss of, or inability to attract, key personnel; and</w:t>
      </w:r>
    </w:p>
    <w:p>
      <w:pPr>
        <w:spacing w:after="0" w:line="106" w:lineRule="exact"/>
        <w:rPr>
          <w:rFonts w:ascii="Arial" w:cs="Arial" w:eastAsia="Arial" w:hAnsi="Arial"/>
          <w:sz w:val="15"/>
          <w:szCs w:val="15"/>
          <w:color w:val="auto"/>
        </w:rPr>
      </w:pPr>
    </w:p>
    <w:p>
      <w:pPr>
        <w:ind w:left="595" w:hanging="595"/>
        <w:spacing w:after="0"/>
        <w:tabs>
          <w:tab w:leader="none" w:pos="595" w:val="left"/>
        </w:tabs>
        <w:numPr>
          <w:ilvl w:val="0"/>
          <w:numId w:val="4"/>
        </w:numPr>
        <w:rPr>
          <w:rFonts w:ascii="Arial" w:cs="Arial" w:eastAsia="Arial" w:hAnsi="Arial"/>
          <w:sz w:val="14"/>
          <w:szCs w:val="14"/>
          <w:color w:val="auto"/>
        </w:rPr>
      </w:pPr>
      <w:r>
        <w:rPr>
          <w:rFonts w:ascii="Arial" w:cs="Arial" w:eastAsia="Arial" w:hAnsi="Arial"/>
          <w:sz w:val="14"/>
          <w:szCs w:val="14"/>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95"/>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61595</wp:posOffset>
            </wp:positionV>
            <wp:extent cx="730631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9635"/>
          </w:cols>
          <w:pgMar w:left="825" w:top="129" w:right="1440"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Item 1. Business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5" w:lineRule="exact"/>
        <w:rPr>
          <w:sz w:val="20"/>
          <w:szCs w:val="20"/>
          <w:color w:val="auto"/>
        </w:rPr>
      </w:pPr>
    </w:p>
    <w:p>
      <w:pPr>
        <w:ind w:firstLine="550"/>
        <w:spacing w:after="0" w:line="264" w:lineRule="auto"/>
        <w:rPr>
          <w:sz w:val="20"/>
          <w:szCs w:val="20"/>
          <w:color w:val="auto"/>
        </w:rPr>
      </w:pPr>
      <w:r>
        <w:rPr>
          <w:rFonts w:ascii="Arial" w:cs="Arial" w:eastAsia="Arial" w:hAnsi="Arial"/>
          <w:sz w:val="15"/>
          <w:szCs w:val="15"/>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MN-166 (ibudilast) is currently in development for several different neurological diseases as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Progressive Multiple Sclerosis:</w:t>
      </w:r>
    </w:p>
    <w:p>
      <w:pPr>
        <w:spacing w:after="0" w:line="199" w:lineRule="exact"/>
        <w:rPr>
          <w:sz w:val="20"/>
          <w:szCs w:val="20"/>
          <w:color w:val="auto"/>
        </w:rPr>
      </w:pPr>
    </w:p>
    <w:p>
      <w:pPr>
        <w:ind w:right="400" w:firstLine="550"/>
        <w:spacing w:after="0" w:line="290" w:lineRule="auto"/>
        <w:rPr>
          <w:sz w:val="20"/>
          <w:szCs w:val="20"/>
          <w:color w:val="auto"/>
        </w:rPr>
      </w:pPr>
      <w:r>
        <w:rPr>
          <w:rFonts w:ascii="Arial" w:cs="Arial" w:eastAsia="Arial" w:hAnsi="Arial"/>
          <w:sz w:val="15"/>
          <w:szCs w:val="15"/>
          <w:color w:val="auto"/>
        </w:rPr>
        <w:t>We completed a Phase 2b clinical trial of MN-166 (ibudilast) for the treatment of relapsing multiple sclerosis (MS), in which positive safety and neuroprotective efficacy indicators were observed. The data from this trial indicated that MN-166 (ibudilast) may have potential in the treatment of progressive MS.</w:t>
      </w:r>
    </w:p>
    <w:p>
      <w:pPr>
        <w:spacing w:after="0" w:line="140" w:lineRule="exact"/>
        <w:rPr>
          <w:sz w:val="20"/>
          <w:szCs w:val="20"/>
          <w:color w:val="auto"/>
        </w:rPr>
      </w:pPr>
    </w:p>
    <w:p>
      <w:pPr>
        <w:ind w:firstLine="550"/>
        <w:spacing w:after="0" w:line="281" w:lineRule="auto"/>
        <w:rPr>
          <w:sz w:val="20"/>
          <w:szCs w:val="20"/>
          <w:color w:val="auto"/>
        </w:rPr>
      </w:pPr>
      <w:r>
        <w:rPr>
          <w:rFonts w:ascii="Arial" w:cs="Arial" w:eastAsia="Arial" w:hAnsi="Arial"/>
          <w:sz w:val="14"/>
          <w:szCs w:val="14"/>
          <w:color w:val="auto"/>
        </w:rPr>
        <w:t>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w:t>
      </w:r>
    </w:p>
    <w:p>
      <w:pPr>
        <w:spacing w:after="0" w:line="149" w:lineRule="exact"/>
        <w:rPr>
          <w:sz w:val="20"/>
          <w:szCs w:val="20"/>
          <w:color w:val="auto"/>
        </w:rPr>
      </w:pPr>
    </w:p>
    <w:p>
      <w:pPr>
        <w:ind w:right="400" w:firstLine="550"/>
        <w:spacing w:after="0" w:line="290" w:lineRule="auto"/>
        <w:rPr>
          <w:sz w:val="20"/>
          <w:szCs w:val="20"/>
          <w:color w:val="auto"/>
        </w:rPr>
      </w:pPr>
      <w:r>
        <w:rPr>
          <w:rFonts w:ascii="Arial" w:cs="Arial" w:eastAsia="Arial" w:hAnsi="Arial"/>
          <w:sz w:val="15"/>
          <w:szCs w:val="15"/>
          <w:color w:val="auto"/>
        </w:rPr>
        <w:t>The United States Food and Drug Administration (FDA) has granted Fast Track designation for the development of MN-166 (ibudilast) for the treatment of patients with progressive MS.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Amyotrophic Lateral Sclerosis (ALS):</w:t>
      </w:r>
    </w:p>
    <w:p>
      <w:pPr>
        <w:spacing w:after="0" w:line="199" w:lineRule="exact"/>
        <w:rPr>
          <w:sz w:val="20"/>
          <w:szCs w:val="20"/>
          <w:color w:val="auto"/>
        </w:rPr>
      </w:pPr>
    </w:p>
    <w:p>
      <w:pPr>
        <w:ind w:right="60" w:firstLine="550"/>
        <w:spacing w:after="0" w:line="266" w:lineRule="auto"/>
        <w:rPr>
          <w:sz w:val="20"/>
          <w:szCs w:val="20"/>
          <w:color w:val="auto"/>
        </w:rPr>
      </w:pPr>
      <w:r>
        <w:rPr>
          <w:rFonts w:ascii="Arial" w:cs="Arial" w:eastAsia="Arial" w:hAnsi="Arial"/>
          <w:sz w:val="15"/>
          <w:szCs w:val="15"/>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in the MN-166 (ibudilast) group compared to the placebo group. The Amyotrophic Lateral Sclerosis Functional Rating Scale-Revised (ALSFRS-R) total score measures the functional activity of an ALS subject. In July 2018, we announced data from ad-hoc subgroup analyses in ALS subjects who had either bulbar onset or upper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 w:name="page7"/>
    <w:bookmarkEnd w:id="6"/>
    <w:p>
      <w:pPr>
        <w:ind w:right="80"/>
        <w:spacing w:after="0" w:line="264" w:lineRule="auto"/>
        <w:rPr>
          <w:sz w:val="20"/>
          <w:szCs w:val="20"/>
          <w:color w:val="auto"/>
        </w:rPr>
      </w:pPr>
      <w:r>
        <w:rPr>
          <w:rFonts w:ascii="Arial" w:cs="Arial" w:eastAsia="Arial" w:hAnsi="Arial"/>
          <w:sz w:val="15"/>
          <w:szCs w:val="15"/>
          <w:color w:val="auto"/>
        </w:rPr>
        <w:t>limb onset. In September 2018, we received feedback from the FDA regarding our clinical development plan for MN-166 (ibudilast) in ALS. In January 2019, we received a Notice of Allowance from the U.S. Patent and Trademark Office for a pending patent application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at our headquarters in La Jolla, California. In December 2019, we announced that additional analyses of the completed clinical trial of MN-166 (ibudilast) in ALS was presented at the 30th International Symposium on ALS/MND (amyotrophic lateral sclerosis/motor neurone disease) in Perth, Australia.</w:t>
      </w:r>
    </w:p>
    <w:p>
      <w:pPr>
        <w:spacing w:after="0" w:line="161" w:lineRule="exact"/>
        <w:rPr>
          <w:sz w:val="20"/>
          <w:szCs w:val="20"/>
          <w:color w:val="auto"/>
        </w:rPr>
      </w:pPr>
    </w:p>
    <w:p>
      <w:pPr>
        <w:jc w:val="both"/>
        <w:ind w:firstLine="550"/>
        <w:spacing w:after="0" w:line="274" w:lineRule="auto"/>
        <w:rPr>
          <w:sz w:val="20"/>
          <w:szCs w:val="20"/>
          <w:color w:val="auto"/>
        </w:rPr>
      </w:pPr>
      <w:r>
        <w:rPr>
          <w:rFonts w:ascii="Arial" w:cs="Arial" w:eastAsia="Arial" w:hAnsi="Arial"/>
          <w:sz w:val="15"/>
          <w:szCs w:val="15"/>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Substance Dependence and Addiction:</w:t>
      </w:r>
    </w:p>
    <w:p>
      <w:pPr>
        <w:spacing w:after="0" w:line="199" w:lineRule="exact"/>
        <w:rPr>
          <w:sz w:val="20"/>
          <w:szCs w:val="20"/>
          <w:color w:val="auto"/>
        </w:rPr>
      </w:pPr>
    </w:p>
    <w:p>
      <w:pPr>
        <w:ind w:firstLine="550"/>
        <w:spacing w:after="0" w:line="266" w:lineRule="auto"/>
        <w:rPr>
          <w:sz w:val="20"/>
          <w:szCs w:val="20"/>
          <w:color w:val="auto"/>
        </w:rPr>
      </w:pPr>
      <w:r>
        <w:rPr>
          <w:rFonts w:ascii="Arial" w:cs="Arial" w:eastAsia="Arial" w:hAnsi="Arial"/>
          <w:sz w:val="15"/>
          <w:szCs w:val="15"/>
          <w:color w:val="auto"/>
        </w:rPr>
        <w:t>In the area of addiction, the National Institute on Drug Abuse (NIDA) funded a Phase 2 clinical trial of MN-166 (ibudilast) for the treatment of methamphetamine addiction. In collaboration with the University of California, Los Angeles (UCLA), this clinical trial commenced in 2013 and enrollment was completed in September 2017.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for evaluating MN-166 (ibudilast) in methamphetamine use disorder and this trial is ongoing.</w:t>
      </w:r>
    </w:p>
    <w:p>
      <w:pPr>
        <w:spacing w:after="0" w:line="158" w:lineRule="exact"/>
        <w:rPr>
          <w:sz w:val="20"/>
          <w:szCs w:val="20"/>
          <w:color w:val="auto"/>
        </w:rPr>
      </w:pPr>
    </w:p>
    <w:p>
      <w:pPr>
        <w:jc w:val="both"/>
        <w:ind w:right="80" w:firstLine="550"/>
        <w:spacing w:after="0" w:line="269" w:lineRule="auto"/>
        <w:rPr>
          <w:sz w:val="20"/>
          <w:szCs w:val="20"/>
          <w:color w:val="auto"/>
        </w:rPr>
      </w:pPr>
      <w:r>
        <w:rPr>
          <w:rFonts w:ascii="Arial" w:cs="Arial" w:eastAsia="Arial" w:hAnsi="Arial"/>
          <w:sz w:val="15"/>
          <w:szCs w:val="15"/>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155" w:lineRule="exact"/>
        <w:rPr>
          <w:sz w:val="20"/>
          <w:szCs w:val="20"/>
          <w:color w:val="auto"/>
        </w:rPr>
      </w:pPr>
    </w:p>
    <w:p>
      <w:pPr>
        <w:ind w:right="80" w:firstLine="550"/>
        <w:spacing w:after="0" w:line="289" w:lineRule="auto"/>
        <w:rPr>
          <w:sz w:val="20"/>
          <w:szCs w:val="20"/>
          <w:color w:val="auto"/>
        </w:rPr>
      </w:pPr>
      <w:r>
        <w:rPr>
          <w:rFonts w:ascii="Arial" w:cs="Arial" w:eastAsia="Arial" w:hAnsi="Arial"/>
          <w:sz w:val="14"/>
          <w:szCs w:val="14"/>
          <w:color w:val="auto"/>
        </w:rPr>
        <w:t>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and this trial is ongoing. In August 2018, we announced a new NIAAA-funded Phase 2b clinical trial of MN-166 (ibudilast) which will evaluate heavy drinking days in subjects with alcohol dependence in collaboration with researchers at UCLA and this trial is ongoing.</w:t>
      </w:r>
    </w:p>
    <w:p>
      <w:pPr>
        <w:spacing w:after="0" w:line="145" w:lineRule="exact"/>
        <w:rPr>
          <w:sz w:val="20"/>
          <w:szCs w:val="20"/>
          <w:color w:val="auto"/>
        </w:rPr>
      </w:pPr>
    </w:p>
    <w:p>
      <w:pPr>
        <w:ind w:right="500" w:firstLine="550"/>
        <w:spacing w:after="0" w:line="290" w:lineRule="auto"/>
        <w:rPr>
          <w:sz w:val="20"/>
          <w:szCs w:val="20"/>
          <w:color w:val="auto"/>
        </w:rPr>
      </w:pPr>
      <w:r>
        <w:rPr>
          <w:rFonts w:ascii="Arial" w:cs="Arial" w:eastAsia="Arial" w:hAnsi="Arial"/>
          <w:sz w:val="15"/>
          <w:szCs w:val="15"/>
          <w:i w:val="1"/>
          <w:iCs w:val="1"/>
          <w:color w:val="auto"/>
        </w:rPr>
        <w:t xml:space="preserve">Chemotherapy-Induced Peripheral Neuropathy: </w:t>
      </w:r>
      <w:r>
        <w:rPr>
          <w:rFonts w:ascii="Arial" w:cs="Arial" w:eastAsia="Arial" w:hAnsi="Arial"/>
          <w:sz w:val="15"/>
          <w:szCs w:val="15"/>
          <w:color w:val="auto"/>
        </w:rPr>
        <w:t>In March 2018, we announced plans to initiate a clinical trial to evaluate MN-166 (ibudilast) in chemotherapy-induced</w:t>
      </w:r>
      <w:r>
        <w:rPr>
          <w:rFonts w:ascii="Arial" w:cs="Arial" w:eastAsia="Arial" w:hAnsi="Arial"/>
          <w:sz w:val="15"/>
          <w:szCs w:val="15"/>
          <w:i w:val="1"/>
          <w:iCs w:val="1"/>
          <w:color w:val="auto"/>
        </w:rPr>
        <w:t xml:space="preserve"> </w:t>
      </w:r>
      <w:r>
        <w:rPr>
          <w:rFonts w:ascii="Arial" w:cs="Arial" w:eastAsia="Arial" w:hAnsi="Arial"/>
          <w:sz w:val="15"/>
          <w:szCs w:val="15"/>
          <w:color w:val="auto"/>
        </w:rPr>
        <w:t>peripheral neuropathy, which is funded by the University of Sydney Concord Cancer Centre in Australia, and this trial is ongoing.</w:t>
      </w:r>
    </w:p>
    <w:p>
      <w:pPr>
        <w:spacing w:after="0" w:line="140" w:lineRule="exact"/>
        <w:rPr>
          <w:sz w:val="20"/>
          <w:szCs w:val="20"/>
          <w:color w:val="auto"/>
        </w:rPr>
      </w:pPr>
    </w:p>
    <w:p>
      <w:pPr>
        <w:ind w:right="140" w:firstLine="550"/>
        <w:spacing w:after="0" w:line="269" w:lineRule="auto"/>
        <w:rPr>
          <w:sz w:val="20"/>
          <w:szCs w:val="20"/>
          <w:color w:val="auto"/>
        </w:rPr>
      </w:pPr>
      <w:r>
        <w:rPr>
          <w:rFonts w:ascii="Arial" w:cs="Arial" w:eastAsia="Arial" w:hAnsi="Arial"/>
          <w:sz w:val="15"/>
          <w:szCs w:val="15"/>
          <w:i w:val="1"/>
          <w:iCs w:val="1"/>
          <w:color w:val="auto"/>
        </w:rPr>
        <w:t xml:space="preserve">Degenerative Cervical Myelopathy: </w:t>
      </w:r>
      <w:r>
        <w:rPr>
          <w:rFonts w:ascii="Arial" w:cs="Arial" w:eastAsia="Arial" w:hAnsi="Arial"/>
          <w:sz w:val="15"/>
          <w:szCs w:val="15"/>
          <w:color w:val="auto"/>
        </w:rPr>
        <w:t>In August 2018, we announced plans to initiate a clinical trial of MN-166 (ibudilast) in degenerative cervical myelopathy (DCM) in</w:t>
      </w:r>
      <w:r>
        <w:rPr>
          <w:rFonts w:ascii="Arial" w:cs="Arial" w:eastAsia="Arial" w:hAnsi="Arial"/>
          <w:sz w:val="15"/>
          <w:szCs w:val="15"/>
          <w:i w:val="1"/>
          <w:iCs w:val="1"/>
          <w:color w:val="auto"/>
        </w:rPr>
        <w:t xml:space="preserve"> </w:t>
      </w:r>
      <w:r>
        <w:rPr>
          <w:rFonts w:ascii="Arial" w:cs="Arial" w:eastAsia="Arial" w:hAnsi="Arial"/>
          <w:sz w:val="15"/>
          <w:szCs w:val="15"/>
          <w:color w:val="auto"/>
        </w:rPr>
        <w:t>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w:t>
      </w:r>
    </w:p>
    <w:p>
      <w:pPr>
        <w:spacing w:after="0" w:line="155" w:lineRule="exact"/>
        <w:rPr>
          <w:sz w:val="20"/>
          <w:szCs w:val="20"/>
          <w:color w:val="auto"/>
        </w:rPr>
      </w:pPr>
    </w:p>
    <w:p>
      <w:pPr>
        <w:ind w:right="40" w:firstLine="550"/>
        <w:spacing w:after="0" w:line="274" w:lineRule="auto"/>
        <w:rPr>
          <w:sz w:val="20"/>
          <w:szCs w:val="20"/>
          <w:color w:val="auto"/>
        </w:rPr>
      </w:pPr>
      <w:r>
        <w:rPr>
          <w:rFonts w:ascii="Arial" w:cs="Arial" w:eastAsia="Arial" w:hAnsi="Arial"/>
          <w:sz w:val="15"/>
          <w:szCs w:val="15"/>
          <w:i w:val="1"/>
          <w:iCs w:val="1"/>
          <w:color w:val="auto"/>
        </w:rPr>
        <w:t xml:space="preserve">Glioblastoma: </w:t>
      </w:r>
      <w:r>
        <w:rPr>
          <w:rFonts w:ascii="Arial" w:cs="Arial" w:eastAsia="Arial" w:hAnsi="Arial"/>
          <w:sz w:val="15"/>
          <w:szCs w:val="15"/>
          <w:color w:val="auto"/>
        </w:rPr>
        <w:t>We have initiated clinical development to evaluate MN-166 (ibudilast) for the treatment of glioblastoma. In June 2017, we announced positive results from an</w:t>
      </w:r>
      <w:r>
        <w:rPr>
          <w:rFonts w:ascii="Arial" w:cs="Arial" w:eastAsia="Arial" w:hAnsi="Arial"/>
          <w:sz w:val="15"/>
          <w:szCs w:val="15"/>
          <w:i w:val="1"/>
          <w:iCs w:val="1"/>
          <w:color w:val="auto"/>
        </w:rPr>
        <w:t xml:space="preserve"> </w:t>
      </w:r>
      <w:r>
        <w:rPr>
          <w:rFonts w:ascii="Arial" w:cs="Arial" w:eastAsia="Arial" w:hAnsi="Arial"/>
          <w:sz w:val="15"/>
          <w:szCs w:val="15"/>
          <w:color w:val="auto"/>
        </w:rPr>
        <w:t>animal model study that examined the potential clinical efficacy of MN-166 (ibudilast) for the treatment of glioblastoma. These results were presented at the 2017 American Society of Clinical Oncology (ASCO) Annual Meeting. In May 2018, we announced that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uto"/>
        </w:rPr>
        <w:t>Investigational New Drug Application (IND) for MN-166 (ibudilast) for treatment of glioblastoma was accepted and opened with the FDA. In October 2018, we announced that</w:t>
      </w:r>
    </w:p>
    <w:p>
      <w:pPr>
        <w:spacing w:after="0" w:line="35" w:lineRule="exact"/>
        <w:rPr>
          <w:sz w:val="20"/>
          <w:szCs w:val="20"/>
          <w:color w:val="auto"/>
        </w:rPr>
      </w:pPr>
    </w:p>
    <w:p>
      <w:pPr>
        <w:ind w:right="60"/>
        <w:spacing w:after="0" w:line="186" w:lineRule="exact"/>
        <w:rPr>
          <w:sz w:val="20"/>
          <w:szCs w:val="20"/>
          <w:color w:val="auto"/>
        </w:rPr>
      </w:pPr>
      <w:r>
        <w:rPr>
          <w:rFonts w:ascii="Arial" w:cs="Arial" w:eastAsia="Arial" w:hAnsi="Arial"/>
          <w:sz w:val="14"/>
          <w:szCs w:val="14"/>
          <w:color w:val="auto"/>
        </w:rPr>
        <w:t>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4"/>
          <w:szCs w:val="14"/>
          <w:color w:val="auto"/>
        </w:rPr>
        <w:t>‑</w:t>
      </w:r>
      <w:r>
        <w:rPr>
          <w:rFonts w:ascii="Arial" w:cs="Arial" w:eastAsia="Arial" w:hAnsi="Arial"/>
          <w:sz w:val="14"/>
          <w:szCs w:val="14"/>
          <w:color w:val="auto"/>
        </w:rPr>
        <w:t xml:space="preserve">®) for the treatment of recurrent glioblastoma at the Dana-Farber Cancer Institute in Boston. In February 2019, we announced that </w:t>
      </w:r>
      <w:r>
        <w:rPr>
          <w:rFonts w:ascii="Arial" w:cs="Arial" w:eastAsia="Arial" w:hAnsi="Arial"/>
          <w:sz w:val="14"/>
          <w:szCs w:val="14"/>
          <w:i w:val="1"/>
          <w:iCs w:val="1"/>
          <w:color w:val="auto"/>
        </w:rPr>
        <w:t>Scientific Reports</w:t>
      </w:r>
      <w:r>
        <w:rPr>
          <w:rFonts w:ascii="Arial" w:cs="Arial" w:eastAsia="Arial" w:hAnsi="Arial"/>
          <w:sz w:val="14"/>
          <w:szCs w:val="14"/>
          <w:color w:val="auto"/>
        </w:rPr>
        <w:t xml:space="preserve"> published results from the animal model study evaluating MN-166 (ibudilast) in glioblastoma.</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MN-001 (tipelukast) is currently in development for fibrotic diseases as described below.</w:t>
      </w:r>
    </w:p>
    <w:p>
      <w:pPr>
        <w:spacing w:after="0" w:line="199" w:lineRule="exact"/>
        <w:rPr>
          <w:sz w:val="20"/>
          <w:szCs w:val="20"/>
          <w:color w:val="auto"/>
        </w:rPr>
      </w:pPr>
    </w:p>
    <w:p>
      <w:pPr>
        <w:ind w:left="20" w:right="20" w:firstLine="522"/>
        <w:spacing w:after="0" w:line="264" w:lineRule="auto"/>
        <w:rPr>
          <w:sz w:val="20"/>
          <w:szCs w:val="20"/>
          <w:color w:val="auto"/>
        </w:rPr>
      </w:pPr>
      <w:r>
        <w:rPr>
          <w:rFonts w:ascii="Arial" w:cs="Arial" w:eastAsia="Arial" w:hAnsi="Arial"/>
          <w:sz w:val="15"/>
          <w:szCs w:val="15"/>
          <w:i w:val="1"/>
          <w:iCs w:val="1"/>
          <w:color w:val="auto"/>
        </w:rPr>
        <w:t xml:space="preserve">Nonalcoholic Steatohepatitis (NASH) and Nonalcoholic Fatty Liver Disease (NAFLD): </w:t>
      </w:r>
      <w:r>
        <w:rPr>
          <w:rFonts w:ascii="Arial" w:cs="Arial" w:eastAsia="Arial" w:hAnsi="Arial"/>
          <w:sz w:val="15"/>
          <w:szCs w:val="15"/>
          <w:color w:val="auto"/>
        </w:rPr>
        <w:t>We announced positive results of MN-001 (tipelukast) in two different NASH mouse</w:t>
      </w:r>
      <w:r>
        <w:rPr>
          <w:rFonts w:ascii="Arial" w:cs="Arial" w:eastAsia="Arial" w:hAnsi="Arial"/>
          <w:sz w:val="15"/>
          <w:szCs w:val="15"/>
          <w:i w:val="1"/>
          <w:iCs w:val="1"/>
          <w:color w:val="auto"/>
        </w:rPr>
        <w:t xml:space="preserve"> </w:t>
      </w:r>
      <w:r>
        <w:rPr>
          <w:rFonts w:ascii="Arial" w:cs="Arial" w:eastAsia="Arial" w:hAnsi="Arial"/>
          <w:sz w:val="15"/>
          <w:szCs w:val="15"/>
          <w:color w:val="auto"/>
        </w:rPr>
        <w:t>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w:t>
      </w:r>
    </w:p>
    <w:p>
      <w:pPr>
        <w:spacing w:after="0" w:line="161" w:lineRule="exact"/>
        <w:rPr>
          <w:sz w:val="20"/>
          <w:szCs w:val="20"/>
          <w:color w:val="auto"/>
        </w:rPr>
      </w:pPr>
    </w:p>
    <w:p>
      <w:pPr>
        <w:ind w:left="20" w:firstLine="522"/>
        <w:spacing w:after="0" w:line="269" w:lineRule="auto"/>
        <w:rPr>
          <w:sz w:val="20"/>
          <w:szCs w:val="20"/>
          <w:color w:val="auto"/>
        </w:rPr>
      </w:pPr>
      <w:r>
        <w:rPr>
          <w:rFonts w:ascii="Arial" w:cs="Arial" w:eastAsia="Arial" w:hAnsi="Arial"/>
          <w:sz w:val="15"/>
          <w:szCs w:val="15"/>
          <w:i w:val="1"/>
          <w:iCs w:val="1"/>
          <w:color w:val="auto"/>
        </w:rPr>
        <w:t xml:space="preserve">Idiopathic Pulmonary Fibrosis (IPF): </w:t>
      </w:r>
      <w:r>
        <w:rPr>
          <w:rFonts w:ascii="Arial" w:cs="Arial" w:eastAsia="Arial" w:hAnsi="Arial"/>
          <w:sz w:val="15"/>
          <w:szCs w:val="15"/>
          <w:color w:val="auto"/>
        </w:rPr>
        <w:t>In 2014, we announced positive results of MN-001 (tipelukast) in a mouse model of pulmonary fibrosis. The FDA subsequently granted</w:t>
      </w:r>
      <w:r>
        <w:rPr>
          <w:rFonts w:ascii="Arial" w:cs="Arial" w:eastAsia="Arial" w:hAnsi="Arial"/>
          <w:sz w:val="15"/>
          <w:szCs w:val="15"/>
          <w:i w:val="1"/>
          <w:iCs w:val="1"/>
          <w:color w:val="auto"/>
        </w:rPr>
        <w:t xml:space="preserve"> </w:t>
      </w:r>
      <w:r>
        <w:rPr>
          <w:rFonts w:ascii="Arial" w:cs="Arial" w:eastAsia="Arial" w:hAnsi="Arial"/>
          <w:sz w:val="15"/>
          <w:szCs w:val="15"/>
          <w:color w:val="auto"/>
        </w:rPr>
        <w:t>Orphan-Drug designation to MN-001 (tipelukast) for treatment of IPF which will provide seven years of marketing exclusivity if MN-001 (tipelukast) is approved for IPF. The FDA granted Fast Track designation to MN-001 (tipelukast) for the treatment of patients with IPF in September 2015. We then initiated a Phase 2 clinical trial of MN-001 (tipelukast) to treat IPF and this trial is currently ongoing.</w:t>
      </w:r>
    </w:p>
    <w:p>
      <w:pPr>
        <w:spacing w:after="0" w:line="155" w:lineRule="exact"/>
        <w:rPr>
          <w:sz w:val="20"/>
          <w:szCs w:val="20"/>
          <w:color w:val="auto"/>
        </w:rPr>
      </w:pPr>
    </w:p>
    <w:p>
      <w:pPr>
        <w:ind w:firstLine="550"/>
        <w:spacing w:after="0" w:line="266" w:lineRule="auto"/>
        <w:rPr>
          <w:sz w:val="20"/>
          <w:szCs w:val="20"/>
          <w:color w:val="auto"/>
        </w:rPr>
      </w:pPr>
      <w:r>
        <w:rPr>
          <w:rFonts w:ascii="Arial" w:cs="Arial" w:eastAsia="Arial" w:hAnsi="Arial"/>
          <w:sz w:val="15"/>
          <w:szCs w:val="15"/>
          <w:color w:val="auto"/>
        </w:rPr>
        <w:t>We completed a Phase 2 clinical trial of MN-221 (bedoradrine) for the treatment of acute exacerbations of asthma treated in the emergency room and conducted an End-of-Phase 2 meeting with the FDA in October 2012. In that meeting, the FDA identified the risk/benefit profile of MN-221 (bedoradrine) as a focal point for further development and advised that a clinical outcome, such as a reduction in hospitalizations, would need to be a pivotal trial primary endpoint. We believe the appropriate clinical development for MN-221 (bedoradrine) would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158" w:lineRule="exact"/>
        <w:rPr>
          <w:sz w:val="20"/>
          <w:szCs w:val="20"/>
          <w:color w:val="auto"/>
        </w:rPr>
      </w:pPr>
    </w:p>
    <w:p>
      <w:pPr>
        <w:ind w:right="100" w:firstLine="550"/>
        <w:spacing w:after="0" w:line="274" w:lineRule="auto"/>
        <w:rPr>
          <w:sz w:val="20"/>
          <w:szCs w:val="20"/>
          <w:color w:val="auto"/>
        </w:rPr>
      </w:pPr>
      <w:r>
        <w:rPr>
          <w:rFonts w:ascii="Arial" w:cs="Arial" w:eastAsia="Arial" w:hAnsi="Arial"/>
          <w:sz w:val="15"/>
          <w:szCs w:val="15"/>
          <w:color w:val="auto"/>
        </w:rPr>
        <w:t>We have acquired licenses to MN-166 (ibudilast), MN-001 (tipelukast), MN-221 (bedoradrine), and MN-029 (denibulin) for the development of these product candidates. We have pursued development of these product candidates in various indications including progressive MS, ALS, chemotherapy-induced peripheral neuropathy, degenerative cervical myelopathy, glioblastoma, various addictions, NASH and NAFLD, IPF, acute exacerbations of asthma, and solid tumor cancers.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205" w:lineRule="exact"/>
        <w:rPr>
          <w:sz w:val="20"/>
          <w:szCs w:val="20"/>
          <w:color w:val="auto"/>
        </w:rPr>
      </w:pPr>
    </w:p>
    <w:p>
      <w:pPr>
        <w:ind w:right="240" w:firstLine="538"/>
        <w:spacing w:after="0" w:line="290" w:lineRule="auto"/>
        <w:rPr>
          <w:sz w:val="20"/>
          <w:szCs w:val="20"/>
          <w:color w:val="auto"/>
        </w:rPr>
      </w:pPr>
      <w:r>
        <w:rPr>
          <w:rFonts w:ascii="Arial" w:cs="Arial" w:eastAsia="Arial" w:hAnsi="Arial"/>
          <w:sz w:val="15"/>
          <w:szCs w:val="15"/>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40" w:lineRule="exact"/>
        <w:rPr>
          <w:sz w:val="20"/>
          <w:szCs w:val="20"/>
          <w:color w:val="auto"/>
        </w:rPr>
      </w:pPr>
    </w:p>
    <w:p>
      <w:pPr>
        <w:ind w:left="760" w:right="4500" w:hanging="523"/>
        <w:spacing w:after="0" w:line="290"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Pursue the development of MN-166 (ibudilast) for multiple potential indications with the support of non-dilutive financings.</w:t>
      </w:r>
    </w:p>
    <w:p>
      <w:pPr>
        <w:spacing w:after="0" w:line="152" w:lineRule="exact"/>
        <w:rPr>
          <w:sz w:val="20"/>
          <w:szCs w:val="20"/>
          <w:color w:val="auto"/>
        </w:rPr>
      </w:pPr>
    </w:p>
    <w:p>
      <w:pPr>
        <w:jc w:val="both"/>
        <w:ind w:right="80"/>
        <w:spacing w:after="0" w:line="269" w:lineRule="auto"/>
        <w:rPr>
          <w:sz w:val="20"/>
          <w:szCs w:val="20"/>
          <w:color w:val="auto"/>
        </w:rPr>
      </w:pPr>
      <w:r>
        <w:rPr>
          <w:rFonts w:ascii="Arial" w:cs="Arial" w:eastAsia="Arial" w:hAnsi="Arial"/>
          <w:sz w:val="15"/>
          <w:szCs w:val="15"/>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 w:name="page9"/>
    <w:bookmarkEnd w:id="8"/>
    <w:p>
      <w:pPr>
        <w:ind w:right="220"/>
        <w:spacing w:after="0" w:line="290" w:lineRule="auto"/>
        <w:rPr>
          <w:sz w:val="20"/>
          <w:szCs w:val="20"/>
          <w:color w:val="auto"/>
        </w:rPr>
      </w:pPr>
      <w:r>
        <w:rPr>
          <w:rFonts w:ascii="Arial" w:cs="Arial" w:eastAsia="Arial" w:hAnsi="Arial"/>
          <w:sz w:val="15"/>
          <w:szCs w:val="15"/>
          <w:color w:val="auto"/>
        </w:rPr>
        <w:t>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140" w:lineRule="exact"/>
        <w:rPr>
          <w:sz w:val="20"/>
          <w:szCs w:val="20"/>
          <w:color w:val="auto"/>
        </w:rPr>
      </w:pPr>
    </w:p>
    <w:p>
      <w:pPr>
        <w:ind w:left="760" w:hanging="523"/>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Pursue the development of MN-001 (tipelukast) for fibrotic and other diseases.</w:t>
      </w:r>
    </w:p>
    <w:p>
      <w:pPr>
        <w:spacing w:after="0" w:line="210"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color w:val="auto"/>
        </w:rPr>
        <w:t>We intend to advance development of MN-001 (tipelukast) through a variety of means, which may include investigator-sponsored trials with or without grant funding as well as trials funded by us.</w:t>
      </w:r>
    </w:p>
    <w:p>
      <w:pPr>
        <w:spacing w:after="0" w:line="140" w:lineRule="exact"/>
        <w:rPr>
          <w:sz w:val="20"/>
          <w:szCs w:val="20"/>
          <w:color w:val="auto"/>
        </w:rPr>
      </w:pPr>
    </w:p>
    <w:p>
      <w:pPr>
        <w:ind w:left="760" w:right="4300" w:hanging="523"/>
        <w:spacing w:after="0" w:line="290"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Consider strategic partnerships with one or more leading pharmaceutical companies to complete late-stage product development and successfully commercialize our products.</w:t>
      </w:r>
    </w:p>
    <w:p>
      <w:pPr>
        <w:spacing w:after="0" w:line="152"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(ibudilast), MN-001 (tipelukast), MN-221 (bedoradrine) and MN-029 (denibulin), which could support further clinical development and product commercialization.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 and Programs</w:t>
      </w:r>
    </w:p>
    <w:p>
      <w:pPr>
        <w:spacing w:after="0" w:line="205" w:lineRule="exact"/>
        <w:rPr>
          <w:sz w:val="20"/>
          <w:szCs w:val="20"/>
          <w:color w:val="auto"/>
        </w:rPr>
      </w:pPr>
    </w:p>
    <w:p>
      <w:pPr>
        <w:ind w:firstLine="538"/>
        <w:spacing w:after="0" w:line="328" w:lineRule="auto"/>
        <w:rPr>
          <w:sz w:val="20"/>
          <w:szCs w:val="20"/>
          <w:color w:val="auto"/>
        </w:rPr>
      </w:pPr>
      <w:r>
        <w:rPr>
          <w:rFonts w:ascii="Arial" w:cs="Arial" w:eastAsia="Arial" w:hAnsi="Arial"/>
          <w:sz w:val="14"/>
          <w:szCs w:val="14"/>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17" w:lineRule="exact"/>
        <w:rPr>
          <w:sz w:val="20"/>
          <w:szCs w:val="20"/>
          <w:color w:val="auto"/>
        </w:rPr>
      </w:pPr>
    </w:p>
    <w:p>
      <w:pPr>
        <w:ind w:right="40" w:firstLine="538"/>
        <w:spacing w:after="0" w:line="274" w:lineRule="auto"/>
        <w:rPr>
          <w:sz w:val="20"/>
          <w:szCs w:val="20"/>
          <w:color w:val="auto"/>
        </w:rPr>
      </w:pPr>
      <w:r>
        <w:rPr>
          <w:rFonts w:ascii="Arial" w:cs="Arial" w:eastAsia="Arial" w:hAnsi="Arial"/>
          <w:sz w:val="15"/>
          <w:szCs w:val="15"/>
          <w:color w:val="auto"/>
        </w:rPr>
        <w:t>Our product acquisitions have focused primarily on product candidates with significant preclinical and early clinical testing data that have been developed by the licensors outside of the United States. We utilize the existing data in preparing IND Applications or their foreign equivalents, and in designing and implementing additional preclinical or clinical trials to advance the development programs in the United States or abroad.</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Following are the details of our product development programs: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w:t>
      </w:r>
    </w:p>
    <w:p>
      <w:pPr>
        <w:spacing w:after="0" w:line="199" w:lineRule="exact"/>
        <w:rPr>
          <w:sz w:val="20"/>
          <w:szCs w:val="20"/>
          <w:color w:val="auto"/>
        </w:rPr>
      </w:pPr>
    </w:p>
    <w:p>
      <w:pPr>
        <w:ind w:right="40" w:firstLine="538"/>
        <w:spacing w:after="0" w:line="266" w:lineRule="auto"/>
        <w:rPr>
          <w:sz w:val="20"/>
          <w:szCs w:val="20"/>
          <w:color w:val="auto"/>
        </w:rPr>
      </w:pPr>
      <w:r>
        <w:rPr>
          <w:rFonts w:ascii="Arial" w:cs="Arial" w:eastAsia="Arial" w:hAnsi="Arial"/>
          <w:sz w:val="15"/>
          <w:szCs w:val="15"/>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primary progressive and secondary progressive MS, ALS, chemotherapy-induced peripheral neuropathy, degenerative cervical myelopathy, glioblastoma, and substance dependence. We licensed MN-166 (ibudilast) from Kyorin Pharmaceuticals (Kyorin) in 2004.</w:t>
      </w:r>
    </w:p>
    <w:p>
      <w:pPr>
        <w:spacing w:after="0" w:line="158" w:lineRule="exact"/>
        <w:rPr>
          <w:sz w:val="20"/>
          <w:szCs w:val="20"/>
          <w:color w:val="auto"/>
        </w:rPr>
      </w:pPr>
    </w:p>
    <w:p>
      <w:pPr>
        <w:ind w:right="40" w:firstLine="538"/>
        <w:spacing w:after="0" w:line="266" w:lineRule="auto"/>
        <w:rPr>
          <w:sz w:val="20"/>
          <w:szCs w:val="20"/>
          <w:color w:val="auto"/>
        </w:rPr>
      </w:pPr>
      <w:r>
        <w:rPr>
          <w:rFonts w:ascii="Arial" w:cs="Arial" w:eastAsia="Arial" w:hAnsi="Arial"/>
          <w:sz w:val="15"/>
          <w:szCs w:val="15"/>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58" w:lineRule="exact"/>
        <w:rPr>
          <w:sz w:val="20"/>
          <w:szCs w:val="20"/>
          <w:color w:val="auto"/>
        </w:rPr>
      </w:pPr>
    </w:p>
    <w:p>
      <w:pPr>
        <w:ind w:right="180" w:firstLine="538"/>
        <w:spacing w:after="0" w:line="269" w:lineRule="auto"/>
        <w:rPr>
          <w:sz w:val="20"/>
          <w:szCs w:val="20"/>
          <w:color w:val="auto"/>
        </w:rPr>
      </w:pPr>
      <w:r>
        <w:rPr>
          <w:rFonts w:ascii="Arial" w:cs="Arial" w:eastAsia="Arial" w:hAnsi="Arial"/>
          <w:sz w:val="15"/>
          <w:szCs w:val="15"/>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 also granted Orphan-Drug designation to MN-166 (ibudilast) as adjunctive therapy to temozolomide for the treatment of glioblastoma.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9" w:name="page10"/>
    <w:bookmarkEnd w:id="9"/>
    <w:p>
      <w:pPr>
        <w:ind w:right="120" w:firstLine="538"/>
        <w:spacing w:after="0" w:line="274" w:lineRule="auto"/>
        <w:rPr>
          <w:sz w:val="20"/>
          <w:szCs w:val="20"/>
          <w:color w:val="auto"/>
        </w:rPr>
      </w:pPr>
      <w:r>
        <w:rPr>
          <w:rFonts w:ascii="Arial" w:cs="Arial" w:eastAsia="Arial" w:hAnsi="Arial"/>
          <w:sz w:val="15"/>
          <w:szCs w:val="15"/>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drug addiction or dependence, and for the treatment of neuropathic pain.</w:t>
      </w:r>
    </w:p>
    <w:p>
      <w:pPr>
        <w:spacing w:after="0" w:line="152" w:lineRule="exact"/>
        <w:rPr>
          <w:sz w:val="20"/>
          <w:szCs w:val="20"/>
          <w:color w:val="auto"/>
        </w:rPr>
      </w:pPr>
    </w:p>
    <w:p>
      <w:pPr>
        <w:ind w:right="20" w:firstLine="538"/>
        <w:spacing w:after="0" w:line="263" w:lineRule="auto"/>
        <w:rPr>
          <w:sz w:val="20"/>
          <w:szCs w:val="20"/>
          <w:color w:val="auto"/>
        </w:rPr>
      </w:pPr>
      <w:r>
        <w:rPr>
          <w:rFonts w:ascii="Arial" w:cs="Arial" w:eastAsia="Arial" w:hAnsi="Arial"/>
          <w:sz w:val="15"/>
          <w:szCs w:val="15"/>
          <w:i w:val="1"/>
          <w:iCs w:val="1"/>
          <w:color w:val="auto"/>
        </w:rPr>
        <w:t xml:space="preserve">Primary and Secondary Progressive Multiple Sclerosis: </w:t>
      </w:r>
      <w:r>
        <w:rPr>
          <w:rFonts w:ascii="Arial" w:cs="Arial" w:eastAsia="Arial" w:hAnsi="Arial"/>
          <w:sz w:val="15"/>
          <w:szCs w:val="15"/>
          <w:color w:val="auto"/>
        </w:rPr>
        <w:t>MS is a complex disease with predominantly unknown etiology and affects approximately 2.3 million people</w:t>
      </w:r>
      <w:r>
        <w:rPr>
          <w:rFonts w:ascii="Arial" w:cs="Arial" w:eastAsia="Arial" w:hAnsi="Arial"/>
          <w:sz w:val="15"/>
          <w:szCs w:val="15"/>
          <w:i w:val="1"/>
          <w:iCs w:val="1"/>
          <w:color w:val="auto"/>
        </w:rPr>
        <w:t xml:space="preserve"> </w:t>
      </w:r>
      <w:r>
        <w:rPr>
          <w:rFonts w:ascii="Arial" w:cs="Arial" w:eastAsia="Arial" w:hAnsi="Arial"/>
          <w:sz w:val="15"/>
          <w:szCs w:val="15"/>
          <w:color w:val="auto"/>
        </w:rPr>
        <w:t>worldwide, according to the National Multiple Sclerosis Society, or NMSS. Also, according to NMSS, approximately 85 percent of people with MS are initially diagnosed with relapsing-remitting MS, or RRMS, and most people who are initially diagnosed with RRMS will eventually transition to secondary progressive MS, or SPMS. About 15 percent of people with MS are diagnosed with primary progressive MS, or PPMS. There is only one approved drug for PPMS and it is administered by intravenous infusion. Although two drugs were approved in March 2019 for SPMS with relapses, there are no approved drugs generally considered safe and 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162" w:lineRule="exact"/>
        <w:rPr>
          <w:sz w:val="20"/>
          <w:szCs w:val="20"/>
          <w:color w:val="auto"/>
        </w:rPr>
      </w:pPr>
    </w:p>
    <w:p>
      <w:pPr>
        <w:ind w:firstLine="538"/>
        <w:spacing w:after="0" w:line="280" w:lineRule="auto"/>
        <w:rPr>
          <w:sz w:val="20"/>
          <w:szCs w:val="20"/>
          <w:color w:val="auto"/>
        </w:rPr>
      </w:pPr>
      <w:r>
        <w:rPr>
          <w:rFonts w:ascii="Arial" w:cs="Arial" w:eastAsia="Arial" w:hAnsi="Arial"/>
          <w:sz w:val="14"/>
          <w:szCs w:val="14"/>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 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Pennsylvania. We were granted Fast Track designation from the FDA for MN-166 (ibudilast) for the treatment of progressive MS in 2016.</w:t>
      </w:r>
    </w:p>
    <w:p>
      <w:pPr>
        <w:spacing w:after="0" w:line="151" w:lineRule="exact"/>
        <w:rPr>
          <w:sz w:val="20"/>
          <w:szCs w:val="20"/>
          <w:color w:val="auto"/>
        </w:rPr>
      </w:pPr>
    </w:p>
    <w:p>
      <w:pPr>
        <w:jc w:val="both"/>
        <w:ind w:right="100" w:firstLine="538"/>
        <w:spacing w:after="0" w:line="269" w:lineRule="auto"/>
        <w:rPr>
          <w:sz w:val="20"/>
          <w:szCs w:val="20"/>
          <w:color w:val="auto"/>
        </w:rPr>
      </w:pPr>
      <w:r>
        <w:rPr>
          <w:rFonts w:ascii="Arial" w:cs="Arial" w:eastAsia="Arial" w:hAnsi="Arial"/>
          <w:sz w:val="15"/>
          <w:szCs w:val="15"/>
          <w:i w:val="1"/>
          <w:iCs w:val="1"/>
          <w:color w:val="auto"/>
        </w:rPr>
        <w:t xml:space="preserve">Amyotrophic Lateral Sclerosis (ALS): </w:t>
      </w:r>
      <w:r>
        <w:rPr>
          <w:rFonts w:ascii="Arial" w:cs="Arial" w:eastAsia="Arial" w:hAnsi="Arial"/>
          <w:sz w:val="15"/>
          <w:szCs w:val="15"/>
          <w:color w:val="auto"/>
        </w:rPr>
        <w:t>ALS, also known as Lou Gehrig’s disease, is a progressive neurodegenerative disease that affects nerve cells in the brain and the spinal</w:t>
      </w:r>
      <w:r>
        <w:rPr>
          <w:rFonts w:ascii="Arial" w:cs="Arial" w:eastAsia="Arial" w:hAnsi="Arial"/>
          <w:sz w:val="15"/>
          <w:szCs w:val="15"/>
          <w:i w:val="1"/>
          <w:iCs w:val="1"/>
          <w:color w:val="auto"/>
        </w:rPr>
        <w:t xml:space="preserve"> </w:t>
      </w:r>
      <w:r>
        <w:rPr>
          <w:rFonts w:ascii="Arial" w:cs="Arial" w:eastAsia="Arial" w:hAnsi="Arial"/>
          <w:sz w:val="15"/>
          <w:szCs w:val="15"/>
          <w:color w:val="auto"/>
        </w:rPr>
        <w:t>cord. The nerves lose the ability to trigger specific muscles, which causes the muscles to become weak. As a result, ALS affects voluntary movement and patients in the later stages of the disease may become totally paralyzed. Average life expectancy of an ALS patient is three years from diagnosis. According to the ALS Association, there are approximately 16,000 ALS patients in the United States and approximately 5,000 people in the United States are diagnosed with ALS each year.</w:t>
      </w:r>
    </w:p>
    <w:p>
      <w:pPr>
        <w:spacing w:after="0" w:line="155" w:lineRule="exact"/>
        <w:rPr>
          <w:sz w:val="20"/>
          <w:szCs w:val="20"/>
          <w:color w:val="auto"/>
        </w:rPr>
      </w:pPr>
    </w:p>
    <w:p>
      <w:pPr>
        <w:ind w:right="40" w:firstLine="538"/>
        <w:spacing w:after="0" w:line="274" w:lineRule="auto"/>
        <w:rPr>
          <w:sz w:val="20"/>
          <w:szCs w:val="20"/>
          <w:color w:val="auto"/>
        </w:rPr>
      </w:pPr>
      <w:r>
        <w:rPr>
          <w:rFonts w:ascii="Arial" w:cs="Arial" w:eastAsia="Arial" w:hAnsi="Arial"/>
          <w:sz w:val="15"/>
          <w:szCs w:val="15"/>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0" w:name="page11"/>
    <w:bookmarkEnd w:id="10"/>
    <w:p>
      <w:pPr>
        <w:ind w:right="240"/>
        <w:spacing w:after="0" w:line="274" w:lineRule="auto"/>
        <w:rPr>
          <w:sz w:val="20"/>
          <w:szCs w:val="20"/>
          <w:color w:val="auto"/>
        </w:rPr>
      </w:pPr>
      <w:r>
        <w:rPr>
          <w:rFonts w:ascii="Arial" w:cs="Arial" w:eastAsia="Arial" w:hAnsi="Arial"/>
          <w:sz w:val="15"/>
          <w:szCs w:val="15"/>
          <w:color w:val="auto"/>
        </w:rPr>
        <w:t>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American Academy of Neurology (AAN) 68th Annual Meeting.</w:t>
      </w:r>
    </w:p>
    <w:p>
      <w:pPr>
        <w:spacing w:after="0" w:line="152" w:lineRule="exact"/>
        <w:rPr>
          <w:sz w:val="20"/>
          <w:szCs w:val="20"/>
          <w:color w:val="auto"/>
        </w:rPr>
      </w:pPr>
    </w:p>
    <w:p>
      <w:pPr>
        <w:ind w:right="20" w:firstLine="538"/>
        <w:spacing w:after="0" w:line="261" w:lineRule="auto"/>
        <w:rPr>
          <w:sz w:val="20"/>
          <w:szCs w:val="20"/>
          <w:color w:val="auto"/>
        </w:rPr>
      </w:pPr>
      <w:r>
        <w:rPr>
          <w:rFonts w:ascii="Arial" w:cs="Arial" w:eastAsia="Arial" w:hAnsi="Arial"/>
          <w:sz w:val="15"/>
          <w:szCs w:val="15"/>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(amyotrophic lateral sclerosis/motor neurone disease)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 conclusions from these analyses into the design of our Phase 2b/3 clinical trial.</w:t>
      </w:r>
    </w:p>
    <w:p>
      <w:pPr>
        <w:spacing w:after="0" w:line="161" w:lineRule="exact"/>
        <w:rPr>
          <w:sz w:val="20"/>
          <w:szCs w:val="20"/>
          <w:color w:val="auto"/>
        </w:rPr>
      </w:pPr>
    </w:p>
    <w:p>
      <w:pPr>
        <w:ind w:right="80" w:firstLine="538"/>
        <w:spacing w:after="0" w:line="264" w:lineRule="auto"/>
        <w:rPr>
          <w:sz w:val="20"/>
          <w:szCs w:val="20"/>
          <w:color w:val="auto"/>
        </w:rPr>
      </w:pPr>
      <w:r>
        <w:rPr>
          <w:rFonts w:ascii="Arial" w:cs="Arial" w:eastAsia="Arial" w:hAnsi="Arial"/>
          <w:sz w:val="15"/>
          <w:szCs w:val="15"/>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 PTO for a pending patent application which covers the combination of MN-166 (ibudilast) and riluzole for the treatment of ALS and other neurodegenerative diseases.</w:t>
      </w:r>
    </w:p>
    <w:p>
      <w:pPr>
        <w:spacing w:after="0" w:line="161" w:lineRule="exact"/>
        <w:rPr>
          <w:sz w:val="20"/>
          <w:szCs w:val="20"/>
          <w:color w:val="auto"/>
        </w:rPr>
      </w:pPr>
    </w:p>
    <w:p>
      <w:pPr>
        <w:ind w:firstLine="538"/>
        <w:spacing w:after="0" w:line="289" w:lineRule="auto"/>
        <w:rPr>
          <w:sz w:val="20"/>
          <w:szCs w:val="20"/>
          <w:color w:val="auto"/>
        </w:rPr>
      </w:pPr>
      <w:r>
        <w:rPr>
          <w:rFonts w:ascii="Arial" w:cs="Arial" w:eastAsia="Arial" w:hAnsi="Arial"/>
          <w:sz w:val="14"/>
          <w:szCs w:val="14"/>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(amyotrophic lateral sclerosis/motor neurone disease) in Perth, Australia in December 2019. In this small study, there was no detectable effect on PBR28-PET uptake or serum NFl but there was a significant reduction in serum MIF, a marker of neuroinflammation. However, because of the open-label design of this study, there was no placebo group to compare with the MN-166 (ibudilast) group, so it is not possible to draw any definitive conclusions from this study.</w:t>
      </w:r>
    </w:p>
    <w:p>
      <w:pPr>
        <w:spacing w:after="0" w:line="145" w:lineRule="exact"/>
        <w:rPr>
          <w:sz w:val="20"/>
          <w:szCs w:val="20"/>
          <w:color w:val="auto"/>
        </w:rPr>
      </w:pPr>
    </w:p>
    <w:p>
      <w:pPr>
        <w:ind w:right="60" w:firstLine="538"/>
        <w:spacing w:after="0" w:line="285" w:lineRule="auto"/>
        <w:rPr>
          <w:sz w:val="20"/>
          <w:szCs w:val="20"/>
          <w:color w:val="auto"/>
        </w:rPr>
      </w:pPr>
      <w:r>
        <w:rPr>
          <w:rFonts w:ascii="Arial" w:cs="Arial" w:eastAsia="Arial" w:hAnsi="Arial"/>
          <w:sz w:val="14"/>
          <w:szCs w:val="14"/>
          <w:i w:val="1"/>
          <w:iCs w:val="1"/>
          <w:color w:val="auto"/>
        </w:rPr>
        <w:t xml:space="preserve">Methamphetamine Addiction: </w:t>
      </w:r>
      <w:r>
        <w:rPr>
          <w:rFonts w:ascii="Arial" w:cs="Arial" w:eastAsia="Arial" w:hAnsi="Arial"/>
          <w:sz w:val="14"/>
          <w:szCs w:val="14"/>
          <w:color w:val="auto"/>
        </w:rPr>
        <w:t>Methamphetamine is a central nervous system stimulant drug that is similar in structure to amphetamine. It is a Schedule II drug, meaning that it</w:t>
      </w:r>
      <w:r>
        <w:rPr>
          <w:rFonts w:ascii="Arial" w:cs="Arial" w:eastAsia="Arial" w:hAnsi="Arial"/>
          <w:sz w:val="14"/>
          <w:szCs w:val="14"/>
          <w:i w:val="1"/>
          <w:iCs w:val="1"/>
          <w:color w:val="auto"/>
        </w:rPr>
        <w:t xml:space="preserve"> </w:t>
      </w:r>
      <w:r>
        <w:rPr>
          <w:rFonts w:ascii="Arial" w:cs="Arial" w:eastAsia="Arial" w:hAnsi="Arial"/>
          <w:sz w:val="14"/>
          <w:szCs w:val="14"/>
          <w:color w:val="auto"/>
        </w:rPr>
        <w:t>has high abuse potential and low therapeutic potential. According to the Substance Abuse and Mental Health Services Administration’s (SAMHSA) 2018 National Survey on Drug Use and Health, there are approximately 1.1 million people aged 12 or older with methamphetamine use disorder (includes those with dependence or abuse) in the United States. According to the Rand Corporation, the estimate of the economic burden in the United States of methamphetamine use, based on the most recent year for which data are available,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11" w:name="page12"/>
    <w:bookmarkEnd w:id="11"/>
    <w:p>
      <w:pPr>
        <w:ind w:right="40"/>
        <w:spacing w:after="0" w:line="266" w:lineRule="auto"/>
        <w:rPr>
          <w:sz w:val="20"/>
          <w:szCs w:val="20"/>
          <w:color w:val="auto"/>
        </w:rPr>
      </w:pPr>
      <w:r>
        <w:rPr>
          <w:rFonts w:ascii="Arial" w:cs="Arial" w:eastAsia="Arial" w:hAnsi="Arial"/>
          <w:sz w:val="15"/>
          <w:szCs w:val="15"/>
          <w:color w:val="auto"/>
        </w:rPr>
        <w:t>investigators received NIDA grant funding for a Phase 2 clinical 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158" w:lineRule="exact"/>
        <w:rPr>
          <w:sz w:val="20"/>
          <w:szCs w:val="20"/>
          <w:color w:val="auto"/>
        </w:rPr>
      </w:pPr>
    </w:p>
    <w:p>
      <w:pPr>
        <w:ind w:right="40" w:firstLine="538"/>
        <w:spacing w:after="0" w:line="261" w:lineRule="auto"/>
        <w:rPr>
          <w:sz w:val="20"/>
          <w:szCs w:val="20"/>
          <w:color w:val="auto"/>
        </w:rPr>
      </w:pPr>
      <w:r>
        <w:rPr>
          <w:rFonts w:ascii="Arial" w:cs="Arial" w:eastAsia="Arial" w:hAnsi="Arial"/>
          <w:sz w:val="15"/>
          <w:szCs w:val="15"/>
          <w:i w:val="1"/>
          <w:iCs w:val="1"/>
          <w:color w:val="auto"/>
        </w:rPr>
        <w:t xml:space="preserve">Opioid Withdrawal and Dependency: </w:t>
      </w:r>
      <w:r>
        <w:rPr>
          <w:rFonts w:ascii="Arial" w:cs="Arial" w:eastAsia="Arial" w:hAnsi="Arial"/>
          <w:sz w:val="15"/>
          <w:szCs w:val="15"/>
          <w:color w:val="auto"/>
        </w:rPr>
        <w:t>According to the SAMHSA’s 2018 National Survey on Drug Use and Health, there are approximately 1.7 million people aged 12 or older</w:t>
      </w:r>
      <w:r>
        <w:rPr>
          <w:rFonts w:ascii="Arial" w:cs="Arial" w:eastAsia="Arial" w:hAnsi="Arial"/>
          <w:sz w:val="15"/>
          <w:szCs w:val="15"/>
          <w:i w:val="1"/>
          <w:iCs w:val="1"/>
          <w:color w:val="auto"/>
        </w:rPr>
        <w:t xml:space="preserve"> </w:t>
      </w:r>
      <w:r>
        <w:rPr>
          <w:rFonts w:ascii="Arial" w:cs="Arial" w:eastAsia="Arial" w:hAnsi="Arial"/>
          <w:sz w:val="15"/>
          <w:szCs w:val="15"/>
          <w:color w:val="auto"/>
        </w:rPr>
        <w:t>with pain reliever use disorder (includes those with dependence or abuse) and approximately 526,000 people aged 12 or older with heroin use disorder (includes those with dependence or abuse)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(Knopf, 2012). There is an urgent, significant unmet medical need for a safe, effective non-addictive, non-opioid therapy for the treatment of prescription opioid and heroin addiction. Investigators at Columbia University and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167" w:lineRule="exact"/>
        <w:rPr>
          <w:sz w:val="20"/>
          <w:szCs w:val="20"/>
          <w:color w:val="auto"/>
        </w:rPr>
      </w:pPr>
    </w:p>
    <w:p>
      <w:pPr>
        <w:ind w:firstLine="538"/>
        <w:spacing w:after="0" w:line="271" w:lineRule="auto"/>
        <w:rPr>
          <w:sz w:val="20"/>
          <w:szCs w:val="20"/>
          <w:color w:val="auto"/>
        </w:rPr>
      </w:pPr>
      <w:r>
        <w:rPr>
          <w:rFonts w:ascii="Arial" w:cs="Arial" w:eastAsia="Arial" w:hAnsi="Arial"/>
          <w:sz w:val="14"/>
          <w:szCs w:val="14"/>
          <w:i w:val="1"/>
          <w:iCs w:val="1"/>
          <w:color w:val="auto"/>
        </w:rPr>
        <w:t xml:space="preserve">Alcohol Addiction: </w:t>
      </w:r>
      <w:r>
        <w:rPr>
          <w:rFonts w:ascii="Arial" w:cs="Arial" w:eastAsia="Arial" w:hAnsi="Arial"/>
          <w:sz w:val="14"/>
          <w:szCs w:val="14"/>
          <w:color w:val="auto"/>
        </w:rPr>
        <w:t>According to SAMHSA’s 2018 National Survey on Drug Use and Health, there are approximately 14.8 million people aged 12 or older in the United States</w:t>
      </w:r>
      <w:r>
        <w:rPr>
          <w:rFonts w:ascii="Arial" w:cs="Arial" w:eastAsia="Arial" w:hAnsi="Arial"/>
          <w:sz w:val="14"/>
          <w:szCs w:val="14"/>
          <w:i w:val="1"/>
          <w:iCs w:val="1"/>
          <w:color w:val="auto"/>
        </w:rPr>
        <w:t xml:space="preserve"> </w:t>
      </w:r>
      <w:r>
        <w:rPr>
          <w:rFonts w:ascii="Arial" w:cs="Arial" w:eastAsia="Arial" w:hAnsi="Arial"/>
          <w:sz w:val="14"/>
          <w:szCs w:val="14"/>
          <w:color w:val="auto"/>
        </w:rPr>
        <w:t>with alcohol use disorder (includes those with dependence or abuse). The Centers for Disease Control and Prevention (CDC) has reported that excessive alcohol use costs the United States $249 billion per year. Medicines that have been approved by the FDA to treat alcohol dependence include Antabuse</w:t>
      </w:r>
      <w:r>
        <w:rPr>
          <w:rFonts w:ascii="Arial" w:cs="Arial" w:eastAsia="Arial" w:hAnsi="Arial"/>
          <w:sz w:val="21"/>
          <w:szCs w:val="21"/>
          <w:color w:val="auto"/>
          <w:vertAlign w:val="superscript"/>
        </w:rPr>
        <w:t>®</w:t>
      </w:r>
      <w:r>
        <w:rPr>
          <w:rFonts w:ascii="Arial" w:cs="Arial" w:eastAsia="Arial" w:hAnsi="Arial"/>
          <w:sz w:val="14"/>
          <w:szCs w:val="14"/>
          <w:color w:val="auto"/>
        </w:rPr>
        <w:t>, Vivitrol</w:t>
      </w:r>
      <w:r>
        <w:rPr>
          <w:rFonts w:ascii="Arial" w:cs="Arial" w:eastAsia="Arial" w:hAnsi="Arial"/>
          <w:sz w:val="21"/>
          <w:szCs w:val="21"/>
          <w:color w:val="auto"/>
          <w:vertAlign w:val="superscript"/>
        </w:rPr>
        <w:t>®</w:t>
      </w:r>
      <w:r>
        <w:rPr>
          <w:rFonts w:ascii="Arial" w:cs="Arial" w:eastAsia="Arial" w:hAnsi="Arial"/>
          <w:sz w:val="14"/>
          <w:szCs w:val="14"/>
          <w:color w:val="auto"/>
        </w:rPr>
        <w:t>, Campral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Revia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However, the search for a safe and effective drug remains elusive due to limited success of these FDA-approved compounds (Witkiewitz </w:t>
      </w:r>
      <w:r>
        <w:rPr>
          <w:rFonts w:ascii="Arial" w:cs="Arial" w:eastAsia="Arial" w:hAnsi="Arial"/>
          <w:sz w:val="14"/>
          <w:szCs w:val="14"/>
          <w:i w:val="1"/>
          <w:iCs w:val="1"/>
          <w:color w:val="auto"/>
        </w:rPr>
        <w:t>et al</w:t>
      </w:r>
      <w:r>
        <w:rPr>
          <w:rFonts w:ascii="Arial" w:cs="Arial" w:eastAsia="Arial" w:hAnsi="Arial"/>
          <w:sz w:val="14"/>
          <w:szCs w:val="14"/>
          <w:color w:val="auto"/>
        </w:rPr>
        <w:t xml:space="preserve">., 2012). In a non-clinical trial (Bell </w:t>
      </w:r>
      <w:r>
        <w:rPr>
          <w:rFonts w:ascii="Arial" w:cs="Arial" w:eastAsia="Arial" w:hAnsi="Arial"/>
          <w:sz w:val="14"/>
          <w:szCs w:val="14"/>
          <w:i w:val="1"/>
          <w:iCs w:val="1"/>
          <w:color w:val="auto"/>
        </w:rPr>
        <w:t>et al</w:t>
      </w:r>
      <w:r>
        <w:rPr>
          <w:rFonts w:ascii="Arial" w:cs="Arial" w:eastAsia="Arial" w:hAnsi="Arial"/>
          <w:sz w:val="14"/>
          <w:szCs w:val="14"/>
          <w:color w:val="auto"/>
        </w:rPr>
        <w:t>.,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in a randomized, double-blind, placebo-controlled within-subject crossover design to determine the safety, tolerability and initial human laboratory efficacy of MN-166 (ibudilast) in a sample of 24 non-treatment seeking individuals with either alcohol abuse or dependence. The study was initiated in early 2014 and completed enrollment of 24 subjects in June 2015.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This clinical trial, which is currently ongoing, is evaluating whether MN-166 (ibudilast) reduces basal level negative affect during abstinence, and in doing so, will interfere with alcohol-induced blunting of negative affectivity. In August 2018, we announced a new NIAAA-funded Phase 2b clinical trial of MN-166 (ibudilast) in alcohol dependence in collaboration with researchers at UCLA. This clinical trial, which is currently ongoing, is evaluating whether MN-166 (ibudilast) will decrease the percentage of heavy drinking days (defined as ≥ 5 drinks for men and ≥ 4 drinks for women), as compared to placebo, over the course of the 12-week trial.</w:t>
      </w:r>
    </w:p>
    <w:p>
      <w:pPr>
        <w:spacing w:after="0" w:line="157" w:lineRule="exact"/>
        <w:rPr>
          <w:sz w:val="20"/>
          <w:szCs w:val="20"/>
          <w:color w:val="auto"/>
        </w:rPr>
      </w:pPr>
    </w:p>
    <w:p>
      <w:pPr>
        <w:ind w:right="20" w:firstLine="538"/>
        <w:spacing w:after="0" w:line="269" w:lineRule="auto"/>
        <w:rPr>
          <w:sz w:val="20"/>
          <w:szCs w:val="20"/>
          <w:color w:val="auto"/>
        </w:rPr>
      </w:pPr>
      <w:r>
        <w:rPr>
          <w:rFonts w:ascii="Arial" w:cs="Arial" w:eastAsia="Arial" w:hAnsi="Arial"/>
          <w:sz w:val="15"/>
          <w:szCs w:val="15"/>
          <w:i w:val="1"/>
          <w:iCs w:val="1"/>
          <w:color w:val="auto"/>
        </w:rPr>
        <w:t xml:space="preserve">Chemotherapy-Induced Peripheral Neuropathy: </w:t>
      </w:r>
      <w:r>
        <w:rPr>
          <w:rFonts w:ascii="Arial" w:cs="Arial" w:eastAsia="Arial" w:hAnsi="Arial"/>
          <w:sz w:val="15"/>
          <w:szCs w:val="15"/>
          <w:color w:val="auto"/>
        </w:rPr>
        <w:t>Peripheral neuropathy is a set of symptoms caused by damage to peripheral nerves, the nerves that are away from the brain and</w:t>
      </w:r>
      <w:r>
        <w:rPr>
          <w:rFonts w:ascii="Arial" w:cs="Arial" w:eastAsia="Arial" w:hAnsi="Arial"/>
          <w:sz w:val="15"/>
          <w:szCs w:val="15"/>
          <w:i w:val="1"/>
          <w:iCs w:val="1"/>
          <w:color w:val="auto"/>
        </w:rPr>
        <w:t xml:space="preserve"> </w:t>
      </w:r>
      <w:r>
        <w:rPr>
          <w:rFonts w:ascii="Arial" w:cs="Arial" w:eastAsia="Arial" w:hAnsi="Arial"/>
          <w:sz w:val="15"/>
          <w:szCs w:val="15"/>
          <w:color w:val="auto"/>
        </w:rPr>
        <w:t>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 urine,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12" w:name="page13"/>
    <w:bookmarkEnd w:id="12"/>
    <w:p>
      <w:pPr>
        <w:ind w:right="60"/>
        <w:spacing w:after="0" w:line="264" w:lineRule="auto"/>
        <w:rPr>
          <w:sz w:val="20"/>
          <w:szCs w:val="20"/>
          <w:color w:val="auto"/>
        </w:rPr>
      </w:pPr>
      <w:r>
        <w:rPr>
          <w:rFonts w:ascii="Arial" w:cs="Arial" w:eastAsia="Arial" w:hAnsi="Arial"/>
          <w:sz w:val="15"/>
          <w:szCs w:val="15"/>
          <w:color w:val="auto"/>
        </w:rPr>
        <w:t>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 meta-analysis,” Seretny M et al 2014). In March 2018, we announced plans to initiate a clinical trial to evaluate MN-166 (ibudilast) in chemotherapy-induced peripheral neuropathy which is funded by the University of Sydney Concord Cancer Centre in Australia. This is an ongoing, open-label, sequential cross-over pilot study assessing acute neurotoxicity, chemotherapy-induced peripheral neuropathy, and drug interactions of MN-166 (ibudilast) in patients with metastatic gastrointestinal cancer (colorectal cancer and upper gastrointestinal cancers) who are receiving oxaliplatin.</w:t>
      </w:r>
    </w:p>
    <w:p>
      <w:pPr>
        <w:spacing w:after="0" w:line="161" w:lineRule="exact"/>
        <w:rPr>
          <w:sz w:val="20"/>
          <w:szCs w:val="20"/>
          <w:color w:val="auto"/>
        </w:rPr>
      </w:pPr>
    </w:p>
    <w:p>
      <w:pPr>
        <w:ind w:right="80" w:firstLine="538"/>
        <w:spacing w:after="0" w:line="282" w:lineRule="auto"/>
        <w:rPr>
          <w:sz w:val="20"/>
          <w:szCs w:val="20"/>
          <w:color w:val="auto"/>
        </w:rPr>
      </w:pPr>
      <w:r>
        <w:rPr>
          <w:rFonts w:ascii="Arial" w:cs="Arial" w:eastAsia="Arial" w:hAnsi="Arial"/>
          <w:sz w:val="14"/>
          <w:szCs w:val="14"/>
          <w:i w:val="1"/>
          <w:iCs w:val="1"/>
          <w:color w:val="auto"/>
        </w:rPr>
        <w:t xml:space="preserve">Degenerative Cervical Myelopathy: </w:t>
      </w:r>
      <w:r>
        <w:rPr>
          <w:rFonts w:ascii="Arial" w:cs="Arial" w:eastAsia="Arial" w:hAnsi="Arial"/>
          <w:sz w:val="14"/>
          <w:szCs w:val="14"/>
          <w:color w:val="auto"/>
        </w:rPr>
        <w:t>Degenerative cervical myelopathy (DCM), also known as cervical spondylotic myelopathy, involves spinal cord dysfunction from</w:t>
      </w:r>
      <w:r>
        <w:rPr>
          <w:rFonts w:ascii="Arial" w:cs="Arial" w:eastAsia="Arial" w:hAnsi="Arial"/>
          <w:sz w:val="14"/>
          <w:szCs w:val="14"/>
          <w:i w:val="1"/>
          <w:iCs w:val="1"/>
          <w:color w:val="auto"/>
        </w:rPr>
        <w:t xml:space="preserve"> </w:t>
      </w:r>
      <w:r>
        <w:rPr>
          <w:rFonts w:ascii="Arial" w:cs="Arial" w:eastAsia="Arial" w:hAnsi="Arial"/>
          <w:sz w:val="14"/>
          <w:szCs w:val="14"/>
          <w:color w:val="auto"/>
        </w:rPr>
        <w:t>compression in the neck. Degenerative cervical myelopathy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National Institute for Health Research (NIHR) in the United Kingdom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 surgery; and (2) Visual Analogue Scale (VAS) measure of neck pain at six months after surgery. In May 2019, we announced our participation at the Kick-off Meeting for the Phase 3 clinical trial in DCM, “REgeneration in CErvical DEgenerative Myelopathy (RECEDE Myelopathy)” in collaboration with University of Cambridge researchers.</w:t>
      </w:r>
    </w:p>
    <w:p>
      <w:pPr>
        <w:spacing w:after="0" w:line="151" w:lineRule="exact"/>
        <w:rPr>
          <w:sz w:val="20"/>
          <w:szCs w:val="20"/>
          <w:color w:val="auto"/>
        </w:rPr>
      </w:pPr>
    </w:p>
    <w:p>
      <w:pPr>
        <w:ind w:firstLine="538"/>
        <w:spacing w:after="0" w:line="187" w:lineRule="exact"/>
        <w:rPr>
          <w:sz w:val="20"/>
          <w:szCs w:val="20"/>
          <w:color w:val="auto"/>
        </w:rPr>
      </w:pPr>
      <w:r>
        <w:rPr>
          <w:rFonts w:ascii="Arial" w:cs="Arial" w:eastAsia="Arial" w:hAnsi="Arial"/>
          <w:sz w:val="14"/>
          <w:szCs w:val="14"/>
          <w:i w:val="1"/>
          <w:iCs w:val="1"/>
          <w:color w:val="auto"/>
        </w:rPr>
        <w:t xml:space="preserve">Glioblastoma: </w:t>
      </w:r>
      <w:r>
        <w:rPr>
          <w:rFonts w:ascii="Arial" w:cs="Arial" w:eastAsia="Arial" w:hAnsi="Arial"/>
          <w:sz w:val="14"/>
          <w:szCs w:val="14"/>
          <w:color w:val="auto"/>
        </w:rPr>
        <w:t>According to the American Association of Neurological Surgeons, glioblastoma is an aggressive brain tumor that develops from glial cells (astrocytes and</w:t>
      </w:r>
      <w:r>
        <w:rPr>
          <w:rFonts w:ascii="Arial" w:cs="Arial" w:eastAsia="Arial" w:hAnsi="Arial"/>
          <w:sz w:val="14"/>
          <w:szCs w:val="14"/>
          <w:i w:val="1"/>
          <w:iCs w:val="1"/>
          <w:color w:val="auto"/>
        </w:rPr>
        <w:t xml:space="preserve"> </w:t>
      </w:r>
      <w:r>
        <w:rPr>
          <w:rFonts w:ascii="Arial" w:cs="Arial" w:eastAsia="Arial" w:hAnsi="Arial"/>
          <w:sz w:val="14"/>
          <w:szCs w:val="14"/>
          <w:color w:val="auto"/>
        </w:rPr>
        <w:t>oligodendrocytes), grows rapidly, and commonly spreads into nearby brain tissue. The American Brain Tumor Association reports that glioblastomas represent about 15% of all primary brain tumors. Approximately 10,000 cases of glioblastoma are diagnosed each year in the U.S. Median survival is about 11-15 months for adults with more aggressive glioblastoma (IDH-wildtype) who receive standard treatment (surgery, temozolomide, and radiation therapy). In June 2017, we announced positive results from an animal model study that examined the potential clinical efficacy of MN-166 (ibudilast) for the treatment of glioblastoma which were presented at the 2017 American Society of Clinical Oncology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Investigational New Drug Application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4"/>
          <w:szCs w:val="14"/>
          <w:color w:val="auto"/>
        </w:rPr>
        <w:t>‑</w:t>
      </w:r>
      <w:r>
        <w:rPr>
          <w:rFonts w:ascii="Arial" w:cs="Arial" w:eastAsia="Arial" w:hAnsi="Arial"/>
          <w:sz w:val="14"/>
          <w:szCs w:val="14"/>
          <w:color w:val="auto"/>
        </w:rPr>
        <w:t xml:space="preserve">®) for the treatment of recurrent glioblastoma at the Dana-Farber Cancer Institute in Boston. In February 2019, we announced that </w:t>
      </w:r>
      <w:r>
        <w:rPr>
          <w:rFonts w:ascii="Arial" w:cs="Arial" w:eastAsia="Arial" w:hAnsi="Arial"/>
          <w:sz w:val="14"/>
          <w:szCs w:val="14"/>
          <w:i w:val="1"/>
          <w:iCs w:val="1"/>
          <w:color w:val="auto"/>
        </w:rPr>
        <w:t>Scientific</w:t>
      </w:r>
    </w:p>
    <w:p>
      <w:pPr>
        <w:spacing w:after="0" w:line="1"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i w:val="1"/>
          <w:iCs w:val="1"/>
          <w:color w:val="auto"/>
        </w:rPr>
        <w:t xml:space="preserve">Reports </w:t>
      </w:r>
      <w:r>
        <w:rPr>
          <w:rFonts w:ascii="Arial" w:cs="Arial" w:eastAsia="Arial" w:hAnsi="Arial"/>
          <w:sz w:val="15"/>
          <w:szCs w:val="15"/>
          <w:color w:val="auto"/>
        </w:rPr>
        <w:t>published results from the animal model study evaluating MN-166 (ibudilast) in glioblastoma. The article, “Ibudilast sensitizes glioblastoma to temozolomide by targeting</w:t>
      </w:r>
      <w:r>
        <w:rPr>
          <w:rFonts w:ascii="Arial" w:cs="Arial" w:eastAsia="Arial" w:hAnsi="Arial"/>
          <w:sz w:val="15"/>
          <w:szCs w:val="15"/>
          <w:i w:val="1"/>
          <w:iCs w:val="1"/>
          <w:color w:val="auto"/>
        </w:rPr>
        <w:t xml:space="preserve"> </w:t>
      </w:r>
      <w:r>
        <w:rPr>
          <w:rFonts w:ascii="Arial" w:cs="Arial" w:eastAsia="Arial" w:hAnsi="Arial"/>
          <w:sz w:val="15"/>
          <w:szCs w:val="15"/>
          <w:color w:val="auto"/>
        </w:rPr>
        <w:t>Macrophage Migration Inhibitory Factor (MIF),” is the first publication reporting the potential clinical utility of MN-166 (ibudilast) for glioblastoma.</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MN-221 (bedoradrine)</w:t>
      </w:r>
    </w:p>
    <w:p>
      <w:pPr>
        <w:spacing w:after="0" w:line="199" w:lineRule="exact"/>
        <w:rPr>
          <w:sz w:val="20"/>
          <w:szCs w:val="20"/>
          <w:color w:val="auto"/>
        </w:rPr>
      </w:pPr>
    </w:p>
    <w:p>
      <w:pPr>
        <w:ind w:firstLine="538"/>
        <w:spacing w:after="0" w:line="274" w:lineRule="auto"/>
        <w:rPr>
          <w:sz w:val="20"/>
          <w:szCs w:val="20"/>
          <w:color w:val="auto"/>
        </w:rPr>
      </w:pPr>
      <w:r>
        <w:rPr>
          <w:rFonts w:ascii="Arial" w:cs="Arial" w:eastAsia="Arial" w:hAnsi="Arial"/>
          <w:sz w:val="15"/>
          <w:szCs w:val="15"/>
          <w:color w:val="auto"/>
        </w:rPr>
        <w:t>MN-221 (bedoradrine) is a novel, highly selective beta-2-adrenergic receptor agonist which has been developed for the treatment of acute exacerbations of asthma. We licensed MN-221 (bedoradrine) from Kissei Pharmaceutical Co., Ltd. (Kissei) in February 2004. Current inhaled beta-agonist treatments for asthma exacerbations are limited by bronchoconstriction or insufficient airflow due to inflammation and airway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 w:name="page14"/>
    <w:bookmarkEnd w:id="13"/>
    <w:p>
      <w:pPr>
        <w:ind w:right="100"/>
        <w:spacing w:after="0" w:line="290" w:lineRule="auto"/>
        <w:rPr>
          <w:sz w:val="20"/>
          <w:szCs w:val="20"/>
          <w:color w:val="auto"/>
        </w:rPr>
      </w:pPr>
      <w:r>
        <w:rPr>
          <w:rFonts w:ascii="Arial" w:cs="Arial" w:eastAsia="Arial" w:hAnsi="Arial"/>
          <w:sz w:val="15"/>
          <w:szCs w:val="15"/>
          <w:color w:val="auto"/>
        </w:rPr>
        <w:t>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5"/>
          <w:szCs w:val="15"/>
          <w:i w:val="1"/>
          <w:iCs w:val="1"/>
          <w:color w:val="auto"/>
        </w:rPr>
        <w:t>e.g.</w:t>
      </w:r>
      <w:r>
        <w:rPr>
          <w:rFonts w:ascii="Arial" w:cs="Arial" w:eastAsia="Arial" w:hAnsi="Arial"/>
          <w:sz w:val="15"/>
          <w:szCs w:val="15"/>
          <w:color w:val="auto"/>
        </w:rPr>
        <w:t xml:space="preserve"> increased heart rate).</w:t>
      </w:r>
    </w:p>
    <w:p>
      <w:pPr>
        <w:spacing w:after="0" w:line="140" w:lineRule="exact"/>
        <w:rPr>
          <w:sz w:val="20"/>
          <w:szCs w:val="20"/>
          <w:color w:val="auto"/>
        </w:rPr>
      </w:pPr>
    </w:p>
    <w:p>
      <w:pPr>
        <w:ind w:firstLine="538"/>
        <w:spacing w:after="0" w:line="206" w:lineRule="auto"/>
        <w:rPr>
          <w:sz w:val="20"/>
          <w:szCs w:val="20"/>
          <w:color w:val="auto"/>
        </w:rPr>
      </w:pPr>
      <w:r>
        <w:rPr>
          <w:rFonts w:ascii="Arial" w:cs="Arial" w:eastAsia="Arial" w:hAnsi="Arial"/>
          <w:sz w:val="15"/>
          <w:szCs w:val="15"/>
          <w:color w:val="auto"/>
        </w:rPr>
        <w:t xml:space="preserve">MN-221 (bedoradrine) is designed to treat acute exacerbations of asthma via intravenous (i.v.) infusion, bypassing constricted airways to deliver the drug to the lungs. Preclinical studies showed MN-221 (bedoradrine) to have a high affinity for the ß </w:t>
      </w:r>
      <w:r>
        <w:rPr>
          <w:rFonts w:ascii="Arial" w:cs="Arial" w:eastAsia="Arial" w:hAnsi="Arial"/>
          <w:sz w:val="23"/>
          <w:szCs w:val="23"/>
          <w:color w:val="auto"/>
          <w:vertAlign w:val="subscript"/>
        </w:rPr>
        <w:t>2</w:t>
      </w:r>
      <w:r>
        <w:rPr>
          <w:rFonts w:ascii="Arial" w:cs="Arial" w:eastAsia="Arial" w:hAnsi="Arial"/>
          <w:sz w:val="15"/>
          <w:szCs w:val="15"/>
          <w:color w:val="auto"/>
        </w:rPr>
        <w:t xml:space="preserve"> -adrenergic receptor, found primarily in the lungs, and a much lower affinity for the ß </w:t>
      </w:r>
      <w:r>
        <w:rPr>
          <w:rFonts w:ascii="Arial" w:cs="Arial" w:eastAsia="Arial" w:hAnsi="Arial"/>
          <w:sz w:val="23"/>
          <w:szCs w:val="23"/>
          <w:color w:val="auto"/>
          <w:vertAlign w:val="subscript"/>
        </w:rPr>
        <w:t>1</w:t>
      </w:r>
      <w:r>
        <w:rPr>
          <w:rFonts w:ascii="Arial" w:cs="Arial" w:eastAsia="Arial" w:hAnsi="Arial"/>
          <w:sz w:val="15"/>
          <w:szCs w:val="15"/>
          <w:color w:val="auto"/>
        </w:rPr>
        <w:t xml:space="preserve"> -adrenergic receptor found primarily in cardiac tissue. MN-221 (bedoradrine)’s improved delivery to the lungs and its cardiac safety profile has potential to help fill an unmet need for patients with acute exacerbations of asthma, helping them to breathe easier and avoid a costly hospital stay.</w:t>
      </w:r>
    </w:p>
    <w:p>
      <w:pPr>
        <w:spacing w:after="0" w:line="178" w:lineRule="exact"/>
        <w:rPr>
          <w:sz w:val="20"/>
          <w:szCs w:val="20"/>
          <w:color w:val="auto"/>
        </w:rPr>
      </w:pPr>
    </w:p>
    <w:p>
      <w:pPr>
        <w:ind w:right="220" w:firstLine="538"/>
        <w:spacing w:after="0" w:line="290" w:lineRule="auto"/>
        <w:rPr>
          <w:sz w:val="20"/>
          <w:szCs w:val="20"/>
          <w:color w:val="auto"/>
        </w:rPr>
      </w:pPr>
      <w:r>
        <w:rPr>
          <w:rFonts w:ascii="Arial" w:cs="Arial" w:eastAsia="Arial" w:hAnsi="Arial"/>
          <w:sz w:val="15"/>
          <w:szCs w:val="15"/>
          <w:i w:val="1"/>
          <w:iCs w:val="1"/>
          <w:color w:val="auto"/>
        </w:rPr>
        <w:t xml:space="preserve">Acute Exacerbation of Asthma: </w:t>
      </w:r>
      <w:r>
        <w:rPr>
          <w:rFonts w:ascii="Arial" w:cs="Arial" w:eastAsia="Arial" w:hAnsi="Arial"/>
          <w:sz w:val="15"/>
          <w:szCs w:val="15"/>
          <w:color w:val="auto"/>
        </w:rPr>
        <w:t>According to the most recent data available from the United States National Center for Health Statistics, there were 1.78 million emergency</w:t>
      </w:r>
      <w:r>
        <w:rPr>
          <w:rFonts w:ascii="Arial" w:cs="Arial" w:eastAsia="Arial" w:hAnsi="Arial"/>
          <w:sz w:val="15"/>
          <w:szCs w:val="15"/>
          <w:i w:val="1"/>
          <w:iCs w:val="1"/>
          <w:color w:val="auto"/>
        </w:rPr>
        <w:t xml:space="preserve"> </w:t>
      </w:r>
      <w:r>
        <w:rPr>
          <w:rFonts w:ascii="Arial" w:cs="Arial" w:eastAsia="Arial" w:hAnsi="Arial"/>
          <w:sz w:val="15"/>
          <w:szCs w:val="15"/>
          <w:color w:val="auto"/>
        </w:rPr>
        <w:t>department visits due to asthma in 2016 and 3,564 deaths due to asthma in 2017.</w:t>
      </w:r>
    </w:p>
    <w:p>
      <w:pPr>
        <w:spacing w:after="0" w:line="140" w:lineRule="exact"/>
        <w:rPr>
          <w:sz w:val="20"/>
          <w:szCs w:val="20"/>
          <w:color w:val="auto"/>
        </w:rPr>
      </w:pPr>
    </w:p>
    <w:p>
      <w:pPr>
        <w:ind w:right="20" w:firstLine="538"/>
        <w:spacing w:after="0" w:line="249" w:lineRule="auto"/>
        <w:rPr>
          <w:sz w:val="20"/>
          <w:szCs w:val="20"/>
          <w:color w:val="auto"/>
        </w:rPr>
      </w:pPr>
      <w:r>
        <w:rPr>
          <w:rFonts w:ascii="Arial" w:cs="Arial" w:eastAsia="Arial" w:hAnsi="Arial"/>
          <w:sz w:val="14"/>
          <w:szCs w:val="14"/>
          <w:color w:val="auto"/>
        </w:rPr>
        <w:t xml:space="preserve">We completed a Phase 2b randomized, double-blind, placebo-controlled clinical trial (N=175) evaluating MN-221 (bedoradrine) in patients with acute exacerbations of asthma in the emergency department setting. MN-221 (bedoradrine) did not statistically meet the primary endpoint, improvement in FEV </w:t>
      </w:r>
      <w:r>
        <w:rPr>
          <w:rFonts w:ascii="Arial" w:cs="Arial" w:eastAsia="Arial" w:hAnsi="Arial"/>
          <w:sz w:val="21"/>
          <w:szCs w:val="21"/>
          <w:color w:val="auto"/>
          <w:vertAlign w:val="subscript"/>
        </w:rPr>
        <w:t>1</w:t>
      </w:r>
      <w:r>
        <w:rPr>
          <w:rFonts w:ascii="Arial" w:cs="Arial" w:eastAsia="Arial" w:hAnsi="Arial"/>
          <w:sz w:val="14"/>
          <w:szCs w:val="14"/>
          <w:color w:val="auto"/>
        </w:rPr>
        <w:t xml:space="preserve"> (Forced Expiratory Volume in One Second) compared to placebo. However, MN-221 (bedoradrine) treatment demonstrated statistically significant improvements in endpoints associated with Dyspnea Index scores. MN-221 (bedoradrine) treatment significantly increased (improved) the change from baseline in Dyspnea Index scale score over Hours 0-3 compared to placebo (based on AUC [0-3 hr], p =</w:t>
      </w:r>
    </w:p>
    <w:p>
      <w:pPr>
        <w:spacing w:after="0" w:line="1"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0.0405), significantly increased the change from baseline in Dyspnea Index scale scores at Hour 2 compared to placebo (based on mean score, p = 0.0042), and significantly increased the percentage of subjects who had improvement in the Dyspnea Index score ≥ 1 point at Hour 2 compared to placebo (p = 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(bedoradrine) group (43%), p=0.0489. No safety/tolerability issues of clinical significance were observed.</w:t>
      </w:r>
    </w:p>
    <w:p>
      <w:pPr>
        <w:spacing w:after="0" w:line="148" w:lineRule="exact"/>
        <w:rPr>
          <w:sz w:val="20"/>
          <w:szCs w:val="20"/>
          <w:color w:val="auto"/>
        </w:rPr>
      </w:pPr>
    </w:p>
    <w:p>
      <w:pPr>
        <w:ind w:right="20" w:firstLine="538"/>
        <w:spacing w:after="0" w:line="269" w:lineRule="auto"/>
        <w:rPr>
          <w:sz w:val="20"/>
          <w:szCs w:val="20"/>
          <w:color w:val="auto"/>
        </w:rPr>
      </w:pPr>
      <w:r>
        <w:rPr>
          <w:rFonts w:ascii="Arial" w:cs="Arial" w:eastAsia="Arial" w:hAnsi="Arial"/>
          <w:sz w:val="15"/>
          <w:szCs w:val="15"/>
          <w:color w:val="auto"/>
        </w:rPr>
        <w:t>In October 2012, we met with the FDA to review future development of this product candidate. The FDA identified the risk/benefit profile of MN-221 (bedoradrine) as a focal point for further development and advised that a clinical outcome, such as a reduction in hospitalizations, would need to be a pivotal trial primary endpoint. We have decided that any future MN-221 (bedoradrine) development will be designed based on the feedback received from the FDA and that any future MN-221 (bedoradrine) clinical trial development for asthma will be partner-dependent from a funding perspective.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MN-001 (tipelukast)</w:t>
      </w:r>
    </w:p>
    <w:p>
      <w:pPr>
        <w:spacing w:after="0" w:line="199" w:lineRule="exact"/>
        <w:rPr>
          <w:sz w:val="20"/>
          <w:szCs w:val="20"/>
          <w:color w:val="auto"/>
        </w:rPr>
      </w:pPr>
    </w:p>
    <w:p>
      <w:pPr>
        <w:ind w:right="40" w:firstLine="538"/>
        <w:spacing w:after="0" w:line="262" w:lineRule="auto"/>
        <w:rPr>
          <w:sz w:val="20"/>
          <w:szCs w:val="20"/>
          <w:color w:val="auto"/>
        </w:rPr>
      </w:pPr>
      <w:r>
        <w:rPr>
          <w:rFonts w:ascii="Arial" w:cs="Arial" w:eastAsia="Arial" w:hAnsi="Arial"/>
          <w:sz w:val="15"/>
          <w:szCs w:val="15"/>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 FDA has also granted MN-001 (tipelukast) Orphan-Drug designation and Fast Track designation for treatment of idiopathic pulmonary fibrosis (IPF).</w:t>
      </w:r>
    </w:p>
    <w:p>
      <w:pPr>
        <w:spacing w:after="0" w:line="165" w:lineRule="exact"/>
        <w:rPr>
          <w:sz w:val="20"/>
          <w:szCs w:val="20"/>
          <w:color w:val="auto"/>
        </w:rPr>
      </w:pPr>
    </w:p>
    <w:p>
      <w:pPr>
        <w:ind w:right="140" w:firstLine="538"/>
        <w:spacing w:after="0" w:line="290" w:lineRule="auto"/>
        <w:rPr>
          <w:sz w:val="20"/>
          <w:szCs w:val="20"/>
          <w:color w:val="auto"/>
        </w:rPr>
      </w:pPr>
      <w:r>
        <w:rPr>
          <w:rFonts w:ascii="Arial" w:cs="Arial" w:eastAsia="Arial" w:hAnsi="Arial"/>
          <w:sz w:val="15"/>
          <w:szCs w:val="15"/>
          <w:color w:val="auto"/>
        </w:rPr>
        <w:t>Previously, we evaluated MN-001 (tipelukast) for its potential clinical efficacy in asthma and completed a Phase 2 study in asthma with positive results. MN-001 (tipelukast) has been exposed to more than 600 subjects and is considered generally safe and well-tolerated.</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14" w:name="page15"/>
    <w:bookmarkEnd w:id="14"/>
    <w:p>
      <w:pPr>
        <w:ind w:right="20" w:firstLine="538"/>
        <w:spacing w:after="0" w:line="264" w:lineRule="auto"/>
        <w:rPr>
          <w:sz w:val="20"/>
          <w:szCs w:val="20"/>
          <w:color w:val="auto"/>
        </w:rPr>
      </w:pPr>
      <w:r>
        <w:rPr>
          <w:rFonts w:ascii="Arial" w:cs="Arial" w:eastAsia="Arial" w:hAnsi="Arial"/>
          <w:sz w:val="15"/>
          <w:szCs w:val="15"/>
          <w:i w:val="1"/>
          <w:iCs w:val="1"/>
          <w:color w:val="auto"/>
        </w:rPr>
        <w:t>Nonalcoholic Steatohepatitis (NASH) and Nonalcoholic Fatty Liver Disease (NAFLD)</w:t>
      </w:r>
      <w:r>
        <w:rPr>
          <w:rFonts w:ascii="Arial" w:cs="Arial" w:eastAsia="Arial" w:hAnsi="Arial"/>
          <w:sz w:val="15"/>
          <w:szCs w:val="15"/>
          <w:color w:val="auto"/>
        </w:rPr>
        <w:t>: Nonalcoholic steatohepatitis (NASH) is a condition in which there is fat in the liver</w:t>
      </w:r>
      <w:r>
        <w:rPr>
          <w:rFonts w:ascii="Arial" w:cs="Arial" w:eastAsia="Arial" w:hAnsi="Arial"/>
          <w:sz w:val="15"/>
          <w:szCs w:val="15"/>
          <w:i w:val="1"/>
          <w:iCs w:val="1"/>
          <w:color w:val="auto"/>
        </w:rPr>
        <w:t xml:space="preserve"> </w:t>
      </w:r>
      <w:r>
        <w:rPr>
          <w:rFonts w:ascii="Arial" w:cs="Arial" w:eastAsia="Arial" w:hAnsi="Arial"/>
          <w:sz w:val="15"/>
          <w:szCs w:val="15"/>
          <w:color w:val="auto"/>
        </w:rPr>
        <w:t>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3-12%, and an additional 30-40% of adult Americans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NASH.</w:t>
      </w:r>
    </w:p>
    <w:p>
      <w:pPr>
        <w:spacing w:after="0" w:line="161" w:lineRule="exact"/>
        <w:rPr>
          <w:sz w:val="20"/>
          <w:szCs w:val="20"/>
          <w:color w:val="auto"/>
        </w:rPr>
      </w:pPr>
    </w:p>
    <w:p>
      <w:pPr>
        <w:ind w:firstLine="538"/>
        <w:spacing w:after="0" w:line="281" w:lineRule="auto"/>
        <w:rPr>
          <w:sz w:val="20"/>
          <w:szCs w:val="20"/>
          <w:color w:val="auto"/>
        </w:rPr>
      </w:pPr>
      <w:r>
        <w:rPr>
          <w:rFonts w:ascii="Arial" w:cs="Arial" w:eastAsia="Arial" w:hAnsi="Arial"/>
          <w:sz w:val="14"/>
          <w:szCs w:val="14"/>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have an open IND and the FDA has approved two different Phase 2 clinical trial protocols for MN-001 (tipelukast) for the treatment of NASH in the United States. In April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2018, we announced that we would terminate early the Phase 2 clinical trial of MN-001 (tipelukast) in NASH and NAFLD patients with hypertriglyceridemia based on the significant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positive results from an interim analysis. This data was presented at the International Liver Congress 2018, the 53rd annual meeting of the European Association for the Study of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Liver (EASL) in Paris, France in April 2018. MN-001 (tipelukast) significantly reduced mean serum triglycerides by 135.7 mg/dL, resulting in a 41.3% reduction (p=0.02), which</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includes the data from the 15 subjects who completed 8 weeks of treatment. Excluding one outlier with an extremely high triglyceride level of 1288 mg/dL before treatment, MN-001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(tipelukast) significantly reduced mean serum triglycerides by 74.9 mg/dL, resulting in a 28.8% reduction (p=0.00006). The FDA has granted Fast Track designation to MN-001</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(tipelukast) for the treatment of patients with NASH with fibrosis.</w:t>
      </w:r>
    </w:p>
    <w:p>
      <w:pPr>
        <w:spacing w:after="0" w:line="189" w:lineRule="exact"/>
        <w:rPr>
          <w:sz w:val="20"/>
          <w:szCs w:val="20"/>
          <w:color w:val="auto"/>
        </w:rPr>
      </w:pPr>
    </w:p>
    <w:p>
      <w:pPr>
        <w:jc w:val="both"/>
        <w:ind w:right="180" w:firstLine="538"/>
        <w:spacing w:after="0" w:line="294" w:lineRule="auto"/>
        <w:rPr>
          <w:sz w:val="20"/>
          <w:szCs w:val="20"/>
          <w:color w:val="auto"/>
        </w:rPr>
      </w:pPr>
      <w:r>
        <w:rPr>
          <w:rFonts w:ascii="Arial" w:cs="Arial" w:eastAsia="Arial" w:hAnsi="Arial"/>
          <w:sz w:val="14"/>
          <w:szCs w:val="14"/>
          <w:i w:val="1"/>
          <w:iCs w:val="1"/>
          <w:color w:val="auto"/>
        </w:rPr>
        <w:t xml:space="preserve">Idiopathic Pulmonary Fibrosis (IPF): </w:t>
      </w:r>
      <w:r>
        <w:rPr>
          <w:rFonts w:ascii="Arial" w:cs="Arial" w:eastAsia="Arial" w:hAnsi="Arial"/>
          <w:sz w:val="14"/>
          <w:szCs w:val="14"/>
          <w:color w:val="auto"/>
        </w:rPr>
        <w:t>Pulmonary fibrosis (PF) is a progressive disease characterized by scarring of the lungs that thickens the lining, causing an irreversible</w:t>
      </w:r>
      <w:r>
        <w:rPr>
          <w:rFonts w:ascii="Arial" w:cs="Arial" w:eastAsia="Arial" w:hAnsi="Arial"/>
          <w:sz w:val="14"/>
          <w:szCs w:val="14"/>
          <w:i w:val="1"/>
          <w:iCs w:val="1"/>
          <w:color w:val="auto"/>
        </w:rPr>
        <w:t xml:space="preserve"> </w:t>
      </w:r>
      <w:r>
        <w:rPr>
          <w:rFonts w:ascii="Arial" w:cs="Arial" w:eastAsia="Arial" w:hAnsi="Arial"/>
          <w:sz w:val="14"/>
          <w:szCs w:val="14"/>
          <w:color w:val="auto"/>
        </w:rPr>
        <w:t>loss of the tissue's ability to transport oxygen. The causes of PF vary and can be due to anti-cancer drug therapy or exposure to chemicals. Idiopathic pulmonary fibrosis (IPF) is one type of PF without a clear cause. According to the U.S. National Library of Medicine, IPF affects approximately 100,000 people in the United States, and 30,000 to 40,000 new cases are diagnosed annually. The prognosis for IPF is poor and most IPF patients survive only three to five years after diagnosis.</w:t>
      </w:r>
    </w:p>
    <w:p>
      <w:pPr>
        <w:spacing w:after="0" w:line="140" w:lineRule="exact"/>
        <w:rPr>
          <w:sz w:val="20"/>
          <w:szCs w:val="20"/>
          <w:color w:val="auto"/>
        </w:rPr>
      </w:pPr>
    </w:p>
    <w:p>
      <w:pPr>
        <w:ind w:right="140" w:firstLine="538"/>
        <w:spacing w:after="0" w:line="294" w:lineRule="auto"/>
        <w:rPr>
          <w:sz w:val="20"/>
          <w:szCs w:val="20"/>
          <w:color w:val="auto"/>
        </w:rPr>
      </w:pPr>
      <w:r>
        <w:rPr>
          <w:rFonts w:ascii="Arial" w:cs="Arial" w:eastAsia="Arial" w:hAnsi="Arial"/>
          <w:sz w:val="14"/>
          <w:szCs w:val="14"/>
          <w:color w:val="auto"/>
        </w:rPr>
        <w:t>We completed a pre-clinical study evaluating the potential clinical efficacy of MN-001 (tipelukast) for the treatment of pulmonary fibrosis. MN-001 (tipelukast), which was administered orally once daily (30, 100 and 300 mg/kg) for two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Vehicle group (p&lt;0.05) after two weeks 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 w:name="page16"/>
    <w:bookmarkEnd w:id="15"/>
    <w:p>
      <w:pPr>
        <w:ind w:right="220"/>
        <w:spacing w:after="0" w:line="328" w:lineRule="auto"/>
        <w:rPr>
          <w:sz w:val="20"/>
          <w:szCs w:val="20"/>
          <w:color w:val="auto"/>
        </w:rPr>
      </w:pPr>
      <w:r>
        <w:rPr>
          <w:rFonts w:ascii="Arial" w:cs="Arial" w:eastAsia="Arial" w:hAnsi="Arial"/>
          <w:sz w:val="14"/>
          <w:szCs w:val="14"/>
          <w:color w:val="auto"/>
        </w:rPr>
        <w:t>treatment and MN-001 (tipelukast) reduced lung density when compared to the Vehicle-treated group. Moreover, lung hydroxyproline content was significantly reduced compared to the Vehicle group (p&lt;0.01). These results show that treatment with MN-001 (tipelukast) has significant anti-fibrogenic effects in bleomycin-induced pulmonary fibrosis in mice.</w:t>
      </w:r>
    </w:p>
    <w:p>
      <w:pPr>
        <w:spacing w:after="0" w:line="117" w:lineRule="exact"/>
        <w:rPr>
          <w:sz w:val="20"/>
          <w:szCs w:val="20"/>
          <w:color w:val="auto"/>
        </w:rPr>
      </w:pPr>
    </w:p>
    <w:p>
      <w:pPr>
        <w:ind w:right="40" w:firstLine="538"/>
        <w:spacing w:after="0" w:line="269" w:lineRule="auto"/>
        <w:rPr>
          <w:sz w:val="20"/>
          <w:szCs w:val="20"/>
          <w:color w:val="auto"/>
        </w:rPr>
      </w:pPr>
      <w:r>
        <w:rPr>
          <w:rFonts w:ascii="Arial" w:cs="Arial" w:eastAsia="Arial" w:hAnsi="Arial"/>
          <w:sz w:val="15"/>
          <w:szCs w:val="15"/>
          <w:color w:val="auto"/>
        </w:rPr>
        <w:t>We have an open IND and the FDA approved a Phase 2 clinical trial protocol for MN-001 (tipelukast) for the treatment of IPF in the United States. A Phase 2 clinical trial of MN-001 (tipelukast) in IPF is currently ongoing at Penn State.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MN-029 (denibulin)</w:t>
      </w:r>
    </w:p>
    <w:p>
      <w:pPr>
        <w:spacing w:after="0" w:line="199" w:lineRule="exact"/>
        <w:rPr>
          <w:sz w:val="20"/>
          <w:szCs w:val="20"/>
          <w:color w:val="auto"/>
        </w:rPr>
      </w:pPr>
    </w:p>
    <w:p>
      <w:pPr>
        <w:ind w:right="40" w:firstLine="538"/>
        <w:spacing w:after="0" w:line="274" w:lineRule="auto"/>
        <w:rPr>
          <w:sz w:val="20"/>
          <w:szCs w:val="20"/>
          <w:color w:val="auto"/>
        </w:rPr>
      </w:pPr>
      <w:r>
        <w:rPr>
          <w:rFonts w:ascii="Arial" w:cs="Arial" w:eastAsia="Arial" w:hAnsi="Arial"/>
          <w:sz w:val="15"/>
          <w:szCs w:val="15"/>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(denibulin) from Angiogene Pharmaceuticals, Ltd. (Angiogene) in 2002.</w:t>
      </w:r>
    </w:p>
    <w:p>
      <w:pPr>
        <w:spacing w:after="0" w:line="152" w:lineRule="exact"/>
        <w:rPr>
          <w:sz w:val="20"/>
          <w:szCs w:val="20"/>
          <w:color w:val="auto"/>
        </w:rPr>
      </w:pPr>
    </w:p>
    <w:p>
      <w:pPr>
        <w:ind w:right="240" w:firstLine="538"/>
        <w:spacing w:after="0" w:line="264" w:lineRule="auto"/>
        <w:rPr>
          <w:sz w:val="20"/>
          <w:szCs w:val="20"/>
          <w:color w:val="auto"/>
        </w:rPr>
      </w:pPr>
      <w:r>
        <w:rPr>
          <w:rFonts w:ascii="Arial" w:cs="Arial" w:eastAsia="Arial" w:hAnsi="Arial"/>
          <w:sz w:val="15"/>
          <w:szCs w:val="15"/>
          <w:color w:val="auto"/>
        </w:rPr>
        <w:t xml:space="preserve">Several preclinical pharmacology studies have assessed the mechanism of action and anti-tumor activity of MN-029 (denibulin)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in rodent models of breast adenocarcinoma, colon carcinoma, lung carcinoma and KHT sarcoma. In these studies, MN-029 (denibulin) damaged poorly formed tumor blood vessels by weakening tumor blood vessel walls and causing leakage, clotting and eventual vascular shutdown within the tumor, in addition to the direct effect over tumor cells. These studies suggest that MN-029 (denibulin)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(denibulin) was well-tolerated at doses that reduced tumor blood flow.</w:t>
      </w:r>
    </w:p>
    <w:p>
      <w:pPr>
        <w:spacing w:after="0" w:line="161" w:lineRule="exact"/>
        <w:rPr>
          <w:sz w:val="20"/>
          <w:szCs w:val="20"/>
          <w:color w:val="auto"/>
        </w:rPr>
      </w:pPr>
    </w:p>
    <w:p>
      <w:pPr>
        <w:ind w:right="20" w:firstLine="538"/>
        <w:spacing w:after="0" w:line="266" w:lineRule="auto"/>
        <w:rPr>
          <w:sz w:val="20"/>
          <w:szCs w:val="20"/>
          <w:color w:val="auto"/>
        </w:rPr>
      </w:pPr>
      <w:r>
        <w:rPr>
          <w:rFonts w:ascii="Arial" w:cs="Arial" w:eastAsia="Arial" w:hAnsi="Arial"/>
          <w:sz w:val="14"/>
          <w:szCs w:val="14"/>
          <w:color w:val="auto"/>
        </w:rPr>
        <w:t xml:space="preserve">The first Phase 1 trial determined the safety, tolerability, and maximum tolerated dose (MTD) level of single doses of MN-029 (denibulin) given every three weeks in 34 subjects with refractory cancer. The MTD was determined to be 180 mg/m </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chemotherapies—vomiting, nausea, diarrhea, and fatigue. There was a total of nine serious adverse events (SAEs) and study discontinuations due to AEs. In a preliminary evaluation of anti-tumor activity, no patient had a complete response or partial response; however stable disease was seen in 12 patients. MN-029 (denibulin) had a desired vascular effect in seven of 11 patients that were administered drug at dose levels of ≥120 mg/m</w:t>
      </w:r>
      <w:r>
        <w:rPr>
          <w:rFonts w:ascii="Arial" w:cs="Arial" w:eastAsia="Arial" w:hAnsi="Arial"/>
          <w:sz w:val="21"/>
          <w:szCs w:val="21"/>
          <w:color w:val="auto"/>
          <w:vertAlign w:val="superscript"/>
        </w:rPr>
        <w:t>2</w:t>
      </w:r>
      <w:r>
        <w:rPr>
          <w:rFonts w:ascii="Arial" w:cs="Arial" w:eastAsia="Arial" w:hAnsi="Arial"/>
          <w:sz w:val="14"/>
          <w:szCs w:val="14"/>
          <w:color w:val="auto"/>
        </w:rPr>
        <w:t>. Nine patients continued into extended cycles of treatment.</w:t>
      </w:r>
    </w:p>
    <w:p>
      <w:pPr>
        <w:spacing w:after="0" w:line="51" w:lineRule="exact"/>
        <w:rPr>
          <w:sz w:val="20"/>
          <w:szCs w:val="20"/>
          <w:color w:val="auto"/>
        </w:rPr>
      </w:pPr>
    </w:p>
    <w:p>
      <w:pPr>
        <w:ind w:firstLine="538"/>
        <w:spacing w:after="0" w:line="263" w:lineRule="auto"/>
        <w:rPr>
          <w:sz w:val="20"/>
          <w:szCs w:val="20"/>
          <w:color w:val="auto"/>
        </w:rPr>
      </w:pPr>
      <w:r>
        <w:rPr>
          <w:rFonts w:ascii="Arial" w:cs="Arial" w:eastAsia="Arial" w:hAnsi="Arial"/>
          <w:sz w:val="14"/>
          <w:szCs w:val="14"/>
          <w:color w:val="auto"/>
        </w:rPr>
        <w:t>The second Phase 1 study was conducted to determine the safety, tolerability and MTD of single doses of MN-029 (denibulin) given every seven days for a total of three doses (Days 1, 8 and 15), followed by 13-day recovery (Days 16-28) in subjects with advanced/metastatic solid tumor cancer. Subjects who tolerated treatment with MN-029 (denibulin) could receive additional cycles. All 20 subjects reported at least one AE related to study drug. The most common AEs considered related to study drug were vomiting, nausea, arthralgia and headache. There were no clinically significant changes in routine laboratory assessments, vital signs or ECG monitoring. There was one SAE considered unrelated to study drug. Consistent with the previous Phase 1 trial, MN-029 (denibulin) up to dose levels of 180 mg/m</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appeared to be safe and well tolerated. One subject had a partial response which lasted for 74 days. Stable disease was observed in seven subjects. The results suggested an effect of MN-029 (denibulin) on vascular perfusion; however, a larger sample size is warranted.</w:t>
      </w:r>
    </w:p>
    <w:p>
      <w:pPr>
        <w:spacing w:after="0" w:line="153" w:lineRule="exact"/>
        <w:rPr>
          <w:sz w:val="20"/>
          <w:szCs w:val="20"/>
          <w:color w:val="auto"/>
        </w:rPr>
      </w:pPr>
    </w:p>
    <w:p>
      <w:pPr>
        <w:jc w:val="both"/>
        <w:ind w:firstLine="550"/>
        <w:spacing w:after="0" w:line="302" w:lineRule="auto"/>
        <w:rPr>
          <w:sz w:val="20"/>
          <w:szCs w:val="20"/>
          <w:color w:val="auto"/>
        </w:rPr>
      </w:pPr>
      <w:r>
        <w:rPr>
          <w:rFonts w:ascii="Arial" w:cs="Arial" w:eastAsia="Arial" w:hAnsi="Arial"/>
          <w:sz w:val="14"/>
          <w:szCs w:val="14"/>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5"/>
          <w:szCs w:val="15"/>
          <w:color w:val="auto"/>
        </w:rPr>
        <w:t>Table 1: MN-166 (ibudilast) Programs and Clinical Trials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40" w:type="dxa"/>
            <w:vAlign w:val="bottom"/>
          </w:tcPr>
          <w:p>
            <w:pPr>
              <w:ind w:left="100"/>
              <w:spacing w:after="0"/>
              <w:rPr>
                <w:sz w:val="20"/>
                <w:szCs w:val="20"/>
                <w:color w:val="auto"/>
              </w:rPr>
            </w:pPr>
            <w:r>
              <w:rPr>
                <w:rFonts w:ascii="Arial" w:cs="Arial" w:eastAsia="Arial" w:hAnsi="Arial"/>
                <w:sz w:val="12"/>
                <w:szCs w:val="12"/>
                <w:color w:val="auto"/>
              </w:rPr>
              <w:t>Principal Investigator /Institution</w:t>
            </w:r>
          </w:p>
        </w:tc>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2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Indication</w:t>
            </w:r>
          </w:p>
        </w:tc>
        <w:tc>
          <w:tcPr>
            <w:tcW w:w="360" w:type="dxa"/>
            <w:vAlign w:val="bottom"/>
          </w:tcPr>
          <w:p>
            <w:pPr>
              <w:spacing w:after="0"/>
              <w:rPr>
                <w:sz w:val="12"/>
                <w:szCs w:val="12"/>
                <w:color w:val="auto"/>
              </w:rPr>
            </w:pP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Clinical Study</w:t>
            </w:r>
          </w:p>
        </w:tc>
        <w:tc>
          <w:tcPr>
            <w:tcW w:w="180" w:type="dxa"/>
            <w:vAlign w:val="bottom"/>
          </w:tcPr>
          <w:p>
            <w:pPr>
              <w:spacing w:after="0"/>
              <w:rPr>
                <w:sz w:val="12"/>
                <w:szCs w:val="12"/>
                <w:color w:val="auto"/>
              </w:rPr>
            </w:pP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/Funding Agency(s)</w:t>
            </w:r>
          </w:p>
        </w:tc>
        <w:tc>
          <w:tcPr>
            <w:tcW w:w="40" w:type="dxa"/>
            <w:vAlign w:val="bottom"/>
          </w:tcPr>
          <w:p>
            <w:pPr>
              <w:spacing w:after="0"/>
              <w:rPr>
                <w:sz w:val="12"/>
                <w:szCs w:val="12"/>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Status</w:t>
            </w:r>
          </w:p>
        </w:tc>
        <w:tc>
          <w:tcPr>
            <w:tcW w:w="20" w:type="dxa"/>
            <w:vAlign w:val="bottom"/>
          </w:tcPr>
          <w:p>
            <w:pPr>
              <w:spacing w:after="0"/>
              <w:rPr>
                <w:sz w:val="12"/>
                <w:szCs w:val="12"/>
                <w:color w:val="auto"/>
              </w:rPr>
            </w:pPr>
          </w:p>
        </w:tc>
      </w:tr>
      <w:tr>
        <w:trPr>
          <w:trHeight w:val="271"/>
        </w:trPr>
        <w:tc>
          <w:tcPr>
            <w:tcW w:w="2040" w:type="dxa"/>
            <w:vAlign w:val="bottom"/>
          </w:tcPr>
          <w:p>
            <w:pPr>
              <w:spacing w:after="0"/>
              <w:rPr>
                <w:sz w:val="20"/>
                <w:szCs w:val="20"/>
                <w:color w:val="auto"/>
              </w:rPr>
            </w:pPr>
            <w:r>
              <w:rPr>
                <w:rFonts w:ascii="Arial" w:cs="Arial" w:eastAsia="Arial" w:hAnsi="Arial"/>
                <w:sz w:val="15"/>
                <w:szCs w:val="15"/>
                <w:color w:val="auto"/>
              </w:rPr>
              <w:t>Primary Progressive and</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 Randomized, Double-Blind, Placebo-Controlled</w:t>
            </w:r>
          </w:p>
        </w:tc>
        <w:tc>
          <w:tcPr>
            <w:tcW w:w="3540" w:type="dxa"/>
            <w:vAlign w:val="bottom"/>
          </w:tcPr>
          <w:p>
            <w:pPr>
              <w:spacing w:after="0"/>
              <w:rPr>
                <w:sz w:val="20"/>
                <w:szCs w:val="20"/>
                <w:color w:val="auto"/>
              </w:rPr>
            </w:pPr>
            <w:r>
              <w:rPr>
                <w:rFonts w:ascii="Arial" w:cs="Arial" w:eastAsia="Arial" w:hAnsi="Arial"/>
                <w:sz w:val="15"/>
                <w:szCs w:val="15"/>
                <w:color w:val="auto"/>
              </w:rPr>
              <w:t>Cleveland Clinic / Multicenter</w:t>
            </w:r>
          </w:p>
        </w:tc>
        <w:tc>
          <w:tcPr>
            <w:tcW w:w="1800" w:type="dxa"/>
            <w:vAlign w:val="bottom"/>
            <w:gridSpan w:val="2"/>
          </w:tcPr>
          <w:p>
            <w:pPr>
              <w:ind w:left="40"/>
              <w:spacing w:after="0"/>
              <w:rPr>
                <w:sz w:val="20"/>
                <w:szCs w:val="20"/>
                <w:color w:val="auto"/>
              </w:rPr>
            </w:pPr>
            <w:r>
              <w:rPr>
                <w:rFonts w:ascii="Arial" w:cs="Arial" w:eastAsia="Arial" w:hAnsi="Arial"/>
                <w:sz w:val="15"/>
                <w:szCs w:val="15"/>
                <w:color w:val="auto"/>
              </w:rPr>
              <w:t>Completed</w:t>
            </w:r>
          </w:p>
        </w:tc>
        <w:tc>
          <w:tcPr>
            <w:tcW w:w="20" w:type="dxa"/>
            <w:vAlign w:val="bottom"/>
          </w:tcPr>
          <w:p>
            <w:pPr>
              <w:spacing w:after="0"/>
              <w:rPr>
                <w:sz w:val="23"/>
                <w:szCs w:val="23"/>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5"/>
                <w:szCs w:val="15"/>
                <w:color w:val="auto"/>
                <w:w w:val="95"/>
              </w:rPr>
              <w:t>Secondary Progressive Multiple</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Study to Evaluate the Safety, Tolerability and Activity</w:t>
            </w:r>
          </w:p>
        </w:tc>
        <w:tc>
          <w:tcPr>
            <w:tcW w:w="3540" w:type="dxa"/>
            <w:vAlign w:val="bottom"/>
          </w:tcPr>
          <w:p>
            <w:pPr>
              <w:spacing w:after="0"/>
              <w:rPr>
                <w:sz w:val="20"/>
                <w:szCs w:val="20"/>
                <w:color w:val="auto"/>
              </w:rPr>
            </w:pPr>
            <w:r>
              <w:rPr>
                <w:rFonts w:ascii="Arial" w:cs="Arial" w:eastAsia="Arial" w:hAnsi="Arial"/>
                <w:sz w:val="15"/>
                <w:szCs w:val="15"/>
                <w:color w:val="auto"/>
                <w:w w:val="97"/>
              </w:rPr>
              <w:t>National Institute on Neurological Diseases and Stroke</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5"/>
                <w:szCs w:val="15"/>
                <w:color w:val="auto"/>
              </w:rPr>
              <w:t>Sclerosis</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of Ibudilast (MN-166) in Subjects with Progressive</w:t>
            </w:r>
          </w:p>
        </w:tc>
        <w:tc>
          <w:tcPr>
            <w:tcW w:w="3540" w:type="dxa"/>
            <w:vAlign w:val="bottom"/>
          </w:tcPr>
          <w:p>
            <w:pPr>
              <w:spacing w:after="0"/>
              <w:rPr>
                <w:sz w:val="20"/>
                <w:szCs w:val="20"/>
                <w:color w:val="auto"/>
              </w:rPr>
            </w:pPr>
            <w:r>
              <w:rPr>
                <w:rFonts w:ascii="Arial" w:cs="Arial" w:eastAsia="Arial" w:hAnsi="Arial"/>
                <w:sz w:val="15"/>
                <w:szCs w:val="15"/>
                <w:color w:val="auto"/>
              </w:rPr>
              <w:t>MediciNova, Inc.</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040" w:type="dxa"/>
            <w:vAlign w:val="bottom"/>
          </w:tcPr>
          <w:p>
            <w:pPr>
              <w:spacing w:after="0"/>
              <w:rPr>
                <w:sz w:val="17"/>
                <w:szCs w:val="17"/>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Multiple Sclerosis</w:t>
            </w:r>
          </w:p>
        </w:tc>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26"/>
        </w:trPr>
        <w:tc>
          <w:tcPr>
            <w:tcW w:w="2040" w:type="dxa"/>
            <w:vAlign w:val="bottom"/>
          </w:tcPr>
          <w:p>
            <w:pPr>
              <w:spacing w:after="0"/>
              <w:rPr>
                <w:sz w:val="20"/>
                <w:szCs w:val="20"/>
                <w:color w:val="auto"/>
              </w:rPr>
            </w:pPr>
            <w:r>
              <w:rPr>
                <w:rFonts w:ascii="Arial" w:cs="Arial" w:eastAsia="Arial" w:hAnsi="Arial"/>
                <w:sz w:val="15"/>
                <w:szCs w:val="15"/>
                <w:color w:val="auto"/>
              </w:rPr>
              <w:t>Amyotrophic Lateral Sclerosis</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 Single-Center, Randomized, Double-Blind, Placebo-</w:t>
            </w:r>
          </w:p>
        </w:tc>
        <w:tc>
          <w:tcPr>
            <w:tcW w:w="3540" w:type="dxa"/>
            <w:vAlign w:val="bottom"/>
          </w:tcPr>
          <w:p>
            <w:pPr>
              <w:spacing w:after="0"/>
              <w:rPr>
                <w:sz w:val="20"/>
                <w:szCs w:val="20"/>
                <w:color w:val="auto"/>
              </w:rPr>
            </w:pPr>
            <w:r>
              <w:rPr>
                <w:rFonts w:ascii="Arial" w:cs="Arial" w:eastAsia="Arial" w:hAnsi="Arial"/>
                <w:sz w:val="15"/>
                <w:szCs w:val="15"/>
                <w:color w:val="auto"/>
                <w:w w:val="98"/>
              </w:rPr>
              <w:t>Carolinas HealthCare System Neurosciences Institute</w:t>
            </w:r>
          </w:p>
        </w:tc>
        <w:tc>
          <w:tcPr>
            <w:tcW w:w="1800" w:type="dxa"/>
            <w:vAlign w:val="bottom"/>
            <w:gridSpan w:val="2"/>
          </w:tcPr>
          <w:p>
            <w:pPr>
              <w:ind w:left="40"/>
              <w:spacing w:after="0"/>
              <w:rPr>
                <w:sz w:val="20"/>
                <w:szCs w:val="20"/>
                <w:color w:val="auto"/>
              </w:rPr>
            </w:pPr>
            <w:r>
              <w:rPr>
                <w:rFonts w:ascii="Arial" w:cs="Arial" w:eastAsia="Arial" w:hAnsi="Arial"/>
                <w:sz w:val="15"/>
                <w:szCs w:val="15"/>
                <w:color w:val="auto"/>
              </w:rPr>
              <w:t>Completed</w:t>
            </w:r>
          </w:p>
        </w:tc>
        <w:tc>
          <w:tcPr>
            <w:tcW w:w="20" w:type="dxa"/>
            <w:vAlign w:val="bottom"/>
          </w:tcPr>
          <w:p>
            <w:pPr>
              <w:spacing w:after="0"/>
              <w:rPr>
                <w:sz w:val="24"/>
                <w:szCs w:val="24"/>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5"/>
                <w:szCs w:val="15"/>
                <w:color w:val="auto"/>
              </w:rPr>
              <w:t>(ALS)</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Controlled, Six Month Clinical Trial Followed by an</w:t>
            </w:r>
          </w:p>
        </w:tc>
        <w:tc>
          <w:tcPr>
            <w:tcW w:w="3540" w:type="dxa"/>
            <w:vAlign w:val="bottom"/>
          </w:tcPr>
          <w:p>
            <w:pPr>
              <w:spacing w:after="0"/>
              <w:rPr>
                <w:sz w:val="20"/>
                <w:szCs w:val="20"/>
                <w:color w:val="auto"/>
              </w:rPr>
            </w:pPr>
            <w:r>
              <w:rPr>
                <w:rFonts w:ascii="Arial" w:cs="Arial" w:eastAsia="Arial" w:hAnsi="Arial"/>
                <w:sz w:val="15"/>
                <w:szCs w:val="15"/>
                <w:color w:val="auto"/>
              </w:rPr>
              <w:t>MediciNova, Inc.</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Open-Label Extension to Evaluate the Safety,</w:t>
            </w:r>
          </w:p>
        </w:tc>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Tolerability, and Clinical Endpoint Responsiveness of</w:t>
            </w:r>
          </w:p>
        </w:tc>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Ibudilast (MN-166) in Subjects with Amyotrophic</w:t>
            </w:r>
          </w:p>
        </w:tc>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040" w:type="dxa"/>
            <w:vAlign w:val="bottom"/>
          </w:tcPr>
          <w:p>
            <w:pPr>
              <w:spacing w:after="0"/>
              <w:rPr>
                <w:sz w:val="17"/>
                <w:szCs w:val="17"/>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Lateral Sclerosis (ALS)</w:t>
            </w:r>
          </w:p>
        </w:tc>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53"/>
        </w:trPr>
        <w:tc>
          <w:tcPr>
            <w:tcW w:w="2040" w:type="dxa"/>
            <w:vAlign w:val="bottom"/>
          </w:tcPr>
          <w:p>
            <w:pPr>
              <w:spacing w:after="0"/>
              <w:rPr>
                <w:sz w:val="20"/>
                <w:szCs w:val="20"/>
                <w:color w:val="auto"/>
              </w:rPr>
            </w:pPr>
            <w:r>
              <w:rPr>
                <w:rFonts w:ascii="Arial" w:cs="Arial" w:eastAsia="Arial" w:hAnsi="Arial"/>
                <w:sz w:val="15"/>
                <w:szCs w:val="15"/>
                <w:color w:val="auto"/>
              </w:rPr>
              <w:t>ALS / Biomarker</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 Biomarker Study to Evaluate MN-166 (ibudilast) in</w:t>
            </w:r>
          </w:p>
        </w:tc>
        <w:tc>
          <w:tcPr>
            <w:tcW w:w="3540" w:type="dxa"/>
            <w:vAlign w:val="bottom"/>
          </w:tcPr>
          <w:p>
            <w:pPr>
              <w:spacing w:after="0"/>
              <w:rPr>
                <w:sz w:val="20"/>
                <w:szCs w:val="20"/>
                <w:color w:val="auto"/>
              </w:rPr>
            </w:pPr>
            <w:r>
              <w:rPr>
                <w:rFonts w:ascii="Arial" w:cs="Arial" w:eastAsia="Arial" w:hAnsi="Arial"/>
                <w:sz w:val="15"/>
                <w:szCs w:val="15"/>
                <w:color w:val="auto"/>
              </w:rPr>
              <w:t>Massachusetts General Hospital</w:t>
            </w:r>
          </w:p>
        </w:tc>
        <w:tc>
          <w:tcPr>
            <w:tcW w:w="1800" w:type="dxa"/>
            <w:vAlign w:val="bottom"/>
            <w:gridSpan w:val="2"/>
          </w:tcPr>
          <w:p>
            <w:pPr>
              <w:ind w:left="40"/>
              <w:spacing w:after="0"/>
              <w:rPr>
                <w:sz w:val="20"/>
                <w:szCs w:val="20"/>
                <w:color w:val="auto"/>
              </w:rPr>
            </w:pPr>
            <w:r>
              <w:rPr>
                <w:rFonts w:ascii="Arial" w:cs="Arial" w:eastAsia="Arial" w:hAnsi="Arial"/>
                <w:sz w:val="15"/>
                <w:szCs w:val="15"/>
                <w:color w:val="auto"/>
              </w:rPr>
              <w:t>Completed</w:t>
            </w:r>
          </w:p>
        </w:tc>
        <w:tc>
          <w:tcPr>
            <w:tcW w:w="20" w:type="dxa"/>
            <w:vAlign w:val="bottom"/>
          </w:tcPr>
          <w:p>
            <w:pPr>
              <w:spacing w:after="0"/>
              <w:rPr>
                <w:sz w:val="24"/>
                <w:szCs w:val="24"/>
                <w:color w:val="auto"/>
              </w:rPr>
            </w:pPr>
          </w:p>
        </w:tc>
      </w:tr>
      <w:tr>
        <w:trPr>
          <w:trHeight w:val="196"/>
        </w:trPr>
        <w:tc>
          <w:tcPr>
            <w:tcW w:w="2040" w:type="dxa"/>
            <w:vAlign w:val="bottom"/>
          </w:tcPr>
          <w:p>
            <w:pPr>
              <w:spacing w:after="0"/>
              <w:rPr>
                <w:sz w:val="17"/>
                <w:szCs w:val="17"/>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Subjects with Amyotrophic Literal Sclerosis (ALS)</w:t>
            </w:r>
          </w:p>
        </w:tc>
        <w:tc>
          <w:tcPr>
            <w:tcW w:w="3540" w:type="dxa"/>
            <w:vAlign w:val="bottom"/>
          </w:tcPr>
          <w:p>
            <w:pPr>
              <w:spacing w:after="0"/>
              <w:rPr>
                <w:sz w:val="20"/>
                <w:szCs w:val="20"/>
                <w:color w:val="auto"/>
              </w:rPr>
            </w:pPr>
            <w:r>
              <w:rPr>
                <w:rFonts w:ascii="Arial" w:cs="Arial" w:eastAsia="Arial" w:hAnsi="Arial"/>
                <w:sz w:val="15"/>
                <w:szCs w:val="15"/>
                <w:color w:val="auto"/>
              </w:rPr>
              <w:t>MediciNova, Inc.</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3"/>
        </w:trPr>
        <w:tc>
          <w:tcPr>
            <w:tcW w:w="2040" w:type="dxa"/>
            <w:vAlign w:val="bottom"/>
          </w:tcPr>
          <w:p>
            <w:pPr>
              <w:spacing w:after="0"/>
              <w:rPr>
                <w:sz w:val="20"/>
                <w:szCs w:val="20"/>
                <w:color w:val="auto"/>
              </w:rPr>
            </w:pPr>
            <w:r>
              <w:rPr>
                <w:rFonts w:ascii="Arial" w:cs="Arial" w:eastAsia="Arial" w:hAnsi="Arial"/>
                <w:sz w:val="15"/>
                <w:szCs w:val="15"/>
                <w:color w:val="auto"/>
              </w:rPr>
              <w:t>Amyotrophic Lateral Sclerosis</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 Phase 2b/3, Multi-Center, Randomized, Double-</w:t>
            </w:r>
          </w:p>
        </w:tc>
        <w:tc>
          <w:tcPr>
            <w:tcW w:w="3540" w:type="dxa"/>
            <w:vAlign w:val="bottom"/>
          </w:tcPr>
          <w:p>
            <w:pPr>
              <w:spacing w:after="0"/>
              <w:rPr>
                <w:sz w:val="20"/>
                <w:szCs w:val="20"/>
                <w:color w:val="auto"/>
              </w:rPr>
            </w:pPr>
            <w:r>
              <w:rPr>
                <w:rFonts w:ascii="Arial" w:cs="Arial" w:eastAsia="Arial" w:hAnsi="Arial"/>
                <w:sz w:val="15"/>
                <w:szCs w:val="15"/>
                <w:color w:val="auto"/>
              </w:rPr>
              <w:t>Multicenter</w:t>
            </w:r>
          </w:p>
        </w:tc>
        <w:tc>
          <w:tcPr>
            <w:tcW w:w="1800" w:type="dxa"/>
            <w:vAlign w:val="bottom"/>
            <w:gridSpan w:val="2"/>
          </w:tcPr>
          <w:p>
            <w:pPr>
              <w:ind w:left="40"/>
              <w:spacing w:after="0"/>
              <w:rPr>
                <w:sz w:val="20"/>
                <w:szCs w:val="20"/>
                <w:color w:val="auto"/>
              </w:rPr>
            </w:pPr>
            <w:r>
              <w:rPr>
                <w:rFonts w:ascii="Arial" w:cs="Arial" w:eastAsia="Arial" w:hAnsi="Arial"/>
                <w:sz w:val="15"/>
                <w:szCs w:val="15"/>
                <w:color w:val="auto"/>
              </w:rPr>
              <w:t>Ongoing</w:t>
            </w:r>
          </w:p>
        </w:tc>
        <w:tc>
          <w:tcPr>
            <w:tcW w:w="20" w:type="dxa"/>
            <w:vAlign w:val="bottom"/>
          </w:tcPr>
          <w:p>
            <w:pPr>
              <w:spacing w:after="0"/>
              <w:rPr>
                <w:sz w:val="24"/>
                <w:szCs w:val="24"/>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5"/>
                <w:szCs w:val="15"/>
                <w:color w:val="auto"/>
              </w:rPr>
              <w:t>(ALS)</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Blind, Placebo-Controlled, 12 Month Clinical Trial to</w:t>
            </w:r>
          </w:p>
        </w:tc>
        <w:tc>
          <w:tcPr>
            <w:tcW w:w="3540" w:type="dxa"/>
            <w:vAlign w:val="bottom"/>
          </w:tcPr>
          <w:p>
            <w:pPr>
              <w:spacing w:after="0"/>
              <w:rPr>
                <w:sz w:val="20"/>
                <w:szCs w:val="20"/>
                <w:color w:val="auto"/>
              </w:rPr>
            </w:pPr>
            <w:r>
              <w:rPr>
                <w:rFonts w:ascii="Arial" w:cs="Arial" w:eastAsia="Arial" w:hAnsi="Arial"/>
                <w:sz w:val="15"/>
                <w:szCs w:val="15"/>
                <w:color w:val="auto"/>
              </w:rPr>
              <w:t>MediciNova, Inc.</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Evaluate the Efficacy and Safety of MN-166 (ibudilast)</w:t>
            </w:r>
          </w:p>
        </w:tc>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Followed by an Open-Label Extension in Subjects with</w:t>
            </w:r>
          </w:p>
        </w:tc>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040" w:type="dxa"/>
            <w:vAlign w:val="bottom"/>
          </w:tcPr>
          <w:p>
            <w:pPr>
              <w:spacing w:after="0"/>
              <w:rPr>
                <w:sz w:val="17"/>
                <w:szCs w:val="17"/>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Amyotrophic Lateral Sclerosis</w:t>
            </w:r>
          </w:p>
        </w:tc>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3"/>
        </w:trPr>
        <w:tc>
          <w:tcPr>
            <w:tcW w:w="2040" w:type="dxa"/>
            <w:vAlign w:val="bottom"/>
          </w:tcPr>
          <w:p>
            <w:pPr>
              <w:spacing w:after="0"/>
              <w:rPr>
                <w:sz w:val="20"/>
                <w:szCs w:val="20"/>
                <w:color w:val="auto"/>
              </w:rPr>
            </w:pPr>
            <w:r>
              <w:rPr>
                <w:rFonts w:ascii="Arial" w:cs="Arial" w:eastAsia="Arial" w:hAnsi="Arial"/>
                <w:sz w:val="15"/>
                <w:szCs w:val="15"/>
                <w:color w:val="auto"/>
              </w:rPr>
              <w:t>Degenerative Cervical</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 multi-centre, double-blind, randomized, placebo-</w:t>
            </w:r>
          </w:p>
        </w:tc>
        <w:tc>
          <w:tcPr>
            <w:tcW w:w="3540" w:type="dxa"/>
            <w:vAlign w:val="bottom"/>
          </w:tcPr>
          <w:p>
            <w:pPr>
              <w:spacing w:after="0"/>
              <w:rPr>
                <w:sz w:val="20"/>
                <w:szCs w:val="20"/>
                <w:color w:val="auto"/>
              </w:rPr>
            </w:pPr>
            <w:r>
              <w:rPr>
                <w:rFonts w:ascii="Arial" w:cs="Arial" w:eastAsia="Arial" w:hAnsi="Arial"/>
                <w:sz w:val="15"/>
                <w:szCs w:val="15"/>
                <w:color w:val="auto"/>
              </w:rPr>
              <w:t>University of Cambridge / Multicenter</w:t>
            </w:r>
          </w:p>
        </w:tc>
        <w:tc>
          <w:tcPr>
            <w:tcW w:w="1800" w:type="dxa"/>
            <w:vAlign w:val="bottom"/>
            <w:gridSpan w:val="2"/>
          </w:tcPr>
          <w:p>
            <w:pPr>
              <w:ind w:left="40"/>
              <w:spacing w:after="0"/>
              <w:rPr>
                <w:sz w:val="20"/>
                <w:szCs w:val="20"/>
                <w:color w:val="auto"/>
              </w:rPr>
            </w:pPr>
            <w:r>
              <w:rPr>
                <w:rFonts w:ascii="Arial" w:cs="Arial" w:eastAsia="Arial" w:hAnsi="Arial"/>
                <w:sz w:val="15"/>
                <w:szCs w:val="15"/>
                <w:color w:val="auto"/>
              </w:rPr>
              <w:t>Ongoing</w:t>
            </w:r>
          </w:p>
        </w:tc>
        <w:tc>
          <w:tcPr>
            <w:tcW w:w="20" w:type="dxa"/>
            <w:vAlign w:val="bottom"/>
          </w:tcPr>
          <w:p>
            <w:pPr>
              <w:spacing w:after="0"/>
              <w:rPr>
                <w:sz w:val="24"/>
                <w:szCs w:val="24"/>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5"/>
                <w:szCs w:val="15"/>
                <w:color w:val="auto"/>
              </w:rPr>
              <w:t>Myelopathy</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controlled trial assessing the efficacy of Ibudilast as an</w:t>
            </w:r>
          </w:p>
        </w:tc>
        <w:tc>
          <w:tcPr>
            <w:tcW w:w="3540" w:type="dxa"/>
            <w:vAlign w:val="bottom"/>
          </w:tcPr>
          <w:p>
            <w:pPr>
              <w:spacing w:after="0"/>
              <w:rPr>
                <w:sz w:val="20"/>
                <w:szCs w:val="20"/>
                <w:color w:val="auto"/>
              </w:rPr>
            </w:pPr>
            <w:r>
              <w:rPr>
                <w:rFonts w:ascii="Arial" w:cs="Arial" w:eastAsia="Arial" w:hAnsi="Arial"/>
                <w:sz w:val="15"/>
                <w:szCs w:val="15"/>
                <w:color w:val="auto"/>
              </w:rPr>
              <w:t>National Institute for Health Research (NIHR) in the</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adjuvant treatment to decompressive surgery for</w:t>
            </w:r>
          </w:p>
        </w:tc>
        <w:tc>
          <w:tcPr>
            <w:tcW w:w="3540" w:type="dxa"/>
            <w:vAlign w:val="bottom"/>
          </w:tcPr>
          <w:p>
            <w:pPr>
              <w:spacing w:after="0"/>
              <w:rPr>
                <w:sz w:val="20"/>
                <w:szCs w:val="20"/>
                <w:color w:val="auto"/>
              </w:rPr>
            </w:pPr>
            <w:r>
              <w:rPr>
                <w:rFonts w:ascii="Arial" w:cs="Arial" w:eastAsia="Arial" w:hAnsi="Arial"/>
                <w:sz w:val="15"/>
                <w:szCs w:val="15"/>
                <w:color w:val="auto"/>
              </w:rPr>
              <w:t>U.K.</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040" w:type="dxa"/>
            <w:vAlign w:val="bottom"/>
          </w:tcPr>
          <w:p>
            <w:pPr>
              <w:spacing w:after="0"/>
              <w:rPr>
                <w:sz w:val="17"/>
                <w:szCs w:val="17"/>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degenerative cervical myelopathy</w:t>
            </w:r>
          </w:p>
        </w:tc>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86"/>
        </w:trPr>
        <w:tc>
          <w:tcPr>
            <w:tcW w:w="2040" w:type="dxa"/>
            <w:vAlign w:val="bottom"/>
          </w:tcPr>
          <w:p>
            <w:pPr>
              <w:spacing w:after="0"/>
              <w:rPr>
                <w:sz w:val="20"/>
                <w:szCs w:val="20"/>
                <w:color w:val="auto"/>
              </w:rPr>
            </w:pPr>
            <w:r>
              <w:rPr>
                <w:rFonts w:ascii="Arial" w:cs="Arial" w:eastAsia="Arial" w:hAnsi="Arial"/>
                <w:sz w:val="15"/>
                <w:szCs w:val="15"/>
                <w:color w:val="auto"/>
              </w:rPr>
              <w:t>Chemotherapy-Induced</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 pilot study evaluating the impact of ibudilast on</w:t>
            </w:r>
          </w:p>
        </w:tc>
        <w:tc>
          <w:tcPr>
            <w:tcW w:w="3540" w:type="dxa"/>
            <w:vAlign w:val="bottom"/>
          </w:tcPr>
          <w:p>
            <w:pPr>
              <w:spacing w:after="0"/>
              <w:rPr>
                <w:sz w:val="20"/>
                <w:szCs w:val="20"/>
                <w:color w:val="auto"/>
              </w:rPr>
            </w:pPr>
            <w:r>
              <w:rPr>
                <w:rFonts w:ascii="Arial" w:cs="Arial" w:eastAsia="Arial" w:hAnsi="Arial"/>
                <w:sz w:val="15"/>
                <w:szCs w:val="15"/>
                <w:color w:val="auto"/>
              </w:rPr>
              <w:t>University of Sydney</w:t>
            </w:r>
          </w:p>
        </w:tc>
        <w:tc>
          <w:tcPr>
            <w:tcW w:w="1800" w:type="dxa"/>
            <w:vAlign w:val="bottom"/>
            <w:gridSpan w:val="2"/>
          </w:tcPr>
          <w:p>
            <w:pPr>
              <w:ind w:left="40"/>
              <w:spacing w:after="0"/>
              <w:rPr>
                <w:sz w:val="20"/>
                <w:szCs w:val="20"/>
                <w:color w:val="auto"/>
              </w:rPr>
            </w:pPr>
            <w:r>
              <w:rPr>
                <w:rFonts w:ascii="Arial" w:cs="Arial" w:eastAsia="Arial" w:hAnsi="Arial"/>
                <w:sz w:val="15"/>
                <w:szCs w:val="15"/>
                <w:color w:val="auto"/>
              </w:rPr>
              <w:t>Ongoing</w:t>
            </w:r>
          </w:p>
        </w:tc>
        <w:tc>
          <w:tcPr>
            <w:tcW w:w="20" w:type="dxa"/>
            <w:vAlign w:val="bottom"/>
          </w:tcPr>
          <w:p>
            <w:pPr>
              <w:spacing w:after="0"/>
              <w:rPr>
                <w:sz w:val="24"/>
                <w:szCs w:val="24"/>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5"/>
                <w:szCs w:val="15"/>
                <w:color w:val="auto"/>
              </w:rPr>
              <w:t>Peripheral Neuropathy</w:t>
            </w: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w w:val="98"/>
              </w:rPr>
              <w:t>prevention of chemotherapy-induced acute neurotoxicity</w:t>
            </w:r>
          </w:p>
        </w:tc>
        <w:tc>
          <w:tcPr>
            <w:tcW w:w="3540" w:type="dxa"/>
            <w:vAlign w:val="bottom"/>
          </w:tcPr>
          <w:p>
            <w:pPr>
              <w:spacing w:after="0"/>
              <w:rPr>
                <w:sz w:val="20"/>
                <w:szCs w:val="20"/>
                <w:color w:val="auto"/>
              </w:rPr>
            </w:pPr>
            <w:r>
              <w:rPr>
                <w:rFonts w:ascii="Arial" w:cs="Arial" w:eastAsia="Arial" w:hAnsi="Arial"/>
                <w:sz w:val="15"/>
                <w:szCs w:val="15"/>
                <w:color w:val="auto"/>
              </w:rPr>
              <w:t>Concord Cancer Centre in Australia</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and evaluating pharmacokinetics with oxaliplatin in</w:t>
            </w:r>
          </w:p>
        </w:tc>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040" w:type="dxa"/>
            <w:vAlign w:val="bottom"/>
          </w:tcPr>
          <w:p>
            <w:pPr>
              <w:spacing w:after="0"/>
              <w:rPr>
                <w:sz w:val="17"/>
                <w:szCs w:val="17"/>
                <w:color w:val="auto"/>
              </w:rPr>
            </w:pPr>
          </w:p>
        </w:tc>
        <w:tc>
          <w:tcPr>
            <w:tcW w:w="4060" w:type="dxa"/>
            <w:vAlign w:val="bottom"/>
            <w:gridSpan w:val="3"/>
          </w:tcPr>
          <w:p>
            <w:pPr>
              <w:ind w:left="360"/>
              <w:spacing w:after="0"/>
              <w:rPr>
                <w:sz w:val="20"/>
                <w:szCs w:val="20"/>
                <w:color w:val="auto"/>
              </w:rPr>
            </w:pPr>
            <w:r>
              <w:rPr>
                <w:rFonts w:ascii="Arial" w:cs="Arial" w:eastAsia="Arial" w:hAnsi="Arial"/>
                <w:sz w:val="15"/>
                <w:szCs w:val="15"/>
                <w:color w:val="auto"/>
              </w:rPr>
              <w:t>gastro-intestinal cancer patients receiving oxaliplatin</w:t>
            </w:r>
          </w:p>
        </w:tc>
        <w:tc>
          <w:tcPr>
            <w:tcW w:w="3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21"/>
        </w:trPr>
        <w:tc>
          <w:tcPr>
            <w:tcW w:w="2040" w:type="dxa"/>
            <w:vAlign w:val="bottom"/>
          </w:tcPr>
          <w:p>
            <w:pPr>
              <w:spacing w:after="0"/>
              <w:rPr>
                <w:sz w:val="24"/>
                <w:szCs w:val="24"/>
                <w:color w:val="auto"/>
              </w:rPr>
            </w:pPr>
          </w:p>
        </w:tc>
        <w:tc>
          <w:tcPr>
            <w:tcW w:w="3880" w:type="dxa"/>
            <w:vAlign w:val="bottom"/>
            <w:gridSpan w:val="2"/>
          </w:tcPr>
          <w:p>
            <w:pPr>
              <w:ind w:left="3600"/>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20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315" w:right="199" w:bottom="1440" w:gutter="0" w:footer="0" w:header="0"/>
        </w:sectPr>
      </w:pPr>
    </w:p>
    <w:bookmarkStart w:id="17" w:name="page18"/>
    <w:bookmarkEnd w:id="17"/>
    <w:p>
      <w:pPr>
        <w:spacing w:after="0"/>
        <w:tabs>
          <w:tab w:leader="none" w:pos="2380" w:val="left"/>
          <w:tab w:leader="none" w:pos="6080" w:val="left"/>
          <w:tab w:leader="none" w:pos="9660" w:val="left"/>
        </w:tabs>
        <w:rPr>
          <w:sz w:val="20"/>
          <w:szCs w:val="20"/>
          <w:color w:val="auto"/>
        </w:rPr>
      </w:pPr>
      <w:r>
        <w:rPr>
          <w:rFonts w:ascii="Arial" w:cs="Arial" w:eastAsia="Arial" w:hAnsi="Arial"/>
          <w:sz w:val="15"/>
          <w:szCs w:val="15"/>
          <w:color w:val="auto"/>
        </w:rPr>
        <w:t>Glioblastoma</w:t>
      </w:r>
      <w:r>
        <w:rPr>
          <w:sz w:val="20"/>
          <w:szCs w:val="20"/>
          <w:color w:val="auto"/>
        </w:rPr>
        <w:tab/>
      </w:r>
      <w:r>
        <w:rPr>
          <w:rFonts w:ascii="Arial" w:cs="Arial" w:eastAsia="Arial" w:hAnsi="Arial"/>
          <w:sz w:val="15"/>
          <w:szCs w:val="15"/>
          <w:color w:val="auto"/>
        </w:rPr>
        <w:t>Phase 1b/2a Multi-center, Open-label, Dose Escalation</w:t>
      </w:r>
      <w:r>
        <w:rPr>
          <w:sz w:val="20"/>
          <w:szCs w:val="20"/>
          <w:color w:val="auto"/>
        </w:rPr>
        <w:tab/>
      </w:r>
      <w:r>
        <w:rPr>
          <w:rFonts w:ascii="Arial" w:cs="Arial" w:eastAsia="Arial" w:hAnsi="Arial"/>
          <w:sz w:val="15"/>
          <w:szCs w:val="15"/>
          <w:color w:val="auto"/>
        </w:rPr>
        <w:t>Dana-Farber Cancer Institute</w:t>
      </w:r>
      <w:r>
        <w:rPr>
          <w:sz w:val="20"/>
          <w:szCs w:val="20"/>
          <w:color w:val="auto"/>
        </w:rPr>
        <w:tab/>
      </w:r>
      <w:r>
        <w:rPr>
          <w:rFonts w:ascii="Arial" w:cs="Arial" w:eastAsia="Arial" w:hAnsi="Arial"/>
          <w:sz w:val="14"/>
          <w:szCs w:val="14"/>
          <w:color w:val="auto"/>
        </w:rPr>
        <w:t>Ongoing</w:t>
      </w:r>
    </w:p>
    <w:p>
      <w:pPr>
        <w:spacing w:after="0" w:line="23" w:lineRule="exact"/>
        <w:rPr>
          <w:sz w:val="20"/>
          <w:szCs w:val="20"/>
          <w:color w:val="auto"/>
        </w:rPr>
      </w:pPr>
    </w:p>
    <w:p>
      <w:pPr>
        <w:ind w:left="2400"/>
        <w:spacing w:after="0"/>
        <w:tabs>
          <w:tab w:leader="none" w:pos="6080" w:val="left"/>
        </w:tabs>
        <w:rPr>
          <w:sz w:val="20"/>
          <w:szCs w:val="20"/>
          <w:color w:val="auto"/>
        </w:rPr>
      </w:pPr>
      <w:r>
        <w:rPr>
          <w:rFonts w:ascii="Arial" w:cs="Arial" w:eastAsia="Arial" w:hAnsi="Arial"/>
          <w:sz w:val="15"/>
          <w:szCs w:val="15"/>
          <w:color w:val="auto"/>
        </w:rPr>
        <w:t>Study to Evaluate the Safety, Tolerability and Efficacy</w:t>
      </w:r>
      <w:r>
        <w:rPr>
          <w:sz w:val="20"/>
          <w:szCs w:val="20"/>
          <w:color w:val="auto"/>
        </w:rPr>
        <w:tab/>
      </w:r>
      <w:r>
        <w:rPr>
          <w:rFonts w:ascii="Arial" w:cs="Arial" w:eastAsia="Arial" w:hAnsi="Arial"/>
          <w:sz w:val="14"/>
          <w:szCs w:val="14"/>
          <w:color w:val="auto"/>
        </w:rPr>
        <w:t>MediciNova, Inc.</w:t>
      </w:r>
    </w:p>
    <w:p>
      <w:pPr>
        <w:spacing w:after="0" w:line="1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of MN-166 (ibudilast)</w:t>
      </w:r>
    </w:p>
    <w:p>
      <w:pPr>
        <w:spacing w:after="0" w:line="1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and Temozolomide Combination Treatment in Patients</w:t>
      </w:r>
    </w:p>
    <w:p>
      <w:pPr>
        <w:spacing w:after="0" w:line="1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With Recurrent Glioblastoma</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Substance Dependence / Addiction:</w:t>
      </w:r>
    </w:p>
    <w:p>
      <w:pPr>
        <w:sectPr>
          <w:pgSz w:w="11900" w:h="16838" w:orient="portrait"/>
          <w:cols w:equalWidth="0" w:num="1">
            <w:col w:w="10360"/>
          </w:cols>
          <w:pgMar w:left="240" w:top="129" w:right="1299" w:bottom="1440" w:gutter="0" w:footer="0" w:header="0"/>
        </w:sectPr>
      </w:pPr>
    </w:p>
    <w:p>
      <w:pPr>
        <w:spacing w:after="0" w:line="303" w:lineRule="exact"/>
        <w:rPr>
          <w:sz w:val="20"/>
          <w:szCs w:val="20"/>
          <w:color w:val="auto"/>
        </w:rPr>
      </w:pPr>
    </w:p>
    <w:p>
      <w:pPr>
        <w:spacing w:after="0"/>
        <w:tabs>
          <w:tab w:leader="none" w:pos="2380" w:val="left"/>
        </w:tabs>
        <w:rPr>
          <w:sz w:val="20"/>
          <w:szCs w:val="20"/>
          <w:color w:val="auto"/>
        </w:rPr>
      </w:pPr>
      <w:r>
        <w:rPr>
          <w:rFonts w:ascii="Arial" w:cs="Arial" w:eastAsia="Arial" w:hAnsi="Arial"/>
          <w:sz w:val="15"/>
          <w:szCs w:val="15"/>
          <w:color w:val="auto"/>
        </w:rPr>
        <w:t>Methamphetamine Dependence</w:t>
      </w:r>
      <w:r>
        <w:rPr>
          <w:sz w:val="20"/>
          <w:szCs w:val="20"/>
          <w:color w:val="auto"/>
        </w:rPr>
        <w:tab/>
      </w:r>
      <w:r>
        <w:rPr>
          <w:rFonts w:ascii="Arial" w:cs="Arial" w:eastAsia="Arial" w:hAnsi="Arial"/>
          <w:sz w:val="14"/>
          <w:szCs w:val="14"/>
          <w:color w:val="auto"/>
        </w:rPr>
        <w:t>Randomized Trial of Ibudilast for Methamphetamine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Dependence</w:t>
      </w:r>
    </w:p>
    <w:p>
      <w:pPr>
        <w:spacing w:after="0" w:line="189" w:lineRule="exact"/>
        <w:rPr>
          <w:sz w:val="20"/>
          <w:szCs w:val="20"/>
          <w:color w:val="auto"/>
        </w:rPr>
      </w:pPr>
    </w:p>
    <w:p>
      <w:pPr>
        <w:spacing w:after="0"/>
        <w:tabs>
          <w:tab w:leader="none" w:pos="2380" w:val="left"/>
        </w:tabs>
        <w:rPr>
          <w:sz w:val="20"/>
          <w:szCs w:val="20"/>
          <w:color w:val="auto"/>
        </w:rPr>
      </w:pPr>
      <w:r>
        <w:rPr>
          <w:rFonts w:ascii="Arial" w:cs="Arial" w:eastAsia="Arial" w:hAnsi="Arial"/>
          <w:sz w:val="15"/>
          <w:szCs w:val="15"/>
          <w:color w:val="auto"/>
        </w:rPr>
        <w:t>Methamphetamine Dependence</w:t>
      </w:r>
      <w:r>
        <w:rPr>
          <w:sz w:val="20"/>
          <w:szCs w:val="20"/>
          <w:color w:val="auto"/>
        </w:rPr>
        <w:tab/>
      </w:r>
      <w:r>
        <w:rPr>
          <w:rFonts w:ascii="Arial" w:cs="Arial" w:eastAsia="Arial" w:hAnsi="Arial"/>
          <w:sz w:val="14"/>
          <w:szCs w:val="14"/>
          <w:color w:val="auto"/>
        </w:rPr>
        <w:t>Effect of Ibudilast on Neuroinflammation in</w:t>
      </w:r>
    </w:p>
    <w:p>
      <w:pPr>
        <w:spacing w:after="0" w:line="23" w:lineRule="exact"/>
        <w:rPr>
          <w:sz w:val="20"/>
          <w:szCs w:val="20"/>
          <w:color w:val="auto"/>
        </w:rPr>
      </w:pPr>
    </w:p>
    <w:p>
      <w:pPr>
        <w:spacing w:after="0"/>
        <w:tabs>
          <w:tab w:leader="none" w:pos="2380" w:val="left"/>
        </w:tabs>
        <w:rPr>
          <w:sz w:val="20"/>
          <w:szCs w:val="20"/>
          <w:color w:val="auto"/>
        </w:rPr>
      </w:pPr>
      <w:r>
        <w:rPr>
          <w:rFonts w:ascii="Arial" w:cs="Arial" w:eastAsia="Arial" w:hAnsi="Arial"/>
          <w:sz w:val="15"/>
          <w:szCs w:val="15"/>
          <w:color w:val="auto"/>
        </w:rPr>
        <w:t>/ Biomarker</w:t>
      </w:r>
      <w:r>
        <w:rPr>
          <w:sz w:val="20"/>
          <w:szCs w:val="20"/>
          <w:color w:val="auto"/>
        </w:rPr>
        <w:tab/>
      </w:r>
      <w:r>
        <w:rPr>
          <w:rFonts w:ascii="Arial" w:cs="Arial" w:eastAsia="Arial" w:hAnsi="Arial"/>
          <w:sz w:val="13"/>
          <w:szCs w:val="13"/>
          <w:color w:val="auto"/>
        </w:rPr>
        <w:t>Methamphetamine Users</w:t>
      </w:r>
    </w:p>
    <w:p>
      <w:pPr>
        <w:spacing w:after="0" w:line="386" w:lineRule="exact"/>
        <w:rPr>
          <w:sz w:val="20"/>
          <w:szCs w:val="20"/>
          <w:color w:val="auto"/>
        </w:rPr>
      </w:pPr>
    </w:p>
    <w:p>
      <w:pPr>
        <w:spacing w:after="0"/>
        <w:tabs>
          <w:tab w:leader="none" w:pos="2380" w:val="left"/>
        </w:tabs>
        <w:rPr>
          <w:sz w:val="20"/>
          <w:szCs w:val="20"/>
          <w:color w:val="auto"/>
        </w:rPr>
      </w:pPr>
      <w:r>
        <w:rPr>
          <w:rFonts w:ascii="Arial" w:cs="Arial" w:eastAsia="Arial" w:hAnsi="Arial"/>
          <w:sz w:val="15"/>
          <w:szCs w:val="15"/>
          <w:color w:val="auto"/>
        </w:rPr>
        <w:t>Opioid Dependence</w:t>
      </w:r>
      <w:r>
        <w:rPr>
          <w:sz w:val="20"/>
          <w:szCs w:val="20"/>
          <w:color w:val="auto"/>
        </w:rPr>
        <w:tab/>
      </w:r>
      <w:r>
        <w:rPr>
          <w:rFonts w:ascii="Arial" w:cs="Arial" w:eastAsia="Arial" w:hAnsi="Arial"/>
          <w:sz w:val="14"/>
          <w:szCs w:val="14"/>
          <w:color w:val="auto"/>
        </w:rPr>
        <w:t>Effects of Ibudilast (MN-166), a Glial Activation</w:t>
      </w:r>
    </w:p>
    <w:p>
      <w:pPr>
        <w:spacing w:after="0" w:line="23" w:lineRule="exact"/>
        <w:rPr>
          <w:sz w:val="20"/>
          <w:szCs w:val="20"/>
          <w:color w:val="auto"/>
        </w:rPr>
      </w:pPr>
    </w:p>
    <w:p>
      <w:pPr>
        <w:ind w:left="2400" w:right="20"/>
        <w:spacing w:after="0" w:line="276" w:lineRule="auto"/>
        <w:rPr>
          <w:sz w:val="20"/>
          <w:szCs w:val="20"/>
          <w:color w:val="auto"/>
        </w:rPr>
      </w:pPr>
      <w:r>
        <w:rPr>
          <w:rFonts w:ascii="Arial" w:cs="Arial" w:eastAsia="Arial" w:hAnsi="Arial"/>
          <w:sz w:val="15"/>
          <w:szCs w:val="15"/>
          <w:color w:val="auto"/>
        </w:rPr>
        <w:t>Inhibitor, on Oxycodone Self-Administration in Opioid Abusers</w:t>
      </w:r>
    </w:p>
    <w:p>
      <w:pPr>
        <w:spacing w:after="0" w:line="150" w:lineRule="exact"/>
        <w:rPr>
          <w:sz w:val="20"/>
          <w:szCs w:val="20"/>
          <w:color w:val="auto"/>
        </w:rPr>
      </w:pPr>
    </w:p>
    <w:p>
      <w:pPr>
        <w:spacing w:after="0"/>
        <w:tabs>
          <w:tab w:leader="none" w:pos="2380" w:val="left"/>
        </w:tabs>
        <w:rPr>
          <w:sz w:val="20"/>
          <w:szCs w:val="20"/>
          <w:color w:val="auto"/>
        </w:rPr>
      </w:pPr>
      <w:r>
        <w:rPr>
          <w:rFonts w:ascii="Arial" w:cs="Arial" w:eastAsia="Arial" w:hAnsi="Arial"/>
          <w:sz w:val="15"/>
          <w:szCs w:val="15"/>
          <w:color w:val="auto"/>
        </w:rPr>
        <w:t>Alcohol Dependence</w:t>
      </w:r>
      <w:r>
        <w:rPr>
          <w:sz w:val="20"/>
          <w:szCs w:val="20"/>
          <w:color w:val="auto"/>
        </w:rPr>
        <w:tab/>
      </w:r>
      <w:r>
        <w:rPr>
          <w:rFonts w:ascii="Arial" w:cs="Arial" w:eastAsia="Arial" w:hAnsi="Arial"/>
          <w:sz w:val="14"/>
          <w:szCs w:val="14"/>
          <w:color w:val="auto"/>
        </w:rPr>
        <w:t>Development of Ibudilast (MN-166) as a Novel</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Treatment for Alcoholism</w:t>
      </w:r>
    </w:p>
    <w:p>
      <w:pPr>
        <w:spacing w:after="0" w:line="200" w:lineRule="exact"/>
        <w:rPr>
          <w:sz w:val="20"/>
          <w:szCs w:val="20"/>
          <w:color w:val="auto"/>
        </w:rPr>
      </w:pPr>
    </w:p>
    <w:p>
      <w:pPr>
        <w:spacing w:after="0" w:line="244" w:lineRule="exact"/>
        <w:rPr>
          <w:sz w:val="20"/>
          <w:szCs w:val="20"/>
          <w:color w:val="auto"/>
        </w:rPr>
      </w:pPr>
    </w:p>
    <w:p>
      <w:pPr>
        <w:spacing w:after="0"/>
        <w:tabs>
          <w:tab w:leader="none" w:pos="2380" w:val="left"/>
        </w:tabs>
        <w:rPr>
          <w:sz w:val="20"/>
          <w:szCs w:val="20"/>
          <w:color w:val="auto"/>
        </w:rPr>
      </w:pPr>
      <w:r>
        <w:rPr>
          <w:rFonts w:ascii="Arial" w:cs="Arial" w:eastAsia="Arial" w:hAnsi="Arial"/>
          <w:sz w:val="15"/>
          <w:szCs w:val="15"/>
          <w:color w:val="auto"/>
        </w:rPr>
        <w:t>Alcohol Dependence and</w:t>
      </w:r>
      <w:r>
        <w:rPr>
          <w:sz w:val="20"/>
          <w:szCs w:val="20"/>
          <w:color w:val="auto"/>
        </w:rPr>
        <w:tab/>
      </w:r>
      <w:r>
        <w:rPr>
          <w:rFonts w:ascii="Arial" w:cs="Arial" w:eastAsia="Arial" w:hAnsi="Arial"/>
          <w:sz w:val="14"/>
          <w:szCs w:val="14"/>
          <w:color w:val="auto"/>
        </w:rPr>
        <w:t>Ibudilast (MN-166) and Withdrawal-Related Dysphoria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Withdrawal</w:t>
      </w:r>
    </w:p>
    <w:p>
      <w:pPr>
        <w:spacing w:after="0" w:line="200" w:lineRule="exact"/>
        <w:rPr>
          <w:sz w:val="20"/>
          <w:szCs w:val="20"/>
          <w:color w:val="auto"/>
        </w:rPr>
      </w:pPr>
    </w:p>
    <w:p>
      <w:pPr>
        <w:spacing w:after="0" w:line="267" w:lineRule="exact"/>
        <w:rPr>
          <w:sz w:val="20"/>
          <w:szCs w:val="20"/>
          <w:color w:val="auto"/>
        </w:rPr>
      </w:pPr>
    </w:p>
    <w:p>
      <w:pPr>
        <w:spacing w:after="0"/>
        <w:tabs>
          <w:tab w:leader="none" w:pos="2380" w:val="left"/>
        </w:tabs>
        <w:rPr>
          <w:sz w:val="20"/>
          <w:szCs w:val="20"/>
          <w:color w:val="auto"/>
        </w:rPr>
      </w:pPr>
      <w:r>
        <w:rPr>
          <w:rFonts w:ascii="Arial" w:cs="Arial" w:eastAsia="Arial" w:hAnsi="Arial"/>
          <w:sz w:val="15"/>
          <w:szCs w:val="15"/>
          <w:color w:val="auto"/>
        </w:rPr>
        <w:t>Alcohol Dependence</w:t>
      </w:r>
      <w:r>
        <w:rPr>
          <w:sz w:val="20"/>
          <w:szCs w:val="20"/>
          <w:color w:val="auto"/>
        </w:rPr>
        <w:tab/>
      </w:r>
      <w:r>
        <w:rPr>
          <w:rFonts w:ascii="Arial" w:cs="Arial" w:eastAsia="Arial" w:hAnsi="Arial"/>
          <w:sz w:val="14"/>
          <w:szCs w:val="14"/>
          <w:color w:val="auto"/>
        </w:rPr>
        <w:t>Ibudilast (MN-166) for the Treatment of Alcohol Use</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Disorder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tabs>
          <w:tab w:leader="none" w:pos="3560" w:val="left"/>
        </w:tabs>
        <w:rPr>
          <w:sz w:val="20"/>
          <w:szCs w:val="20"/>
          <w:color w:val="auto"/>
        </w:rPr>
      </w:pPr>
      <w:r>
        <w:rPr>
          <w:rFonts w:ascii="Arial" w:cs="Arial" w:eastAsia="Arial" w:hAnsi="Arial"/>
          <w:sz w:val="14"/>
          <w:szCs w:val="14"/>
          <w:color w:val="auto"/>
        </w:rPr>
        <w:t>UCLA</w:t>
      </w:r>
      <w:r>
        <w:rPr>
          <w:sz w:val="20"/>
          <w:szCs w:val="20"/>
          <w:color w:val="auto"/>
        </w:rPr>
        <w:tab/>
      </w:r>
      <w:r>
        <w:rPr>
          <w:rFonts w:ascii="Arial" w:cs="Arial" w:eastAsia="Arial" w:hAnsi="Arial"/>
          <w:sz w:val="14"/>
          <w:szCs w:val="14"/>
          <w:color w:val="auto"/>
        </w:rPr>
        <w:t>Completed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National Institute on Drug Abuse</w:t>
      </w:r>
    </w:p>
    <w:p>
      <w:pPr>
        <w:spacing w:after="0" w:line="189" w:lineRule="exact"/>
        <w:rPr>
          <w:sz w:val="20"/>
          <w:szCs w:val="20"/>
          <w:color w:val="auto"/>
        </w:rPr>
      </w:pPr>
    </w:p>
    <w:p>
      <w:pPr>
        <w:spacing w:after="0"/>
        <w:tabs>
          <w:tab w:leader="none" w:pos="3560" w:val="left"/>
        </w:tabs>
        <w:rPr>
          <w:sz w:val="20"/>
          <w:szCs w:val="20"/>
          <w:color w:val="auto"/>
        </w:rPr>
      </w:pPr>
      <w:r>
        <w:rPr>
          <w:rFonts w:ascii="Arial" w:cs="Arial" w:eastAsia="Arial" w:hAnsi="Arial"/>
          <w:sz w:val="15"/>
          <w:szCs w:val="15"/>
          <w:color w:val="auto"/>
        </w:rPr>
        <w:t>Oregon Health &amp; Science University</w:t>
      </w:r>
      <w:r>
        <w:rPr>
          <w:sz w:val="20"/>
          <w:szCs w:val="20"/>
          <w:color w:val="auto"/>
        </w:rPr>
        <w:tab/>
      </w:r>
      <w:r>
        <w:rPr>
          <w:rFonts w:ascii="Arial" w:cs="Arial" w:eastAsia="Arial" w:hAnsi="Arial"/>
          <w:sz w:val="14"/>
          <w:szCs w:val="14"/>
          <w:color w:val="auto"/>
        </w:rPr>
        <w:t>Ongoing</w:t>
      </w:r>
    </w:p>
    <w:p>
      <w:pPr>
        <w:spacing w:after="0" w:line="200" w:lineRule="exact"/>
        <w:rPr>
          <w:sz w:val="20"/>
          <w:szCs w:val="20"/>
          <w:color w:val="auto"/>
        </w:rPr>
      </w:pPr>
    </w:p>
    <w:p>
      <w:pPr>
        <w:spacing w:after="0" w:line="382" w:lineRule="exact"/>
        <w:rPr>
          <w:sz w:val="20"/>
          <w:szCs w:val="20"/>
          <w:color w:val="auto"/>
        </w:rPr>
      </w:pPr>
    </w:p>
    <w:p>
      <w:pPr>
        <w:spacing w:after="0"/>
        <w:tabs>
          <w:tab w:leader="none" w:pos="3560" w:val="left"/>
        </w:tabs>
        <w:rPr>
          <w:sz w:val="20"/>
          <w:szCs w:val="20"/>
          <w:color w:val="auto"/>
        </w:rPr>
      </w:pPr>
      <w:r>
        <w:rPr>
          <w:rFonts w:ascii="Arial" w:cs="Arial" w:eastAsia="Arial" w:hAnsi="Arial"/>
          <w:sz w:val="15"/>
          <w:szCs w:val="15"/>
          <w:color w:val="auto"/>
        </w:rPr>
        <w:t>Columbia University / NYSPI</w:t>
      </w:r>
      <w:r>
        <w:rPr>
          <w:sz w:val="20"/>
          <w:szCs w:val="20"/>
          <w:color w:val="auto"/>
        </w:rPr>
        <w:tab/>
      </w:r>
      <w:r>
        <w:rPr>
          <w:rFonts w:ascii="Arial" w:cs="Arial" w:eastAsia="Arial" w:hAnsi="Arial"/>
          <w:sz w:val="14"/>
          <w:szCs w:val="14"/>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National Institute on Drug Abuse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MediciNova, Inc.</w:t>
      </w:r>
    </w:p>
    <w:p>
      <w:pPr>
        <w:spacing w:after="0" w:line="189" w:lineRule="exact"/>
        <w:rPr>
          <w:sz w:val="20"/>
          <w:szCs w:val="20"/>
          <w:color w:val="auto"/>
        </w:rPr>
      </w:pPr>
    </w:p>
    <w:p>
      <w:pPr>
        <w:spacing w:after="0"/>
        <w:tabs>
          <w:tab w:leader="none" w:pos="3560" w:val="left"/>
        </w:tabs>
        <w:rPr>
          <w:sz w:val="20"/>
          <w:szCs w:val="20"/>
          <w:color w:val="auto"/>
        </w:rPr>
      </w:pPr>
      <w:r>
        <w:rPr>
          <w:rFonts w:ascii="Arial" w:cs="Arial" w:eastAsia="Arial" w:hAnsi="Arial"/>
          <w:sz w:val="14"/>
          <w:szCs w:val="14"/>
          <w:color w:val="auto"/>
        </w:rPr>
        <w:t>UCLA</w:t>
      </w:r>
      <w:r>
        <w:rPr>
          <w:sz w:val="20"/>
          <w:szCs w:val="20"/>
          <w:color w:val="auto"/>
        </w:rPr>
        <w:tab/>
      </w:r>
      <w:r>
        <w:rPr>
          <w:rFonts w:ascii="Arial" w:cs="Arial" w:eastAsia="Arial" w:hAnsi="Arial"/>
          <w:sz w:val="14"/>
          <w:szCs w:val="14"/>
          <w:color w:val="auto"/>
        </w:rPr>
        <w:t>Completed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National Institute on Alcohol Abuse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and Alcoholism</w:t>
      </w:r>
    </w:p>
    <w:p>
      <w:pPr>
        <w:spacing w:after="0" w:line="258" w:lineRule="exact"/>
        <w:rPr>
          <w:sz w:val="20"/>
          <w:szCs w:val="20"/>
          <w:color w:val="auto"/>
        </w:rPr>
      </w:pPr>
    </w:p>
    <w:p>
      <w:pPr>
        <w:spacing w:after="0"/>
        <w:tabs>
          <w:tab w:leader="none" w:pos="3560" w:val="left"/>
        </w:tabs>
        <w:rPr>
          <w:sz w:val="20"/>
          <w:szCs w:val="20"/>
          <w:color w:val="auto"/>
        </w:rPr>
      </w:pPr>
      <w:r>
        <w:rPr>
          <w:rFonts w:ascii="Arial" w:cs="Arial" w:eastAsia="Arial" w:hAnsi="Arial"/>
          <w:sz w:val="15"/>
          <w:szCs w:val="15"/>
          <w:color w:val="auto"/>
        </w:rPr>
        <w:t>UCLA</w:t>
      </w:r>
      <w:r>
        <w:rPr>
          <w:sz w:val="20"/>
          <w:szCs w:val="20"/>
          <w:color w:val="auto"/>
        </w:rPr>
        <w:tab/>
      </w:r>
      <w:r>
        <w:rPr>
          <w:rFonts w:ascii="Arial" w:cs="Arial" w:eastAsia="Arial" w:hAnsi="Arial"/>
          <w:sz w:val="15"/>
          <w:szCs w:val="15"/>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National Institute on Drug Abuse</w:t>
      </w:r>
    </w:p>
    <w:p>
      <w:pPr>
        <w:spacing w:after="0" w:line="200" w:lineRule="exact"/>
        <w:rPr>
          <w:sz w:val="20"/>
          <w:szCs w:val="20"/>
          <w:color w:val="auto"/>
        </w:rPr>
      </w:pPr>
    </w:p>
    <w:p>
      <w:pPr>
        <w:spacing w:after="0" w:line="267" w:lineRule="exact"/>
        <w:rPr>
          <w:sz w:val="20"/>
          <w:szCs w:val="20"/>
          <w:color w:val="auto"/>
        </w:rPr>
      </w:pPr>
    </w:p>
    <w:p>
      <w:pPr>
        <w:spacing w:after="0"/>
        <w:tabs>
          <w:tab w:leader="none" w:pos="3600" w:val="left"/>
        </w:tabs>
        <w:rPr>
          <w:sz w:val="20"/>
          <w:szCs w:val="20"/>
          <w:color w:val="auto"/>
        </w:rPr>
      </w:pPr>
      <w:r>
        <w:rPr>
          <w:rFonts w:ascii="Arial" w:cs="Arial" w:eastAsia="Arial" w:hAnsi="Arial"/>
          <w:sz w:val="15"/>
          <w:szCs w:val="15"/>
          <w:color w:val="auto"/>
        </w:rPr>
        <w:t>UCLA</w:t>
      </w:r>
      <w:r>
        <w:rPr>
          <w:sz w:val="20"/>
          <w:szCs w:val="20"/>
          <w:color w:val="auto"/>
        </w:rPr>
        <w:tab/>
      </w:r>
      <w:r>
        <w:rPr>
          <w:rFonts w:ascii="Arial" w:cs="Arial" w:eastAsia="Arial" w:hAnsi="Arial"/>
          <w:sz w:val="15"/>
          <w:szCs w:val="15"/>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National Institute on Alcohol Abuse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and Alcoholism</w:t>
      </w:r>
    </w:p>
    <w:p>
      <w:pPr>
        <w:spacing w:after="0" w:line="200" w:lineRule="exact"/>
        <w:rPr>
          <w:sz w:val="20"/>
          <w:szCs w:val="20"/>
          <w:color w:val="auto"/>
        </w:rPr>
      </w:pPr>
    </w:p>
    <w:p>
      <w:pPr>
        <w:sectPr>
          <w:pgSz w:w="11900" w:h="16838" w:orient="portrait"/>
          <w:cols w:equalWidth="0" w:num="2">
            <w:col w:w="5840" w:space="260"/>
            <w:col w:w="4260"/>
          </w:cols>
          <w:pgMar w:left="240" w:top="129"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currently have no marketing and sales capabilities and we expect to rely on strategic partners to commercialize our products.</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0360"/>
          </w:cols>
          <w:pgMar w:left="240" w:top="129" w:right="12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Manufacturing</w:t>
      </w:r>
    </w:p>
    <w:p>
      <w:pPr>
        <w:spacing w:after="0" w:line="205" w:lineRule="exact"/>
        <w:rPr>
          <w:sz w:val="20"/>
          <w:szCs w:val="20"/>
          <w:color w:val="auto"/>
        </w:rPr>
      </w:pPr>
    </w:p>
    <w:p>
      <w:pPr>
        <w:ind w:right="160" w:firstLine="538"/>
        <w:spacing w:after="0" w:line="269" w:lineRule="auto"/>
        <w:rPr>
          <w:sz w:val="20"/>
          <w:szCs w:val="20"/>
          <w:color w:val="auto"/>
        </w:rPr>
      </w:pPr>
      <w:r>
        <w:rPr>
          <w:rFonts w:ascii="Arial" w:cs="Arial" w:eastAsia="Arial" w:hAnsi="Arial"/>
          <w:sz w:val="15"/>
          <w:szCs w:val="15"/>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53" w:lineRule="exact"/>
        <w:rPr>
          <w:sz w:val="20"/>
          <w:szCs w:val="20"/>
          <w:color w:val="auto"/>
        </w:rPr>
      </w:pPr>
    </w:p>
    <w:p>
      <w:pPr>
        <w:ind w:right="20" w:firstLine="538"/>
        <w:spacing w:after="0" w:line="314" w:lineRule="auto"/>
        <w:rPr>
          <w:sz w:val="20"/>
          <w:szCs w:val="20"/>
          <w:color w:val="auto"/>
        </w:rPr>
      </w:pPr>
      <w:r>
        <w:rPr>
          <w:rFonts w:ascii="Arial" w:cs="Arial" w:eastAsia="Arial" w:hAnsi="Arial"/>
          <w:sz w:val="14"/>
          <w:szCs w:val="14"/>
          <w:color w:val="auto"/>
        </w:rPr>
        <w:t>For the MN-166 (ibudilast) development program, we have historically sourced and imported delayed-release ibudilast capsules, marketed in Japan as Pinatos</w:t>
      </w:r>
      <w:r>
        <w:rPr>
          <w:rFonts w:ascii="Arial" w:cs="Arial" w:eastAsia="Arial" w:hAnsi="Arial"/>
          <w:sz w:val="15"/>
          <w:szCs w:val="15"/>
          <w:color w:val="auto"/>
          <w:vertAlign w:val="superscript"/>
        </w:rPr>
        <w:t>®</w:t>
      </w:r>
      <w:r>
        <w:rPr>
          <w:rFonts w:ascii="Arial" w:cs="Arial" w:eastAsia="Arial" w:hAnsi="Arial"/>
          <w:sz w:val="14"/>
          <w:szCs w:val="14"/>
          <w:color w:val="auto"/>
        </w:rPr>
        <w:t>, from Taisho Pharmaceutical Co., Ltd. (Taisho). In addition, we have begun using contract manufacturers to manufacture API and finished product for the MN-166 (ibudilast) development program.</w:t>
      </w:r>
    </w:p>
    <w:p>
      <w:pPr>
        <w:spacing w:after="0" w:line="123" w:lineRule="exact"/>
        <w:rPr>
          <w:sz w:val="20"/>
          <w:szCs w:val="20"/>
          <w:color w:val="auto"/>
        </w:rPr>
      </w:pPr>
    </w:p>
    <w:p>
      <w:pPr>
        <w:ind w:right="40" w:firstLine="538"/>
        <w:spacing w:after="0" w:line="274" w:lineRule="auto"/>
        <w:rPr>
          <w:sz w:val="20"/>
          <w:szCs w:val="20"/>
          <w:color w:val="auto"/>
        </w:rPr>
      </w:pPr>
      <w:r>
        <w:rPr>
          <w:rFonts w:ascii="Arial" w:cs="Arial" w:eastAsia="Arial" w:hAnsi="Arial"/>
          <w:sz w:val="15"/>
          <w:szCs w:val="15"/>
          <w:color w:val="auto"/>
        </w:rPr>
        <w:t>Pursuant to the terms of our license agreement with Kissei for MN-221 (bedoradrine), Kissei has the exclusive right to manufacture the commercial supply of the API for MN-221 (bedoradrine). If we enter into a supply agreement with Kissei, we will purchase from Kissei all API that we require for the commercial supply of MN-221 (bedoradrine), if this product candidate is approved for commercial sale by the FDA or other regulatory authorities.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 and License Agreements</w:t>
      </w:r>
    </w:p>
    <w:p>
      <w:pPr>
        <w:spacing w:after="0" w:line="205" w:lineRule="exact"/>
        <w:rPr>
          <w:sz w:val="20"/>
          <w:szCs w:val="20"/>
          <w:color w:val="auto"/>
        </w:rPr>
      </w:pPr>
    </w:p>
    <w:p>
      <w:pPr>
        <w:ind w:right="100" w:firstLine="538"/>
        <w:spacing w:after="0" w:line="285" w:lineRule="auto"/>
        <w:rPr>
          <w:sz w:val="20"/>
          <w:szCs w:val="20"/>
          <w:color w:val="auto"/>
        </w:rPr>
      </w:pPr>
      <w:r>
        <w:rPr>
          <w:rFonts w:ascii="Arial" w:cs="Arial" w:eastAsia="Arial" w:hAnsi="Arial"/>
          <w:sz w:val="14"/>
          <w:szCs w:val="14"/>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 Although the majority of our licensed patents have expired, we hold licensed rights to one issued foreign patent that is not expired. In addition to these licensed rights, we hold 26 issued U.S. patents and have filed 10 additional U.S. patent applications. We also hold 41 issued foreign patents and 39 pending foreign patent applications corresponding to these U.S. patents and patent applications. We are not aware of any third 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w:t>
      </w:r>
    </w:p>
    <w:p>
      <w:pPr>
        <w:spacing w:after="0" w:line="199" w:lineRule="exact"/>
        <w:rPr>
          <w:sz w:val="20"/>
          <w:szCs w:val="20"/>
          <w:color w:val="auto"/>
        </w:rPr>
      </w:pPr>
    </w:p>
    <w:p>
      <w:pPr>
        <w:ind w:firstLine="538"/>
        <w:spacing w:after="0" w:line="263" w:lineRule="auto"/>
        <w:rPr>
          <w:sz w:val="20"/>
          <w:szCs w:val="20"/>
          <w:color w:val="auto"/>
        </w:rPr>
      </w:pPr>
      <w:r>
        <w:rPr>
          <w:rFonts w:ascii="Arial" w:cs="Arial" w:eastAsia="Arial" w:hAnsi="Arial"/>
          <w:sz w:val="15"/>
          <w:szCs w:val="15"/>
          <w:color w:val="auto"/>
        </w:rPr>
        <w:t>On October 22, 2004, we entered into an exclusive license agreement with Kyorin for the development and commercialization of MN-166 (ibudilast). Kyorin is a fully integrated Japanese pharmaceutical company and is listed on the First Section of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62" w:lineRule="exact"/>
        <w:rPr>
          <w:sz w:val="20"/>
          <w:szCs w:val="20"/>
          <w:color w:val="auto"/>
        </w:rPr>
      </w:pPr>
    </w:p>
    <w:p>
      <w:pPr>
        <w:ind w:right="100" w:firstLine="538"/>
        <w:spacing w:after="0" w:line="274" w:lineRule="auto"/>
        <w:rPr>
          <w:sz w:val="20"/>
          <w:szCs w:val="20"/>
          <w:color w:val="auto"/>
        </w:rPr>
      </w:pPr>
      <w:r>
        <w:rPr>
          <w:rFonts w:ascii="Arial" w:cs="Arial" w:eastAsia="Arial" w:hAnsi="Arial"/>
          <w:sz w:val="15"/>
          <w:szCs w:val="15"/>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75" w:lineRule="exact"/>
        <w:rPr>
          <w:sz w:val="20"/>
          <w:szCs w:val="20"/>
          <w:color w:val="auto"/>
        </w:rPr>
      </w:pPr>
    </w:p>
    <w:p>
      <w:pPr>
        <w:ind w:right="40" w:firstLine="538"/>
        <w:spacing w:after="0" w:line="328" w:lineRule="auto"/>
        <w:rPr>
          <w:sz w:val="20"/>
          <w:szCs w:val="20"/>
          <w:color w:val="auto"/>
        </w:rPr>
      </w:pPr>
      <w:r>
        <w:rPr>
          <w:rFonts w:ascii="Arial" w:cs="Arial" w:eastAsia="Arial" w:hAnsi="Arial"/>
          <w:sz w:val="14"/>
          <w:szCs w:val="14"/>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309" w:right="259" w:bottom="1440" w:gutter="0" w:footer="0" w:header="0"/>
        </w:sectPr>
      </w:pPr>
    </w:p>
    <w:bookmarkStart w:id="19" w:name="page20"/>
    <w:bookmarkEnd w:id="19"/>
    <w:p>
      <w:pPr>
        <w:spacing w:after="0" w:line="328" w:lineRule="auto"/>
        <w:rPr>
          <w:sz w:val="20"/>
          <w:szCs w:val="20"/>
          <w:color w:val="auto"/>
        </w:rPr>
      </w:pPr>
      <w:r>
        <w:rPr>
          <w:rFonts w:ascii="Arial" w:cs="Arial" w:eastAsia="Arial" w:hAnsi="Arial"/>
          <w:sz w:val="14"/>
          <w:szCs w:val="14"/>
          <w:color w:val="auto"/>
        </w:rPr>
        <w:t>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17" w:lineRule="exact"/>
        <w:rPr>
          <w:sz w:val="20"/>
          <w:szCs w:val="20"/>
          <w:color w:val="auto"/>
        </w:rPr>
      </w:pPr>
    </w:p>
    <w:p>
      <w:pPr>
        <w:ind w:right="80" w:firstLine="538"/>
        <w:spacing w:after="0" w:line="290" w:lineRule="auto"/>
        <w:rPr>
          <w:sz w:val="20"/>
          <w:szCs w:val="20"/>
          <w:color w:val="auto"/>
        </w:rPr>
      </w:pPr>
      <w:r>
        <w:rPr>
          <w:rFonts w:ascii="Arial" w:cs="Arial" w:eastAsia="Arial" w:hAnsi="Arial"/>
          <w:sz w:val="15"/>
          <w:szCs w:val="15"/>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40" w:lineRule="exact"/>
        <w:rPr>
          <w:sz w:val="20"/>
          <w:szCs w:val="20"/>
          <w:color w:val="auto"/>
        </w:rPr>
      </w:pPr>
    </w:p>
    <w:p>
      <w:pPr>
        <w:jc w:val="both"/>
        <w:ind w:right="420" w:firstLine="538"/>
        <w:spacing w:after="0" w:line="274" w:lineRule="auto"/>
        <w:rPr>
          <w:sz w:val="20"/>
          <w:szCs w:val="20"/>
          <w:color w:val="auto"/>
        </w:rPr>
      </w:pPr>
      <w:r>
        <w:rPr>
          <w:rFonts w:ascii="Arial" w:cs="Arial" w:eastAsia="Arial" w:hAnsi="Arial"/>
          <w:sz w:val="15"/>
          <w:szCs w:val="15"/>
          <w:color w:val="auto"/>
        </w:rPr>
        <w:t>We own, co-own or hold licenses to nine issued U.S. patents and nine pending U.S. patent applications as well as 22 issued foreign patents and 16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152" w:lineRule="exact"/>
        <w:rPr>
          <w:sz w:val="20"/>
          <w:szCs w:val="20"/>
          <w:color w:val="auto"/>
        </w:rPr>
      </w:pPr>
    </w:p>
    <w:p>
      <w:pPr>
        <w:ind w:right="20" w:firstLine="538"/>
        <w:spacing w:after="0" w:line="262" w:lineRule="auto"/>
        <w:rPr>
          <w:sz w:val="20"/>
          <w:szCs w:val="20"/>
          <w:color w:val="auto"/>
        </w:rPr>
      </w:pPr>
      <w:r>
        <w:rPr>
          <w:rFonts w:ascii="Arial" w:cs="Arial" w:eastAsia="Arial" w:hAnsi="Arial"/>
          <w:sz w:val="15"/>
          <w:szCs w:val="15"/>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use of MN-166 (ibudilast) for the treatment of amyotrophic lateral sclerosis (ALS) and it expires no earlier than January 2029. We have been granted a U.S. patent which covers the combination of MN-166 (ibudilast) and riluzole for the treatment of ALS and other neurodegenerative diseases and it expires no earlier than November 2035. We have been 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neuropathic pain and it expires no earlier than December 2025.</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MN-221 (bedoradrine)</w:t>
      </w:r>
    </w:p>
    <w:p>
      <w:pPr>
        <w:spacing w:after="0" w:line="199" w:lineRule="exact"/>
        <w:rPr>
          <w:sz w:val="20"/>
          <w:szCs w:val="20"/>
          <w:color w:val="auto"/>
        </w:rPr>
      </w:pPr>
    </w:p>
    <w:p>
      <w:pPr>
        <w:ind w:firstLine="538"/>
        <w:spacing w:after="0" w:line="264" w:lineRule="auto"/>
        <w:rPr>
          <w:sz w:val="20"/>
          <w:szCs w:val="20"/>
          <w:color w:val="auto"/>
        </w:rPr>
      </w:pPr>
      <w:r>
        <w:rPr>
          <w:rFonts w:ascii="Arial" w:cs="Arial" w:eastAsia="Arial" w:hAnsi="Arial"/>
          <w:sz w:val="15"/>
          <w:szCs w:val="15"/>
          <w:color w:val="auto"/>
        </w:rPr>
        <w:t>On February 25, 2004, we entered into an exclusive license agreement with Kissei for the development and commercialization of MN-221 (bedoradrine). Kissei is a fully integrated Japanese pharmaceutical company and is listed on the Tokyo Stock Exchange. We obtained an exclusive, worldwide (excluding Japan), sub-licensable license to various patent rights and know-how related to MN-221 (bedoradrine) and other compounds disclosed or included in, or covered by, these patent rights, for all indications. This license includes an exclusive license under one U.S. patent and certain corresponding patents in foreign countries and is sub-licensable upon receipt of the written consent of Kissei. The United States composition of matter patent underlying the license issued on October 17, 2000 and it expired on February 18, 2017. Most of the corresponding composition of matter patents in various other countries also expired on February 18, 2017.</w:t>
      </w:r>
    </w:p>
    <w:p>
      <w:pPr>
        <w:spacing w:after="0" w:line="161" w:lineRule="exact"/>
        <w:rPr>
          <w:sz w:val="20"/>
          <w:szCs w:val="20"/>
          <w:color w:val="auto"/>
        </w:rPr>
      </w:pPr>
    </w:p>
    <w:p>
      <w:pPr>
        <w:ind w:right="200" w:firstLine="538"/>
        <w:spacing w:after="0" w:line="266" w:lineRule="auto"/>
        <w:rPr>
          <w:sz w:val="20"/>
          <w:szCs w:val="20"/>
          <w:color w:val="auto"/>
        </w:rPr>
      </w:pPr>
      <w:r>
        <w:rPr>
          <w:rFonts w:ascii="Arial" w:cs="Arial" w:eastAsia="Arial" w:hAnsi="Arial"/>
          <w:sz w:val="15"/>
          <w:szCs w:val="15"/>
          <w:color w:val="auto"/>
        </w:rPr>
        <w:t>In addition to the licensed patents, we have filed patent applications in the United States and certain foreign countries regarding additional uses and formulations of MN-221 (bedoradrine). We have been granted a U.S. patent which covers the use of MN-221 (bedoradrine)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(bedoradrine) for the treatment of irritable bowel syndrome and it expires no earlier than April 2031.</w:t>
      </w:r>
    </w:p>
    <w:p>
      <w:pPr>
        <w:spacing w:after="0" w:line="158" w:lineRule="exact"/>
        <w:rPr>
          <w:sz w:val="20"/>
          <w:szCs w:val="20"/>
          <w:color w:val="auto"/>
        </w:rPr>
      </w:pPr>
    </w:p>
    <w:p>
      <w:pPr>
        <w:ind w:right="80" w:firstLine="538"/>
        <w:spacing w:after="0" w:line="274" w:lineRule="auto"/>
        <w:rPr>
          <w:sz w:val="20"/>
          <w:szCs w:val="20"/>
          <w:color w:val="auto"/>
        </w:rPr>
      </w:pPr>
      <w:r>
        <w:rPr>
          <w:rFonts w:ascii="Arial" w:cs="Arial" w:eastAsia="Arial" w:hAnsi="Arial"/>
          <w:sz w:val="15"/>
          <w:szCs w:val="15"/>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52" w:lineRule="exact"/>
        <w:rPr>
          <w:sz w:val="20"/>
          <w:szCs w:val="20"/>
          <w:color w:val="auto"/>
        </w:rPr>
      </w:pPr>
    </w:p>
    <w:p>
      <w:pPr>
        <w:ind w:right="60" w:firstLine="538"/>
        <w:spacing w:after="0" w:line="328" w:lineRule="auto"/>
        <w:rPr>
          <w:sz w:val="20"/>
          <w:szCs w:val="20"/>
          <w:color w:val="auto"/>
        </w:rPr>
      </w:pPr>
      <w:r>
        <w:rPr>
          <w:rFonts w:ascii="Arial" w:cs="Arial" w:eastAsia="Arial" w:hAnsi="Arial"/>
          <w:sz w:val="14"/>
          <w:szCs w:val="14"/>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0" w:name="page21"/>
    <w:bookmarkEnd w:id="20"/>
    <w:p>
      <w:pPr>
        <w:spacing w:after="0"/>
        <w:rPr>
          <w:sz w:val="20"/>
          <w:szCs w:val="20"/>
          <w:color w:val="auto"/>
        </w:rPr>
      </w:pPr>
      <w:r>
        <w:rPr>
          <w:rFonts w:ascii="Arial" w:cs="Arial" w:eastAsia="Arial" w:hAnsi="Arial"/>
          <w:sz w:val="15"/>
          <w:szCs w:val="15"/>
          <w:color w:val="auto"/>
        </w:rPr>
        <w:t>sale. In either case, the term of the agreement would not extend for any particular country past the date on which generic competition exists in such country.</w:t>
      </w:r>
    </w:p>
    <w:p>
      <w:pPr>
        <w:spacing w:after="0" w:line="199" w:lineRule="exact"/>
        <w:rPr>
          <w:sz w:val="20"/>
          <w:szCs w:val="20"/>
          <w:color w:val="auto"/>
        </w:rPr>
      </w:pPr>
    </w:p>
    <w:p>
      <w:pPr>
        <w:jc w:val="both"/>
        <w:ind w:right="340" w:firstLine="538"/>
        <w:spacing w:after="0" w:line="302" w:lineRule="auto"/>
        <w:rPr>
          <w:sz w:val="20"/>
          <w:szCs w:val="20"/>
          <w:color w:val="auto"/>
        </w:rPr>
      </w:pPr>
      <w:r>
        <w:rPr>
          <w:rFonts w:ascii="Arial" w:cs="Arial" w:eastAsia="Arial" w:hAnsi="Arial"/>
          <w:sz w:val="14"/>
          <w:szCs w:val="14"/>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a letter agreement we entered into with Kissei in September 2011, we agreed to renegotiate in good faith with Kissei the existing levels of the milestone payment amounts and royalty rates.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MN-001 (tipelukast)</w:t>
      </w:r>
    </w:p>
    <w:p>
      <w:pPr>
        <w:spacing w:after="0" w:line="199" w:lineRule="exact"/>
        <w:rPr>
          <w:sz w:val="20"/>
          <w:szCs w:val="20"/>
          <w:color w:val="auto"/>
        </w:rPr>
      </w:pPr>
    </w:p>
    <w:p>
      <w:pPr>
        <w:ind w:firstLine="538"/>
        <w:spacing w:after="0" w:line="283" w:lineRule="auto"/>
        <w:rPr>
          <w:sz w:val="20"/>
          <w:szCs w:val="20"/>
          <w:color w:val="auto"/>
        </w:rPr>
      </w:pPr>
      <w:r>
        <w:rPr>
          <w:rFonts w:ascii="Arial" w:cs="Arial" w:eastAsia="Arial" w:hAnsi="Arial"/>
          <w:sz w:val="14"/>
          <w:szCs w:val="14"/>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have been granted 14 U.S. patents covering certain compositions, uses and manufacturing processes associated with MN-001 (tipelukast) and MN-002. Uses covered by these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48" w:lineRule="exact"/>
        <w:rPr>
          <w:sz w:val="20"/>
          <w:szCs w:val="20"/>
          <w:color w:val="auto"/>
        </w:rPr>
      </w:pPr>
    </w:p>
    <w:p>
      <w:pPr>
        <w:jc w:val="both"/>
        <w:ind w:right="100" w:firstLine="538"/>
        <w:spacing w:after="0" w:line="266" w:lineRule="auto"/>
        <w:rPr>
          <w:sz w:val="20"/>
          <w:szCs w:val="20"/>
          <w:color w:val="auto"/>
        </w:rPr>
      </w:pPr>
      <w:r>
        <w:rPr>
          <w:rFonts w:ascii="Arial" w:cs="Arial" w:eastAsia="Arial" w:hAnsi="Arial"/>
          <w:sz w:val="15"/>
          <w:szCs w:val="15"/>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58" w:lineRule="exact"/>
        <w:rPr>
          <w:sz w:val="20"/>
          <w:szCs w:val="20"/>
          <w:color w:val="auto"/>
        </w:rPr>
      </w:pPr>
    </w:p>
    <w:p>
      <w:pPr>
        <w:ind w:right="20" w:firstLine="538"/>
        <w:spacing w:after="0" w:line="294" w:lineRule="auto"/>
        <w:rPr>
          <w:sz w:val="20"/>
          <w:szCs w:val="20"/>
          <w:color w:val="auto"/>
        </w:rPr>
      </w:pPr>
      <w:r>
        <w:rPr>
          <w:rFonts w:ascii="Arial" w:cs="Arial" w:eastAsia="Arial" w:hAnsi="Arial"/>
          <w:sz w:val="14"/>
          <w:szCs w:val="14"/>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40" w:lineRule="exact"/>
        <w:rPr>
          <w:sz w:val="20"/>
          <w:szCs w:val="20"/>
          <w:color w:val="auto"/>
        </w:rPr>
      </w:pPr>
    </w:p>
    <w:p>
      <w:pPr>
        <w:ind w:right="60" w:firstLine="538"/>
        <w:spacing w:after="0" w:line="290" w:lineRule="auto"/>
        <w:rPr>
          <w:sz w:val="20"/>
          <w:szCs w:val="20"/>
          <w:color w:val="auto"/>
        </w:rPr>
      </w:pPr>
      <w:r>
        <w:rPr>
          <w:rFonts w:ascii="Arial" w:cs="Arial" w:eastAsia="Arial" w:hAnsi="Arial"/>
          <w:sz w:val="15"/>
          <w:szCs w:val="15"/>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MN-029 (denibulin)</w:t>
      </w:r>
    </w:p>
    <w:p>
      <w:pPr>
        <w:spacing w:after="0" w:line="199" w:lineRule="exact"/>
        <w:rPr>
          <w:sz w:val="20"/>
          <w:szCs w:val="20"/>
          <w:color w:val="auto"/>
        </w:rPr>
      </w:pPr>
    </w:p>
    <w:p>
      <w:pPr>
        <w:ind w:firstLine="538"/>
        <w:spacing w:after="0" w:line="266" w:lineRule="auto"/>
        <w:rPr>
          <w:sz w:val="20"/>
          <w:szCs w:val="20"/>
          <w:color w:val="auto"/>
        </w:rPr>
      </w:pPr>
      <w:r>
        <w:rPr>
          <w:rFonts w:ascii="Arial" w:cs="Arial" w:eastAsia="Arial" w:hAnsi="Arial"/>
          <w:sz w:val="15"/>
          <w:szCs w:val="15"/>
          <w:color w:val="auto"/>
        </w:rPr>
        <w:t>On June 19, 2002, we entered into an exclusive license agreement with Angiogene for the development and commercialization of the ANG-600 series of compounds. Angiogene is a privately held, British drug discovery company. We obtained an exclusive, worldwide, sub-licensable license to the patent rights and know-how related to the ANG-600 series of compounds disclosed in and included or covered by these patents for all indications. MN-029 (denibulin)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21" w:name="page22"/>
    <w:bookmarkEnd w:id="21"/>
    <w:p>
      <w:pPr>
        <w:ind w:right="200"/>
        <w:spacing w:after="0" w:line="290" w:lineRule="auto"/>
        <w:rPr>
          <w:sz w:val="20"/>
          <w:szCs w:val="20"/>
          <w:color w:val="auto"/>
        </w:rPr>
      </w:pPr>
      <w:r>
        <w:rPr>
          <w:rFonts w:ascii="Arial" w:cs="Arial" w:eastAsia="Arial" w:hAnsi="Arial"/>
          <w:sz w:val="15"/>
          <w:szCs w:val="15"/>
          <w:color w:val="auto"/>
        </w:rPr>
        <w:t>tumors, based on denibulin di-hydrochloride. Patent applications corresponding to this U.S. patent were filed in certain foreign countries and patents have been granted or allowed in some of those countries.</w:t>
      </w:r>
    </w:p>
    <w:p>
      <w:pPr>
        <w:spacing w:after="0" w:line="140" w:lineRule="exact"/>
        <w:rPr>
          <w:sz w:val="20"/>
          <w:szCs w:val="20"/>
          <w:color w:val="auto"/>
        </w:rPr>
      </w:pPr>
    </w:p>
    <w:p>
      <w:pPr>
        <w:ind w:right="60" w:firstLine="538"/>
        <w:spacing w:after="0" w:line="290" w:lineRule="auto"/>
        <w:rPr>
          <w:sz w:val="20"/>
          <w:szCs w:val="20"/>
          <w:color w:val="auto"/>
        </w:rPr>
      </w:pPr>
      <w:r>
        <w:rPr>
          <w:rFonts w:ascii="Arial" w:cs="Arial" w:eastAsia="Arial" w:hAnsi="Arial"/>
          <w:sz w:val="15"/>
          <w:szCs w:val="15"/>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40" w:lineRule="exact"/>
        <w:rPr>
          <w:sz w:val="20"/>
          <w:szCs w:val="20"/>
          <w:color w:val="auto"/>
        </w:rPr>
      </w:pPr>
    </w:p>
    <w:p>
      <w:pPr>
        <w:ind w:right="20" w:firstLine="538"/>
        <w:spacing w:after="0" w:line="290" w:lineRule="auto"/>
        <w:rPr>
          <w:sz w:val="20"/>
          <w:szCs w:val="20"/>
          <w:color w:val="auto"/>
        </w:rPr>
      </w:pPr>
      <w:r>
        <w:rPr>
          <w:rFonts w:ascii="Arial" w:cs="Arial" w:eastAsia="Arial" w:hAnsi="Arial"/>
          <w:sz w:val="15"/>
          <w:szCs w:val="15"/>
          <w:color w:val="auto"/>
        </w:rPr>
        <w:t>The term of this agreement is determined on a country-by-country basis and extends until the earlier of the expiration of the last Angiogene patent (or equivalent) under license which has a valid claim to expire or 15 years from the date of first commercial sale.</w:t>
      </w:r>
    </w:p>
    <w:p>
      <w:pPr>
        <w:spacing w:after="0" w:line="140" w:lineRule="exact"/>
        <w:rPr>
          <w:sz w:val="20"/>
          <w:szCs w:val="20"/>
          <w:color w:val="auto"/>
        </w:rPr>
      </w:pPr>
    </w:p>
    <w:p>
      <w:pPr>
        <w:ind w:right="20" w:firstLine="538"/>
        <w:spacing w:after="0" w:line="290" w:lineRule="auto"/>
        <w:rPr>
          <w:sz w:val="20"/>
          <w:szCs w:val="20"/>
          <w:color w:val="auto"/>
        </w:rPr>
      </w:pPr>
      <w:r>
        <w:rPr>
          <w:rFonts w:ascii="Arial" w:cs="Arial" w:eastAsia="Arial" w:hAnsi="Arial"/>
          <w:sz w:val="15"/>
          <w:szCs w:val="15"/>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w:t>
      </w:r>
    </w:p>
    <w:p>
      <w:pPr>
        <w:spacing w:after="0" w:line="199" w:lineRule="exact"/>
        <w:rPr>
          <w:sz w:val="20"/>
          <w:szCs w:val="20"/>
          <w:color w:val="auto"/>
        </w:rPr>
      </w:pPr>
    </w:p>
    <w:p>
      <w:pPr>
        <w:ind w:firstLine="538"/>
        <w:spacing w:after="0" w:line="282" w:lineRule="auto"/>
        <w:rPr>
          <w:sz w:val="20"/>
          <w:szCs w:val="20"/>
          <w:color w:val="auto"/>
        </w:rPr>
      </w:pPr>
      <w:r>
        <w:rPr>
          <w:rFonts w:ascii="Arial" w:cs="Arial" w:eastAsia="Arial" w:hAnsi="Arial"/>
          <w:sz w:val="14"/>
          <w:szCs w:val="14"/>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151" w:lineRule="exact"/>
        <w:rPr>
          <w:sz w:val="20"/>
          <w:szCs w:val="20"/>
          <w:color w:val="auto"/>
        </w:rPr>
      </w:pPr>
    </w:p>
    <w:p>
      <w:pPr>
        <w:ind w:right="20" w:firstLine="538"/>
        <w:spacing w:after="0" w:line="287" w:lineRule="auto"/>
        <w:rPr>
          <w:sz w:val="20"/>
          <w:szCs w:val="20"/>
          <w:color w:val="auto"/>
        </w:rPr>
      </w:pPr>
      <w:r>
        <w:rPr>
          <w:rFonts w:ascii="Arial" w:cs="Arial" w:eastAsia="Arial" w:hAnsi="Arial"/>
          <w:sz w:val="14"/>
          <w:szCs w:val="14"/>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68" w:lineRule="exact"/>
        <w:rPr>
          <w:sz w:val="20"/>
          <w:szCs w:val="20"/>
          <w:color w:val="auto"/>
        </w:rPr>
      </w:pPr>
    </w:p>
    <w:p>
      <w:pPr>
        <w:ind w:right="40" w:firstLine="538"/>
        <w:spacing w:after="0" w:line="266" w:lineRule="auto"/>
        <w:rPr>
          <w:sz w:val="20"/>
          <w:szCs w:val="20"/>
          <w:color w:val="auto"/>
        </w:rPr>
      </w:pPr>
      <w:r>
        <w:rPr>
          <w:rFonts w:ascii="Arial" w:cs="Arial" w:eastAsia="Arial" w:hAnsi="Arial"/>
          <w:sz w:val="15"/>
          <w:szCs w:val="15"/>
          <w:color w:val="auto"/>
        </w:rPr>
        <w:t>In addition, if we develop certain products that are not covered by any patents, we will be dependent on obtaining market exclusivity under the new chemical entity exclusivity provisions of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2" w:name="page23"/>
    <w:bookmarkEnd w:id="22"/>
    <w:p>
      <w:pPr>
        <w:ind w:right="20" w:firstLine="538"/>
        <w:spacing w:after="0" w:line="262" w:lineRule="auto"/>
        <w:rPr>
          <w:sz w:val="20"/>
          <w:szCs w:val="20"/>
          <w:color w:val="auto"/>
        </w:rPr>
      </w:pPr>
      <w:r>
        <w:rPr>
          <w:rFonts w:ascii="Arial" w:cs="Arial" w:eastAsia="Arial" w:hAnsi="Arial"/>
          <w:sz w:val="15"/>
          <w:szCs w:val="15"/>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65" w:lineRule="exact"/>
        <w:rPr>
          <w:sz w:val="20"/>
          <w:szCs w:val="20"/>
          <w:color w:val="auto"/>
        </w:rPr>
      </w:pPr>
    </w:p>
    <w:p>
      <w:pPr>
        <w:ind w:right="120" w:firstLine="538"/>
        <w:spacing w:after="0" w:line="269" w:lineRule="auto"/>
        <w:rPr>
          <w:sz w:val="20"/>
          <w:szCs w:val="20"/>
          <w:color w:val="auto"/>
        </w:rPr>
      </w:pPr>
      <w:r>
        <w:rPr>
          <w:rFonts w:ascii="Arial" w:cs="Arial" w:eastAsia="Arial" w:hAnsi="Arial"/>
          <w:sz w:val="15"/>
          <w:szCs w:val="15"/>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 for Progressive Multiple Sclerosis (Progressive MS)</w:t>
      </w:r>
    </w:p>
    <w:p>
      <w:pPr>
        <w:spacing w:after="0" w:line="199" w:lineRule="exact"/>
        <w:rPr>
          <w:sz w:val="20"/>
          <w:szCs w:val="20"/>
          <w:color w:val="auto"/>
        </w:rPr>
      </w:pPr>
    </w:p>
    <w:p>
      <w:pPr>
        <w:ind w:right="20" w:firstLine="538"/>
        <w:spacing w:after="0" w:line="269" w:lineRule="auto"/>
        <w:rPr>
          <w:sz w:val="20"/>
          <w:szCs w:val="20"/>
          <w:color w:val="auto"/>
        </w:rPr>
      </w:pPr>
      <w:r>
        <w:rPr>
          <w:rFonts w:ascii="Arial" w:cs="Arial" w:eastAsia="Arial" w:hAnsi="Arial"/>
          <w:sz w:val="15"/>
          <w:szCs w:val="15"/>
          <w:color w:val="auto"/>
        </w:rPr>
        <w:t>Our MN-166 (ibudilast) product candidate is in development for the treatment of progressive MS. Mitoxantrone is approved for the treatment of secondary progressive MS but it cannot be used on a long-term basis because of the potential for cardiac toxicity. Mayzent (siponimod) and Mavenclad (cladribine) were both approved in 2019 for the treatment of secondary progressive MS with relapses. Only one drug, Ocrevus (ocrelizumab) is approved for the treatment of primary progressive MS. Other programs in clinical development for progressive MS include MedDay’s MD1003 and AB Science’s masitinib.</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 for Amyotrophic Lateral Sclerosis (ALS)</w:t>
      </w:r>
    </w:p>
    <w:p>
      <w:pPr>
        <w:spacing w:after="0" w:line="199" w:lineRule="exact"/>
        <w:rPr>
          <w:sz w:val="20"/>
          <w:szCs w:val="20"/>
          <w:color w:val="auto"/>
        </w:rPr>
      </w:pPr>
    </w:p>
    <w:p>
      <w:pPr>
        <w:ind w:firstLine="538"/>
        <w:spacing w:after="0" w:line="274" w:lineRule="auto"/>
        <w:rPr>
          <w:sz w:val="20"/>
          <w:szCs w:val="20"/>
          <w:color w:val="auto"/>
        </w:rPr>
      </w:pPr>
      <w:r>
        <w:rPr>
          <w:rFonts w:ascii="Arial" w:cs="Arial" w:eastAsia="Arial" w:hAnsi="Arial"/>
          <w:sz w:val="15"/>
          <w:szCs w:val="15"/>
          <w:color w:val="auto"/>
        </w:rPr>
        <w:t>Our MN-166 (ibudilast) product candidate is also in development for the treatment of ALS. Generic riluzole, which is also sold under the brand names Rilutek and Tiglutik, and Radicava (edaravone) are approved for the treatment of ALS. We are aware of additional compounds in clinical development for the treatment of ALS at other companies including Cytokinetics, BrainStorm Cell Therapeutics Inc., AB Science, Biogen, Orion, Orphazyme, Roche, and Amylyx Pharmaceuticals.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 for Substance Dependence and Addiction</w:t>
      </w:r>
    </w:p>
    <w:p>
      <w:pPr>
        <w:spacing w:after="0" w:line="199" w:lineRule="exact"/>
        <w:rPr>
          <w:sz w:val="20"/>
          <w:szCs w:val="20"/>
          <w:color w:val="auto"/>
        </w:rPr>
      </w:pPr>
    </w:p>
    <w:p>
      <w:pPr>
        <w:ind w:firstLine="538"/>
        <w:spacing w:after="0" w:line="283" w:lineRule="auto"/>
        <w:rPr>
          <w:sz w:val="20"/>
          <w:szCs w:val="20"/>
          <w:color w:val="auto"/>
        </w:rPr>
      </w:pPr>
      <w:r>
        <w:rPr>
          <w:rFonts w:ascii="Arial" w:cs="Arial" w:eastAsia="Arial" w:hAnsi="Arial"/>
          <w:sz w:val="14"/>
          <w:szCs w:val="14"/>
          <w:color w:val="auto"/>
        </w:rPr>
        <w:t>Our MN-166 (ibudilast) product candidate is also in development for the treatment of opioid dependence, methamphetamine addiction, and alcohol dependence. Current treatments for opioid withdrawal symptoms include narcotics such as generic methadone and Indivior, Inc.’s Suboxone Film (buprenorphine + the opioid antagonist naloxone). Other products approved for opioid dependence include Alkermes’s Vivitrol (naltrexone monthly injection), Orexo’s Zubsolv (buprenorphine and naloxone), BioDelivery Sciences’s Bunavail (buprenorphine and naloxone), Titan Pharmaceuticals Inc.’s Probuphine (buprenorphine) implant, and Indivior’s Sublocade (buprenorphine extended-release injection). In December 2018, Braeburn announced tentative FDA approval of BRIXADI, an extended-release weekly and monthly injectable buprenorphine product, for the treatment of moderate to severe opioid use disorder and it is eligible for marketing approval in November 2020.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Approved treatments for alcohol dependence include Antabuse (disulfiram), Vivitrol (naltrexone), and generic acamprosate. We are aware of additional treatments in development for the treatment of alcohol dependence at other companies including Opiant Pharmaceuticals.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 for Chemotherapy-Induced Peripheral Neuropathy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3" w:name="page24"/>
    <w:bookmarkEnd w:id="23"/>
    <w:p>
      <w:pPr>
        <w:ind w:right="260" w:firstLine="538"/>
        <w:spacing w:after="0" w:line="290" w:lineRule="auto"/>
        <w:rPr>
          <w:sz w:val="20"/>
          <w:szCs w:val="20"/>
          <w:color w:val="auto"/>
        </w:rPr>
      </w:pPr>
      <w:r>
        <w:rPr>
          <w:rFonts w:ascii="Arial" w:cs="Arial" w:eastAsia="Arial" w:hAnsi="Arial"/>
          <w:sz w:val="15"/>
          <w:szCs w:val="15"/>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 for Degenerative Cervical Myelopathy</w:t>
      </w:r>
    </w:p>
    <w:p>
      <w:pPr>
        <w:spacing w:after="0" w:line="199" w:lineRule="exact"/>
        <w:rPr>
          <w:sz w:val="20"/>
          <w:szCs w:val="20"/>
          <w:color w:val="auto"/>
        </w:rPr>
      </w:pPr>
    </w:p>
    <w:p>
      <w:pPr>
        <w:ind w:right="140" w:firstLine="538"/>
        <w:spacing w:after="0" w:line="290" w:lineRule="auto"/>
        <w:rPr>
          <w:sz w:val="20"/>
          <w:szCs w:val="20"/>
          <w:color w:val="auto"/>
        </w:rPr>
      </w:pPr>
      <w:r>
        <w:rPr>
          <w:rFonts w:ascii="Arial" w:cs="Arial" w:eastAsia="Arial" w:hAnsi="Arial"/>
          <w:sz w:val="15"/>
          <w:szCs w:val="15"/>
          <w:color w:val="auto"/>
        </w:rPr>
        <w:t>Our MN-166 (ibudilast) product candidate is also in development for the treatment of degenerative cervical myelopathy. There are no pharmaceuticals currently approved for the treatment of degenerative cervical myelopathy.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MN-166 (ibudilast) for Glioblastoma</w:t>
      </w:r>
    </w:p>
    <w:p>
      <w:pPr>
        <w:spacing w:after="0" w:line="199" w:lineRule="exact"/>
        <w:rPr>
          <w:sz w:val="20"/>
          <w:szCs w:val="20"/>
          <w:color w:val="auto"/>
        </w:rPr>
      </w:pPr>
    </w:p>
    <w:p>
      <w:pPr>
        <w:ind w:right="100" w:firstLine="538"/>
        <w:spacing w:after="0" w:line="302" w:lineRule="auto"/>
        <w:rPr>
          <w:sz w:val="20"/>
          <w:szCs w:val="20"/>
          <w:color w:val="auto"/>
        </w:rPr>
      </w:pPr>
      <w:r>
        <w:rPr>
          <w:rFonts w:ascii="Arial" w:cs="Arial" w:eastAsia="Arial" w:hAnsi="Arial"/>
          <w:sz w:val="14"/>
          <w:szCs w:val="14"/>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companies including Bristol-Myers Squibb, Amgen, and Tocagen.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MN-221 (bedoradrine) for Acute Exacerbations of Asthma</w:t>
      </w:r>
    </w:p>
    <w:p>
      <w:pPr>
        <w:spacing w:after="0" w:line="199" w:lineRule="exact"/>
        <w:rPr>
          <w:sz w:val="20"/>
          <w:szCs w:val="20"/>
          <w:color w:val="auto"/>
        </w:rPr>
      </w:pPr>
    </w:p>
    <w:p>
      <w:pPr>
        <w:ind w:right="220" w:firstLine="538"/>
        <w:spacing w:after="0" w:line="302" w:lineRule="auto"/>
        <w:rPr>
          <w:sz w:val="20"/>
          <w:szCs w:val="20"/>
          <w:color w:val="auto"/>
        </w:rPr>
      </w:pPr>
      <w:r>
        <w:rPr>
          <w:rFonts w:ascii="Arial" w:cs="Arial" w:eastAsia="Arial" w:hAnsi="Arial"/>
          <w:sz w:val="14"/>
          <w:szCs w:val="14"/>
          <w:color w:val="auto"/>
        </w:rPr>
        <w:t>Our MN-221 (bedoradrine) product candidate has been developed for the treatment of acute exacerbations of asthma in the emergency room setting. The current standard of care for acute exacerbations of asthma is inhaled albuterol (a –beta-2-adrenergic receptor agonist), inhaled ipratropium (an anticholinergic) and oral or injected corticosteroids. In addition, subcutaneously administered terbutaline (a beta-2-adrenergic receptor agonist) is sometimes used to treat this condition, particularly in pediatric patients.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MN-001 (tipelukast) for Nonalcoholic Steatohepatitis (NASH)</w:t>
      </w:r>
    </w:p>
    <w:p>
      <w:pPr>
        <w:spacing w:after="0" w:line="199" w:lineRule="exact"/>
        <w:rPr>
          <w:sz w:val="20"/>
          <w:szCs w:val="20"/>
          <w:color w:val="auto"/>
        </w:rPr>
      </w:pPr>
    </w:p>
    <w:p>
      <w:pPr>
        <w:ind w:firstLine="538"/>
        <w:spacing w:after="0" w:line="302" w:lineRule="auto"/>
        <w:rPr>
          <w:sz w:val="20"/>
          <w:szCs w:val="20"/>
          <w:color w:val="auto"/>
        </w:rPr>
      </w:pPr>
      <w:r>
        <w:rPr>
          <w:rFonts w:ascii="Arial" w:cs="Arial" w:eastAsia="Arial" w:hAnsi="Arial"/>
          <w:sz w:val="14"/>
          <w:szCs w:val="14"/>
          <w:color w:val="auto"/>
        </w:rPr>
        <w:t>Our MN-001 (tipelukast) product candidate is being developed for the treatment of NASH. There are currently no therapeutic products approved for the treatment of NASH. We are aware of compounds in clinical development for the treatment of NASH at other companies including Intercept Pharmaceuticals, Genfit, Galectin Therapeutics, Gilead Sciences, Allergan (which acquired Tobira Therapeutics), Galmed Pharmaceuticals, Bristol-Myers Squibb, Pfizer, Novartis, Novo Nordisk, and Enanta Pharmaceuticals.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MN-001 (tipelukast) for Idiopathic Pulmonary Fibrosis (IPF)</w:t>
      </w:r>
    </w:p>
    <w:p>
      <w:pPr>
        <w:spacing w:after="0" w:line="199" w:lineRule="exact"/>
        <w:rPr>
          <w:sz w:val="20"/>
          <w:szCs w:val="20"/>
          <w:color w:val="auto"/>
        </w:rPr>
      </w:pPr>
    </w:p>
    <w:p>
      <w:pPr>
        <w:ind w:firstLine="538"/>
        <w:spacing w:after="0" w:line="274" w:lineRule="auto"/>
        <w:rPr>
          <w:sz w:val="20"/>
          <w:szCs w:val="20"/>
          <w:color w:val="auto"/>
        </w:rPr>
      </w:pPr>
      <w:r>
        <w:rPr>
          <w:rFonts w:ascii="Arial" w:cs="Arial" w:eastAsia="Arial" w:hAnsi="Arial"/>
          <w:sz w:val="15"/>
          <w:szCs w:val="15"/>
          <w:color w:val="auto"/>
        </w:rPr>
        <w:t>Our MN-001 (tipelukast) product candidate is also being developed for the treatment of IPF. Products approved in the United States for treatment of IPF include Roche’s (formerly InterMune) Esbriet (pirfenidone) and Boehringer Ingelheim’s OFEV (nintedanib). Companies working on clinical development programs for treatment of IPF include Biogen, Gilead/Galapagos, and FibroGen.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MN-029 (denibulin) for Solid Tumor Cancer</w:t>
      </w:r>
    </w:p>
    <w:p>
      <w:pPr>
        <w:spacing w:after="0" w:line="199" w:lineRule="exact"/>
        <w:rPr>
          <w:sz w:val="20"/>
          <w:szCs w:val="20"/>
          <w:color w:val="auto"/>
        </w:rPr>
      </w:pPr>
    </w:p>
    <w:p>
      <w:pPr>
        <w:ind w:right="80" w:firstLine="538"/>
        <w:spacing w:after="0" w:line="264" w:lineRule="auto"/>
        <w:rPr>
          <w:sz w:val="20"/>
          <w:szCs w:val="20"/>
          <w:color w:val="auto"/>
        </w:rPr>
      </w:pPr>
      <w:r>
        <w:rPr>
          <w:rFonts w:ascii="Arial" w:cs="Arial" w:eastAsia="Arial" w:hAnsi="Arial"/>
          <w:sz w:val="15"/>
          <w:szCs w:val="15"/>
          <w:color w:val="auto"/>
        </w:rPr>
        <w:t>Our MN-029 (denibulin) product candidate is being developed for the treatment of solid tumor cancers. Roche’s Kadcyla, a HER2-targeted antibody and microtubule inhibitor conjugate, is approved for treatment of patients with HER2-positive metastatic breast cancer who previously were treated with trastuzumab and a taxane. Bayer’s Stivarga,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Sanofi, Amgen, Bayer, Merck, AstraZeneca, AbbVie and Bristol-Myers Squibb.</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24" w:name="page25"/>
    <w:bookmarkEnd w:id="24"/>
    <w:p>
      <w:pPr>
        <w:ind w:right="100" w:firstLine="538"/>
        <w:spacing w:after="0" w:line="264" w:lineRule="auto"/>
        <w:rPr>
          <w:sz w:val="20"/>
          <w:szCs w:val="20"/>
          <w:color w:val="auto"/>
        </w:rPr>
      </w:pPr>
      <w:r>
        <w:rPr>
          <w:rFonts w:ascii="Arial" w:cs="Arial" w:eastAsia="Arial" w:hAnsi="Arial"/>
          <w:sz w:val="15"/>
          <w:szCs w:val="15"/>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United States Regulatory Approval</w:t>
      </w:r>
    </w:p>
    <w:p>
      <w:pPr>
        <w:spacing w:after="0" w:line="199" w:lineRule="exact"/>
        <w:rPr>
          <w:sz w:val="20"/>
          <w:szCs w:val="20"/>
          <w:color w:val="auto"/>
        </w:rPr>
      </w:pPr>
    </w:p>
    <w:p>
      <w:pPr>
        <w:ind w:firstLine="538"/>
        <w:spacing w:after="0" w:line="266" w:lineRule="auto"/>
        <w:rPr>
          <w:sz w:val="20"/>
          <w:szCs w:val="20"/>
          <w:color w:val="auto"/>
        </w:rPr>
      </w:pPr>
      <w:r>
        <w:rPr>
          <w:rFonts w:ascii="Arial" w:cs="Arial" w:eastAsia="Arial" w:hAnsi="Arial"/>
          <w:sz w:val="15"/>
          <w:szCs w:val="15"/>
          <w:i w:val="1"/>
          <w:iCs w:val="1"/>
          <w:color w:val="auto"/>
        </w:rPr>
        <w:t xml:space="preserve">Overview. </w:t>
      </w:r>
      <w:r>
        <w:rPr>
          <w:rFonts w:ascii="Arial" w:cs="Arial" w:eastAsia="Arial" w:hAnsi="Arial"/>
          <w:sz w:val="15"/>
          <w:szCs w:val="15"/>
          <w:color w:val="auto"/>
        </w:rPr>
        <w:t>In the United States, drugs and drug testing are regulated by the FDA under the Federal Food, Drug and Cosmetic Act, or FDCA, as well as state and local</w:t>
      </w:r>
      <w:r>
        <w:rPr>
          <w:rFonts w:ascii="Arial" w:cs="Arial" w:eastAsia="Arial" w:hAnsi="Arial"/>
          <w:sz w:val="15"/>
          <w:szCs w:val="15"/>
          <w:i w:val="1"/>
          <w:iCs w:val="1"/>
          <w:color w:val="auto"/>
        </w:rPr>
        <w:t xml:space="preserve"> </w:t>
      </w:r>
      <w:r>
        <w:rPr>
          <w:rFonts w:ascii="Arial" w:cs="Arial" w:eastAsia="Arial" w:hAnsi="Arial"/>
          <w:sz w:val="15"/>
          <w:szCs w:val="15"/>
          <w:color w:val="auto"/>
        </w:rPr>
        <w:t>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58" w:lineRule="exact"/>
        <w:rPr>
          <w:sz w:val="20"/>
          <w:szCs w:val="20"/>
          <w:color w:val="auto"/>
        </w:rPr>
      </w:pPr>
    </w:p>
    <w:p>
      <w:pPr>
        <w:ind w:left="680" w:hanging="409"/>
        <w:spacing w:after="0"/>
        <w:tabs>
          <w:tab w:leader="none" w:pos="680" w:val="left"/>
        </w:tabs>
        <w:numPr>
          <w:ilvl w:val="1"/>
          <w:numId w:val="8"/>
        </w:numPr>
        <w:rPr>
          <w:rFonts w:ascii="Arial" w:cs="Arial" w:eastAsia="Arial" w:hAnsi="Arial"/>
          <w:sz w:val="15"/>
          <w:szCs w:val="15"/>
          <w:color w:val="auto"/>
        </w:rPr>
      </w:pPr>
      <w:r>
        <w:rPr>
          <w:rFonts w:ascii="Arial" w:cs="Arial" w:eastAsia="Arial" w:hAnsi="Arial"/>
          <w:sz w:val="15"/>
          <w:szCs w:val="15"/>
          <w:color w:val="auto"/>
        </w:rPr>
        <w:t>completion of nonclinical laboratory, animal studies, and formulation studies;</w:t>
      </w:r>
    </w:p>
    <w:p>
      <w:pPr>
        <w:spacing w:after="0" w:line="198" w:lineRule="exact"/>
        <w:rPr>
          <w:rFonts w:ascii="Arial" w:cs="Arial" w:eastAsia="Arial" w:hAnsi="Arial"/>
          <w:sz w:val="15"/>
          <w:szCs w:val="15"/>
          <w:color w:val="auto"/>
        </w:rPr>
      </w:pPr>
    </w:p>
    <w:p>
      <w:pPr>
        <w:ind w:left="680" w:right="4380" w:hanging="409"/>
        <w:spacing w:after="0" w:line="290" w:lineRule="auto"/>
        <w:tabs>
          <w:tab w:leader="none" w:pos="680" w:val="left"/>
        </w:tabs>
        <w:numPr>
          <w:ilvl w:val="1"/>
          <w:numId w:val="8"/>
        </w:numPr>
        <w:rPr>
          <w:rFonts w:ascii="Arial" w:cs="Arial" w:eastAsia="Arial" w:hAnsi="Arial"/>
          <w:sz w:val="15"/>
          <w:szCs w:val="15"/>
          <w:color w:val="auto"/>
        </w:rPr>
      </w:pPr>
      <w:r>
        <w:rPr>
          <w:rFonts w:ascii="Arial" w:cs="Arial" w:eastAsia="Arial" w:hAnsi="Arial"/>
          <w:sz w:val="15"/>
          <w:szCs w:val="15"/>
          <w:color w:val="auto"/>
        </w:rPr>
        <w:t>submission of an IND application which must become effective before human clinical trials may begin in the United States;</w:t>
      </w:r>
    </w:p>
    <w:p>
      <w:pPr>
        <w:spacing w:after="0" w:line="140" w:lineRule="exact"/>
        <w:rPr>
          <w:rFonts w:ascii="Arial" w:cs="Arial" w:eastAsia="Arial" w:hAnsi="Arial"/>
          <w:sz w:val="15"/>
          <w:szCs w:val="15"/>
          <w:color w:val="auto"/>
        </w:rPr>
      </w:pPr>
    </w:p>
    <w:p>
      <w:pPr>
        <w:ind w:left="680" w:right="4420" w:hanging="443"/>
        <w:spacing w:after="0" w:line="290"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completion of adequate and well-controlled human clinical trials to establish the safety and efficacy of the product candidate for each indication for which approval is sought;</w:t>
      </w:r>
    </w:p>
    <w:p>
      <w:pPr>
        <w:spacing w:after="0" w:line="151" w:lineRule="exact"/>
        <w:rPr>
          <w:rFonts w:ascii="Arial" w:cs="Arial" w:eastAsia="Arial" w:hAnsi="Arial"/>
          <w:sz w:val="15"/>
          <w:szCs w:val="15"/>
          <w:color w:val="auto"/>
        </w:rPr>
      </w:pPr>
    </w:p>
    <w:p>
      <w:pPr>
        <w:ind w:left="680" w:hanging="443"/>
        <w:spacing w:after="0"/>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submission to the FDA of a New Drug Application (NDA) accompanied by a substantial user fee;</w:t>
      </w:r>
    </w:p>
    <w:p>
      <w:pPr>
        <w:spacing w:after="0" w:line="210" w:lineRule="exact"/>
        <w:rPr>
          <w:rFonts w:ascii="Arial" w:cs="Arial" w:eastAsia="Arial" w:hAnsi="Arial"/>
          <w:sz w:val="15"/>
          <w:szCs w:val="15"/>
          <w:color w:val="auto"/>
        </w:rPr>
      </w:pPr>
    </w:p>
    <w:p>
      <w:pPr>
        <w:ind w:left="680" w:right="4640" w:hanging="443"/>
        <w:spacing w:after="0" w:line="302"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46" w:lineRule="exact"/>
        <w:rPr>
          <w:rFonts w:ascii="Arial" w:cs="Arial" w:eastAsia="Arial" w:hAnsi="Arial"/>
          <w:sz w:val="14"/>
          <w:szCs w:val="14"/>
          <w:color w:val="auto"/>
        </w:rPr>
      </w:pPr>
    </w:p>
    <w:p>
      <w:pPr>
        <w:ind w:left="680" w:right="4480" w:hanging="443"/>
        <w:spacing w:after="0" w:line="274"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5"/>
          <w:szCs w:val="15"/>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64" w:lineRule="exact"/>
        <w:rPr>
          <w:sz w:val="20"/>
          <w:szCs w:val="20"/>
          <w:color w:val="auto"/>
        </w:rPr>
      </w:pPr>
    </w:p>
    <w:p>
      <w:pPr>
        <w:ind w:right="100" w:firstLine="538"/>
        <w:spacing w:after="0" w:line="302" w:lineRule="auto"/>
        <w:rPr>
          <w:sz w:val="20"/>
          <w:szCs w:val="20"/>
          <w:color w:val="auto"/>
        </w:rPr>
      </w:pPr>
      <w:r>
        <w:rPr>
          <w:rFonts w:ascii="Arial" w:cs="Arial" w:eastAsia="Arial" w:hAnsi="Arial"/>
          <w:sz w:val="14"/>
          <w:szCs w:val="14"/>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35" w:lineRule="exact"/>
        <w:rPr>
          <w:sz w:val="20"/>
          <w:szCs w:val="20"/>
          <w:color w:val="auto"/>
        </w:rPr>
      </w:pPr>
    </w:p>
    <w:p>
      <w:pPr>
        <w:jc w:val="both"/>
        <w:ind w:right="40" w:firstLine="538"/>
        <w:spacing w:after="0" w:line="269" w:lineRule="auto"/>
        <w:rPr>
          <w:sz w:val="20"/>
          <w:szCs w:val="20"/>
          <w:color w:val="auto"/>
        </w:rPr>
      </w:pPr>
      <w:r>
        <w:rPr>
          <w:rFonts w:ascii="Arial" w:cs="Arial" w:eastAsia="Arial" w:hAnsi="Arial"/>
          <w:sz w:val="15"/>
          <w:szCs w:val="15"/>
          <w:i w:val="1"/>
          <w:iCs w:val="1"/>
          <w:color w:val="auto"/>
        </w:rPr>
        <w:t xml:space="preserve">Preclinical Tests. </w:t>
      </w:r>
      <w:r>
        <w:rPr>
          <w:rFonts w:ascii="Arial" w:cs="Arial" w:eastAsia="Arial" w:hAnsi="Arial"/>
          <w:sz w:val="15"/>
          <w:szCs w:val="15"/>
          <w:color w:val="auto"/>
        </w:rPr>
        <w:t>Preclinical tests include laboratory evaluation of the product candidate, its chemistry, toxicity, formulation and stability, as well as animal studies to assess the</w:t>
      </w:r>
      <w:r>
        <w:rPr>
          <w:rFonts w:ascii="Arial" w:cs="Arial" w:eastAsia="Arial" w:hAnsi="Arial"/>
          <w:sz w:val="15"/>
          <w:szCs w:val="15"/>
          <w:i w:val="1"/>
          <w:iCs w:val="1"/>
          <w:color w:val="auto"/>
        </w:rPr>
        <w:t xml:space="preserve"> </w:t>
      </w:r>
      <w:r>
        <w:rPr>
          <w:rFonts w:ascii="Arial" w:cs="Arial" w:eastAsia="Arial" w:hAnsi="Arial"/>
          <w:sz w:val="15"/>
          <w:szCs w:val="15"/>
          <w:color w:val="auto"/>
        </w:rPr>
        <w:t>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55" w:lineRule="exact"/>
        <w:rPr>
          <w:sz w:val="20"/>
          <w:szCs w:val="20"/>
          <w:color w:val="auto"/>
        </w:rPr>
      </w:pPr>
    </w:p>
    <w:p>
      <w:pPr>
        <w:jc w:val="both"/>
        <w:ind w:right="40" w:firstLine="538"/>
        <w:spacing w:after="0" w:line="274" w:lineRule="auto"/>
        <w:rPr>
          <w:sz w:val="20"/>
          <w:szCs w:val="20"/>
          <w:color w:val="auto"/>
        </w:rPr>
      </w:pPr>
      <w:r>
        <w:rPr>
          <w:rFonts w:ascii="Arial" w:cs="Arial" w:eastAsia="Arial" w:hAnsi="Arial"/>
          <w:sz w:val="15"/>
          <w:szCs w:val="15"/>
          <w:i w:val="1"/>
          <w:iCs w:val="1"/>
          <w:color w:val="auto"/>
        </w:rPr>
        <w:t xml:space="preserve">The IND Process. </w:t>
      </w:r>
      <w:r>
        <w:rPr>
          <w:rFonts w:ascii="Arial" w:cs="Arial" w:eastAsia="Arial" w:hAnsi="Arial"/>
          <w:sz w:val="15"/>
          <w:szCs w:val="15"/>
          <w:color w:val="auto"/>
        </w:rPr>
        <w:t>An IND must be effective to administer an investigational drug to humans. The IND will automatically become effective 30 days after its receipt by the FDA</w:t>
      </w:r>
      <w:r>
        <w:rPr>
          <w:rFonts w:ascii="Arial" w:cs="Arial" w:eastAsia="Arial" w:hAnsi="Arial"/>
          <w:sz w:val="15"/>
          <w:szCs w:val="15"/>
          <w:i w:val="1"/>
          <w:iCs w:val="1"/>
          <w:color w:val="auto"/>
        </w:rPr>
        <w:t xml:space="preserve"> </w:t>
      </w:r>
      <w:r>
        <w:rPr>
          <w:rFonts w:ascii="Arial" w:cs="Arial" w:eastAsia="Arial" w:hAnsi="Arial"/>
          <w:sz w:val="15"/>
          <w:szCs w:val="15"/>
          <w:color w:val="auto"/>
        </w:rPr>
        <w:t>unless the FDA, before that time, places the IND on clinical hold. At any time thereafter, the FDA may raise concerns or questions about the conduct of the trials as outlined in the IND and impose a clinical hold if the FDA deems it appropriate. In such case, the IND sponsor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5" w:name="page26"/>
    <w:bookmarkEnd w:id="25"/>
    <w:p>
      <w:pPr>
        <w:jc w:val="both"/>
        <w:ind w:right="340"/>
        <w:spacing w:after="0" w:line="328" w:lineRule="auto"/>
        <w:rPr>
          <w:sz w:val="20"/>
          <w:szCs w:val="20"/>
          <w:color w:val="auto"/>
        </w:rPr>
      </w:pPr>
      <w:r>
        <w:rPr>
          <w:rFonts w:ascii="Arial" w:cs="Arial" w:eastAsia="Arial" w:hAnsi="Arial"/>
          <w:sz w:val="14"/>
          <w:szCs w:val="14"/>
          <w:color w:val="auto"/>
        </w:rPr>
        <w:t>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17" w:lineRule="exact"/>
        <w:rPr>
          <w:sz w:val="20"/>
          <w:szCs w:val="20"/>
          <w:color w:val="auto"/>
        </w:rPr>
      </w:pPr>
    </w:p>
    <w:p>
      <w:pPr>
        <w:ind w:right="80" w:firstLine="538"/>
        <w:spacing w:after="0" w:line="290" w:lineRule="auto"/>
        <w:rPr>
          <w:sz w:val="20"/>
          <w:szCs w:val="20"/>
          <w:color w:val="auto"/>
        </w:rPr>
      </w:pPr>
      <w:r>
        <w:rPr>
          <w:rFonts w:ascii="Arial" w:cs="Arial" w:eastAsia="Arial" w:hAnsi="Arial"/>
          <w:sz w:val="15"/>
          <w:szCs w:val="15"/>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Clinical Trials. </w:t>
      </w:r>
      <w:r>
        <w:rPr>
          <w:rFonts w:ascii="Arial" w:cs="Arial" w:eastAsia="Arial" w:hAnsi="Arial"/>
          <w:sz w:val="15"/>
          <w:szCs w:val="15"/>
          <w:color w:val="auto"/>
        </w:rPr>
        <w:t>Human clinical trials are typically conducted in three sequential phases that may overlap:</w:t>
      </w:r>
    </w:p>
    <w:p>
      <w:pPr>
        <w:spacing w:after="0" w:line="199" w:lineRule="exact"/>
        <w:rPr>
          <w:sz w:val="20"/>
          <w:szCs w:val="20"/>
          <w:color w:val="auto"/>
        </w:rPr>
      </w:pPr>
    </w:p>
    <w:p>
      <w:pPr>
        <w:ind w:left="760" w:right="4180" w:hanging="523"/>
        <w:spacing w:after="0" w:line="269" w:lineRule="auto"/>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Phase 1: The drug candidate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340" w:lineRule="exact"/>
        <w:rPr>
          <w:rFonts w:ascii="Arial" w:cs="Arial" w:eastAsia="Arial" w:hAnsi="Arial"/>
          <w:sz w:val="15"/>
          <w:szCs w:val="15"/>
          <w:color w:val="auto"/>
        </w:rPr>
      </w:pPr>
    </w:p>
    <w:p>
      <w:pPr>
        <w:ind w:left="760" w:right="4320" w:hanging="523"/>
        <w:spacing w:after="0" w:line="274" w:lineRule="auto"/>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63" w:lineRule="exact"/>
        <w:rPr>
          <w:rFonts w:ascii="Arial" w:cs="Arial" w:eastAsia="Arial" w:hAnsi="Arial"/>
          <w:sz w:val="15"/>
          <w:szCs w:val="15"/>
          <w:color w:val="auto"/>
        </w:rPr>
      </w:pPr>
    </w:p>
    <w:p>
      <w:pPr>
        <w:ind w:left="760" w:right="4280" w:hanging="523"/>
        <w:spacing w:after="0" w:line="266" w:lineRule="auto"/>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58" w:lineRule="exact"/>
        <w:rPr>
          <w:sz w:val="20"/>
          <w:szCs w:val="20"/>
          <w:color w:val="auto"/>
        </w:rPr>
      </w:pPr>
    </w:p>
    <w:p>
      <w:pPr>
        <w:ind w:right="80" w:firstLine="538"/>
        <w:spacing w:after="0" w:line="290" w:lineRule="auto"/>
        <w:rPr>
          <w:sz w:val="20"/>
          <w:szCs w:val="20"/>
          <w:color w:val="auto"/>
        </w:rPr>
      </w:pPr>
      <w:r>
        <w:rPr>
          <w:rFonts w:ascii="Arial" w:cs="Arial" w:eastAsia="Arial" w:hAnsi="Arial"/>
          <w:sz w:val="15"/>
          <w:szCs w:val="15"/>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40" w:lineRule="exact"/>
        <w:rPr>
          <w:sz w:val="20"/>
          <w:szCs w:val="20"/>
          <w:color w:val="auto"/>
        </w:rPr>
      </w:pPr>
    </w:p>
    <w:p>
      <w:pPr>
        <w:ind w:firstLine="538"/>
        <w:spacing w:after="0" w:line="264" w:lineRule="auto"/>
        <w:rPr>
          <w:sz w:val="20"/>
          <w:szCs w:val="20"/>
          <w:color w:val="auto"/>
        </w:rPr>
      </w:pPr>
      <w:r>
        <w:rPr>
          <w:rFonts w:ascii="Arial" w:cs="Arial" w:eastAsia="Arial" w:hAnsi="Arial"/>
          <w:sz w:val="15"/>
          <w:szCs w:val="15"/>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61" w:lineRule="exact"/>
        <w:rPr>
          <w:sz w:val="20"/>
          <w:szCs w:val="20"/>
          <w:color w:val="auto"/>
        </w:rPr>
      </w:pPr>
    </w:p>
    <w:p>
      <w:pPr>
        <w:ind w:right="60" w:firstLine="538"/>
        <w:spacing w:after="0" w:line="287" w:lineRule="auto"/>
        <w:rPr>
          <w:sz w:val="20"/>
          <w:szCs w:val="20"/>
          <w:color w:val="auto"/>
        </w:rPr>
      </w:pPr>
      <w:r>
        <w:rPr>
          <w:rFonts w:ascii="Arial" w:cs="Arial" w:eastAsia="Arial" w:hAnsi="Arial"/>
          <w:sz w:val="14"/>
          <w:szCs w:val="14"/>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45" w:lineRule="exact"/>
        <w:rPr>
          <w:sz w:val="20"/>
          <w:szCs w:val="20"/>
          <w:color w:val="auto"/>
        </w:rPr>
      </w:pPr>
    </w:p>
    <w:p>
      <w:pPr>
        <w:ind w:right="380" w:firstLine="538"/>
        <w:spacing w:after="0" w:line="328" w:lineRule="auto"/>
        <w:rPr>
          <w:sz w:val="20"/>
          <w:szCs w:val="20"/>
          <w:color w:val="auto"/>
        </w:rPr>
      </w:pPr>
      <w:r>
        <w:rPr>
          <w:rFonts w:ascii="Arial" w:cs="Arial" w:eastAsia="Arial" w:hAnsi="Arial"/>
          <w:sz w:val="14"/>
          <w:szCs w:val="14"/>
          <w:i w:val="1"/>
          <w:iCs w:val="1"/>
          <w:color w:val="auto"/>
        </w:rPr>
        <w:t xml:space="preserve">Fast track designation: </w:t>
      </w:r>
      <w:r>
        <w:rPr>
          <w:rFonts w:ascii="Arial" w:cs="Arial" w:eastAsia="Arial" w:hAnsi="Arial"/>
          <w:sz w:val="14"/>
          <w:szCs w:val="14"/>
          <w:color w:val="auto"/>
        </w:rPr>
        <w:t>The FDA has a Fast Track program that is intended to expedite or facilitate the process for reviewing new drugs and biological products that meet</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criteria. Specifically, new drugs and biological products are eligible for Fast Track designation if they are intended to treat a serious or life-threatening condition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6" w:name="page27"/>
    <w:bookmarkEnd w:id="26"/>
    <w:p>
      <w:pPr>
        <w:ind w:right="60"/>
        <w:spacing w:after="0" w:line="269" w:lineRule="auto"/>
        <w:rPr>
          <w:sz w:val="20"/>
          <w:szCs w:val="20"/>
          <w:color w:val="auto"/>
        </w:rPr>
      </w:pPr>
      <w:r>
        <w:rPr>
          <w:rFonts w:ascii="Arial" w:cs="Arial" w:eastAsia="Arial" w:hAnsi="Arial"/>
          <w:sz w:val="15"/>
          <w:szCs w:val="15"/>
          <w:color w:val="auto"/>
        </w:rPr>
        <w:t>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8" w:lineRule="exact"/>
        <w:rPr>
          <w:sz w:val="20"/>
          <w:szCs w:val="20"/>
          <w:color w:val="auto"/>
        </w:rPr>
      </w:pPr>
    </w:p>
    <w:p>
      <w:pPr>
        <w:ind w:right="40" w:firstLine="538"/>
        <w:spacing w:after="0" w:line="282" w:lineRule="auto"/>
        <w:rPr>
          <w:sz w:val="20"/>
          <w:szCs w:val="20"/>
          <w:color w:val="auto"/>
        </w:rPr>
      </w:pPr>
      <w:r>
        <w:rPr>
          <w:rFonts w:ascii="Arial" w:cs="Arial" w:eastAsia="Arial" w:hAnsi="Arial"/>
          <w:sz w:val="14"/>
          <w:szCs w:val="14"/>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51" w:lineRule="exact"/>
        <w:rPr>
          <w:sz w:val="20"/>
          <w:szCs w:val="20"/>
          <w:color w:val="auto"/>
        </w:rPr>
      </w:pPr>
    </w:p>
    <w:p>
      <w:pPr>
        <w:ind w:right="20" w:firstLine="538"/>
        <w:spacing w:after="0" w:line="283" w:lineRule="auto"/>
        <w:rPr>
          <w:sz w:val="20"/>
          <w:szCs w:val="20"/>
          <w:color w:val="auto"/>
        </w:rPr>
      </w:pPr>
      <w:r>
        <w:rPr>
          <w:rFonts w:ascii="Arial" w:cs="Arial" w:eastAsia="Arial" w:hAnsi="Arial"/>
          <w:sz w:val="14"/>
          <w:szCs w:val="14"/>
          <w:i w:val="1"/>
          <w:iCs w:val="1"/>
          <w:color w:val="auto"/>
        </w:rPr>
        <w:t xml:space="preserve">United States patent term restoration and marketing exclusivity: </w:t>
      </w:r>
      <w:r>
        <w:rPr>
          <w:rFonts w:ascii="Arial" w:cs="Arial" w:eastAsia="Arial" w:hAnsi="Arial"/>
          <w:sz w:val="14"/>
          <w:szCs w:val="14"/>
          <w:color w:val="auto"/>
        </w:rPr>
        <w:t>Depending upon the timing, duration and specifics of the FDA approval of a drug candidate, some U.S. patents</w:t>
      </w:r>
      <w:r>
        <w:rPr>
          <w:rFonts w:ascii="Arial" w:cs="Arial" w:eastAsia="Arial" w:hAnsi="Arial"/>
          <w:sz w:val="14"/>
          <w:szCs w:val="14"/>
          <w:i w:val="1"/>
          <w:iCs w:val="1"/>
          <w:color w:val="auto"/>
        </w:rPr>
        <w:t xml:space="preserve"> </w:t>
      </w:r>
      <w:r>
        <w:rPr>
          <w:rFonts w:ascii="Arial" w:cs="Arial" w:eastAsia="Arial" w:hAnsi="Arial"/>
          <w:sz w:val="14"/>
          <w:szCs w:val="14"/>
          <w:color w:val="auto"/>
        </w:rPr>
        <w:t>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48" w:lineRule="exact"/>
        <w:rPr>
          <w:sz w:val="20"/>
          <w:szCs w:val="20"/>
          <w:color w:val="auto"/>
        </w:rPr>
      </w:pPr>
    </w:p>
    <w:p>
      <w:pPr>
        <w:ind w:firstLine="538"/>
        <w:spacing w:after="0" w:line="281" w:lineRule="auto"/>
        <w:rPr>
          <w:sz w:val="20"/>
          <w:szCs w:val="20"/>
          <w:color w:val="auto"/>
        </w:rPr>
      </w:pPr>
      <w:r>
        <w:rPr>
          <w:rFonts w:ascii="Arial" w:cs="Arial" w:eastAsia="Arial" w:hAnsi="Arial"/>
          <w:sz w:val="14"/>
          <w:szCs w:val="14"/>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7" w:name="page28"/>
    <w:bookmarkEnd w:id="27"/>
    <w:p>
      <w:pPr>
        <w:ind w:right="40"/>
        <w:spacing w:after="0" w:line="274" w:lineRule="auto"/>
        <w:rPr>
          <w:sz w:val="20"/>
          <w:szCs w:val="20"/>
          <w:color w:val="auto"/>
        </w:rPr>
      </w:pPr>
      <w:r>
        <w:rPr>
          <w:rFonts w:ascii="Arial" w:cs="Arial" w:eastAsia="Arial" w:hAnsi="Arial"/>
          <w:sz w:val="15"/>
          <w:szCs w:val="15"/>
          <w:color w:val="auto"/>
        </w:rPr>
        <w:t>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5" w:lineRule="exact"/>
        <w:rPr>
          <w:sz w:val="20"/>
          <w:szCs w:val="20"/>
          <w:color w:val="auto"/>
        </w:rPr>
      </w:pPr>
    </w:p>
    <w:p>
      <w:pPr>
        <w:ind w:right="240" w:firstLine="538"/>
        <w:spacing w:after="0" w:line="290" w:lineRule="auto"/>
        <w:rPr>
          <w:sz w:val="20"/>
          <w:szCs w:val="20"/>
          <w:color w:val="auto"/>
        </w:rPr>
      </w:pPr>
      <w:r>
        <w:rPr>
          <w:rFonts w:ascii="Arial" w:cs="Arial" w:eastAsia="Arial" w:hAnsi="Arial"/>
          <w:sz w:val="15"/>
          <w:szCs w:val="15"/>
          <w:i w:val="1"/>
          <w:iCs w:val="1"/>
          <w:color w:val="auto"/>
        </w:rPr>
        <w:t xml:space="preserve">Regulation outside the United States: </w:t>
      </w:r>
      <w:r>
        <w:rPr>
          <w:rFonts w:ascii="Arial" w:cs="Arial" w:eastAsia="Arial" w:hAnsi="Arial"/>
          <w:sz w:val="15"/>
          <w:szCs w:val="15"/>
          <w:color w:val="auto"/>
        </w:rPr>
        <w:t>In addition to regulations in the United States, we and our strategic alliance partners will be subject to a variety of regulations in other</w:t>
      </w:r>
      <w:r>
        <w:rPr>
          <w:rFonts w:ascii="Arial" w:cs="Arial" w:eastAsia="Arial" w:hAnsi="Arial"/>
          <w:sz w:val="15"/>
          <w:szCs w:val="15"/>
          <w:i w:val="1"/>
          <w:iCs w:val="1"/>
          <w:color w:val="auto"/>
        </w:rPr>
        <w:t xml:space="preserve"> </w:t>
      </w:r>
      <w:r>
        <w:rPr>
          <w:rFonts w:ascii="Arial" w:cs="Arial" w:eastAsia="Arial" w:hAnsi="Arial"/>
          <w:sz w:val="15"/>
          <w:szCs w:val="15"/>
          <w:color w:val="auto"/>
        </w:rPr>
        <w:t>jurisdictions governing, among other things, clinical trials and any commercial sales and distribution of our products.</w:t>
      </w:r>
    </w:p>
    <w:p>
      <w:pPr>
        <w:spacing w:after="0" w:line="140" w:lineRule="exact"/>
        <w:rPr>
          <w:sz w:val="20"/>
          <w:szCs w:val="20"/>
          <w:color w:val="auto"/>
        </w:rPr>
      </w:pPr>
    </w:p>
    <w:p>
      <w:pPr>
        <w:ind w:right="200" w:firstLine="538"/>
        <w:spacing w:after="0" w:line="266"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58" w:lineRule="exact"/>
        <w:rPr>
          <w:sz w:val="20"/>
          <w:szCs w:val="20"/>
          <w:color w:val="auto"/>
        </w:rPr>
      </w:pPr>
    </w:p>
    <w:p>
      <w:pPr>
        <w:ind w:firstLine="538"/>
        <w:spacing w:after="0" w:line="328" w:lineRule="auto"/>
        <w:rPr>
          <w:sz w:val="20"/>
          <w:szCs w:val="20"/>
          <w:color w:val="auto"/>
        </w:rPr>
      </w:pPr>
      <w:r>
        <w:rPr>
          <w:rFonts w:ascii="Arial" w:cs="Arial" w:eastAsia="Arial" w:hAnsi="Arial"/>
          <w:sz w:val="14"/>
          <w:szCs w:val="14"/>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17" w:lineRule="exact"/>
        <w:rPr>
          <w:sz w:val="20"/>
          <w:szCs w:val="20"/>
          <w:color w:val="auto"/>
        </w:rPr>
      </w:pPr>
    </w:p>
    <w:p>
      <w:pPr>
        <w:ind w:right="40" w:firstLine="538"/>
        <w:spacing w:after="0" w:line="274" w:lineRule="auto"/>
        <w:rPr>
          <w:sz w:val="20"/>
          <w:szCs w:val="20"/>
          <w:color w:val="auto"/>
        </w:rPr>
      </w:pPr>
      <w:r>
        <w:rPr>
          <w:rFonts w:ascii="Arial" w:cs="Arial" w:eastAsia="Arial" w:hAnsi="Arial"/>
          <w:sz w:val="15"/>
          <w:szCs w:val="15"/>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152" w:lineRule="exact"/>
        <w:rPr>
          <w:sz w:val="20"/>
          <w:szCs w:val="20"/>
          <w:color w:val="auto"/>
        </w:rPr>
      </w:pPr>
    </w:p>
    <w:p>
      <w:pPr>
        <w:ind w:right="200" w:firstLine="538"/>
        <w:spacing w:after="0" w:line="274"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2" w:lineRule="exact"/>
        <w:rPr>
          <w:sz w:val="20"/>
          <w:szCs w:val="20"/>
          <w:color w:val="auto"/>
        </w:rPr>
      </w:pPr>
    </w:p>
    <w:p>
      <w:pPr>
        <w:ind w:right="660" w:firstLine="538"/>
        <w:spacing w:after="0" w:line="290" w:lineRule="auto"/>
        <w:rPr>
          <w:sz w:val="20"/>
          <w:szCs w:val="20"/>
          <w:color w:val="auto"/>
        </w:rPr>
      </w:pPr>
      <w:r>
        <w:rPr>
          <w:rFonts w:ascii="Arial" w:cs="Arial" w:eastAsia="Arial" w:hAnsi="Arial"/>
          <w:sz w:val="15"/>
          <w:szCs w:val="15"/>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205" w:lineRule="exact"/>
        <w:rPr>
          <w:sz w:val="20"/>
          <w:szCs w:val="20"/>
          <w:color w:val="auto"/>
        </w:rPr>
      </w:pPr>
    </w:p>
    <w:p>
      <w:pPr>
        <w:ind w:right="120" w:firstLine="538"/>
        <w:spacing w:after="0" w:line="274" w:lineRule="auto"/>
        <w:rPr>
          <w:sz w:val="20"/>
          <w:szCs w:val="20"/>
          <w:color w:val="auto"/>
        </w:rPr>
      </w:pPr>
      <w:r>
        <w:rPr>
          <w:rFonts w:ascii="Arial" w:cs="Arial" w:eastAsia="Arial" w:hAnsi="Arial"/>
          <w:sz w:val="15"/>
          <w:szCs w:val="15"/>
          <w:color w:val="auto"/>
        </w:rPr>
        <w:t>We have assembled an experienced and cohesive management and support team, with core competencies in general management, clinical development, regulatory affairs and corporate development. We have eight full-time employees as of the date of this report. We believe that our relations with our employees are good, and we have no history of work stoppages.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Information</w:t>
      </w:r>
    </w:p>
    <w:p>
      <w:pPr>
        <w:spacing w:after="0" w:line="205" w:lineRule="exact"/>
        <w:rPr>
          <w:sz w:val="20"/>
          <w:szCs w:val="20"/>
          <w:color w:val="auto"/>
        </w:rPr>
      </w:pPr>
    </w:p>
    <w:p>
      <w:pPr>
        <w:ind w:right="120" w:firstLine="538"/>
        <w:spacing w:after="0" w:line="302" w:lineRule="auto"/>
        <w:rPr>
          <w:sz w:val="20"/>
          <w:szCs w:val="20"/>
          <w:color w:val="auto"/>
        </w:rPr>
      </w:pPr>
      <w:r>
        <w:rPr>
          <w:rFonts w:ascii="Arial" w:cs="Arial" w:eastAsia="Arial" w:hAnsi="Arial"/>
          <w:sz w:val="14"/>
          <w:szCs w:val="14"/>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Item 1A. Risk Factors</w:t>
      </w:r>
    </w:p>
    <w:p>
      <w:pPr>
        <w:spacing w:after="0" w:line="205" w:lineRule="exact"/>
        <w:rPr>
          <w:sz w:val="20"/>
          <w:szCs w:val="20"/>
          <w:color w:val="auto"/>
        </w:rPr>
      </w:pPr>
    </w:p>
    <w:p>
      <w:pPr>
        <w:ind w:firstLine="440"/>
        <w:spacing w:after="0" w:line="269" w:lineRule="auto"/>
        <w:rPr>
          <w:sz w:val="20"/>
          <w:szCs w:val="20"/>
          <w:color w:val="auto"/>
        </w:rPr>
      </w:pPr>
      <w:r>
        <w:rPr>
          <w:rFonts w:ascii="Arial" w:cs="Arial" w:eastAsia="Arial" w:hAnsi="Arial"/>
          <w:sz w:val="15"/>
          <w:szCs w:val="15"/>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operating losses since our inception and expect that we will incur continued losses for the foreseeable future.</w:t>
      </w:r>
    </w:p>
    <w:p>
      <w:pPr>
        <w:spacing w:after="0" w:line="106" w:lineRule="exact"/>
        <w:rPr>
          <w:sz w:val="20"/>
          <w:szCs w:val="20"/>
          <w:color w:val="auto"/>
        </w:rPr>
      </w:pPr>
    </w:p>
    <w:p>
      <w:pPr>
        <w:ind w:right="160" w:firstLine="440"/>
        <w:spacing w:after="0" w:line="264" w:lineRule="auto"/>
        <w:rPr>
          <w:sz w:val="20"/>
          <w:szCs w:val="20"/>
          <w:color w:val="auto"/>
        </w:rPr>
      </w:pPr>
      <w:r>
        <w:rPr>
          <w:rFonts w:ascii="Arial" w:cs="Arial" w:eastAsia="Arial" w:hAnsi="Arial"/>
          <w:sz w:val="15"/>
          <w:szCs w:val="15"/>
          <w:color w:val="auto"/>
        </w:rPr>
        <w:t>We have incurred significant net losses since our inception. For the year ended December 31, 2019, we had a net loss of $12.9 million. At December 31, 2019, from inception, our accumulated deficit was $369.1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2019, we had available cash and cash equivalents of $63.8 million and working capital of $62.1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Our future cash requirements will also depend on many factors, including:</w:t>
      </w:r>
    </w:p>
    <w:p>
      <w:pPr>
        <w:spacing w:after="0" w:line="222" w:lineRule="exact"/>
        <w:rPr>
          <w:sz w:val="20"/>
          <w:szCs w:val="20"/>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progress in, and the costs of future planned clinical trials and other research and development activities;</w:t>
      </w:r>
    </w:p>
    <w:p>
      <w:pPr>
        <w:spacing w:after="0" w:line="187"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scope, prioritization and number of our product development programs;</w:t>
      </w:r>
    </w:p>
    <w:p>
      <w:pPr>
        <w:spacing w:after="0" w:line="198" w:lineRule="exact"/>
        <w:rPr>
          <w:rFonts w:ascii="Arial" w:cs="Arial" w:eastAsia="Arial" w:hAnsi="Arial"/>
          <w:sz w:val="15"/>
          <w:szCs w:val="15"/>
          <w:color w:val="auto"/>
        </w:rPr>
      </w:pPr>
    </w:p>
    <w:p>
      <w:pPr>
        <w:ind w:left="860" w:right="360" w:hanging="438"/>
        <w:spacing w:after="0" w:line="290" w:lineRule="auto"/>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obligations under our license agreements, pursuant to which we may be required to make future milestone payments upon the achievement of various milestones related to clinical, regulatory or commercial events;</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establish and maintain strategic collaborations, including licensing agreements and other arrangements;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time and costs involved in obtaining regulatory approvals;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costs of securing manufacturing arrangements for clinical or commercial production of our product candidates;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costs associated with any expansion of our management, personnel, systems and facilities;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costs associated with any litigation;</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costs associated with the operations or wind-down of any business we may acquire;</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costs involved in filing, prosecuting, enforcing and defending patent claims and other intellectual property rights;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051" w:right="259" w:bottom="1440" w:gutter="0" w:footer="0" w:header="0"/>
        </w:sectPr>
      </w:pPr>
    </w:p>
    <w:bookmarkStart w:id="29" w:name="page30"/>
    <w:bookmarkEnd w:id="29"/>
    <w:p>
      <w:pPr>
        <w:ind w:left="860" w:right="500" w:hanging="438"/>
        <w:spacing w:after="0" w:line="290" w:lineRule="auto"/>
        <w:tabs>
          <w:tab w:leader="none" w:pos="8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costs of establishing or contracting for sales and marketing capabilities and commercialization activities if we obtain regulatory approval to market our product candidates.</w:t>
      </w:r>
    </w:p>
    <w:p>
      <w:pPr>
        <w:spacing w:after="0" w:line="152" w:lineRule="exact"/>
        <w:rPr>
          <w:sz w:val="20"/>
          <w:szCs w:val="20"/>
          <w:color w:val="auto"/>
        </w:rPr>
      </w:pPr>
    </w:p>
    <w:p>
      <w:pPr>
        <w:ind w:right="100" w:firstLine="440"/>
        <w:spacing w:after="0" w:line="294" w:lineRule="auto"/>
        <w:rPr>
          <w:sz w:val="20"/>
          <w:szCs w:val="20"/>
          <w:color w:val="auto"/>
        </w:rPr>
      </w:pPr>
      <w:r>
        <w:rPr>
          <w:rFonts w:ascii="Arial" w:cs="Arial" w:eastAsia="Arial" w:hAnsi="Arial"/>
          <w:sz w:val="14"/>
          <w:szCs w:val="14"/>
          <w:color w:val="auto"/>
        </w:rPr>
        <w:t>We expect our research and development expenses to increase in 2020 relative to 2019 as we continue our focus on the development of MN-166 (ibudilast) and MN-001 (tipelukast) in 2020. Our estimate of cash requirements for future operating expenses assumes that we do not incur significant additional new clinical development expenditures unless we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63" w:lineRule="exact"/>
        <w:rPr>
          <w:sz w:val="20"/>
          <w:szCs w:val="20"/>
          <w:color w:val="auto"/>
        </w:rPr>
      </w:pPr>
    </w:p>
    <w:p>
      <w:pPr>
        <w:ind w:right="220" w:firstLine="440"/>
        <w:spacing w:after="0" w:line="274" w:lineRule="auto"/>
        <w:rPr>
          <w:sz w:val="20"/>
          <w:szCs w:val="20"/>
          <w:color w:val="auto"/>
        </w:rPr>
      </w:pPr>
      <w:r>
        <w:rPr>
          <w:rFonts w:ascii="Arial" w:cs="Arial" w:eastAsia="Arial" w:hAnsi="Arial"/>
          <w:sz w:val="15"/>
          <w:szCs w:val="15"/>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the capital necessary to fund our operations, we will be unable to develop and commercialize our product candidates.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have consumed substantial amounts of capital since our inception.</w:t>
      </w:r>
    </w:p>
    <w:p>
      <w:pPr>
        <w:spacing w:after="0" w:line="199" w:lineRule="exact"/>
        <w:rPr>
          <w:sz w:val="20"/>
          <w:szCs w:val="20"/>
          <w:color w:val="auto"/>
        </w:rPr>
      </w:pPr>
    </w:p>
    <w:p>
      <w:pPr>
        <w:ind w:right="80" w:firstLine="440"/>
        <w:spacing w:after="0" w:line="266" w:lineRule="auto"/>
        <w:rPr>
          <w:sz w:val="20"/>
          <w:szCs w:val="20"/>
          <w:color w:val="auto"/>
        </w:rPr>
      </w:pPr>
      <w:r>
        <w:rPr>
          <w:rFonts w:ascii="Arial" w:cs="Arial" w:eastAsia="Arial" w:hAnsi="Arial"/>
          <w:sz w:val="15"/>
          <w:szCs w:val="15"/>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have any products that are approved for commercial sale and therefore do not expect to generate any revenues from product sales in the foreseeable future, if ever.</w:t>
      </w:r>
    </w:p>
    <w:p>
      <w:pPr>
        <w:spacing w:after="0" w:line="129" w:lineRule="exact"/>
        <w:rPr>
          <w:sz w:val="20"/>
          <w:szCs w:val="20"/>
          <w:color w:val="auto"/>
        </w:rPr>
      </w:pPr>
    </w:p>
    <w:p>
      <w:pPr>
        <w:ind w:firstLine="440"/>
        <w:spacing w:after="0" w:line="264" w:lineRule="auto"/>
        <w:rPr>
          <w:sz w:val="20"/>
          <w:szCs w:val="20"/>
          <w:color w:val="auto"/>
        </w:rPr>
      </w:pPr>
      <w:r>
        <w:rPr>
          <w:rFonts w:ascii="Arial" w:cs="Arial" w:eastAsia="Arial" w:hAnsi="Arial"/>
          <w:sz w:val="15"/>
          <w:szCs w:val="15"/>
          <w:color w:val="auto"/>
        </w:rPr>
        <w:t>To date, we have funded our operations primarily from sales of our securities and, to a lesser extent, debt financing.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47" w:lineRule="exact"/>
        <w:rPr>
          <w:sz w:val="20"/>
          <w:szCs w:val="20"/>
          <w:color w:val="auto"/>
        </w:rPr>
      </w:pPr>
    </w:p>
    <w:p>
      <w:pPr>
        <w:ind w:right="20" w:firstLine="440"/>
        <w:spacing w:after="0" w:line="264" w:lineRule="auto"/>
        <w:rPr>
          <w:sz w:val="20"/>
          <w:szCs w:val="20"/>
          <w:color w:val="auto"/>
        </w:rPr>
      </w:pPr>
      <w:r>
        <w:rPr>
          <w:rFonts w:ascii="Arial" w:cs="Arial" w:eastAsia="Arial" w:hAnsi="Arial"/>
          <w:sz w:val="15"/>
          <w:szCs w:val="15"/>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(ibudilast) and MN-001 (tipelukast) product candidates. These product candidates have not completed the clinical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0" w:name="page31"/>
    <w:bookmarkEnd w:id="30"/>
    <w:p>
      <w:pPr>
        <w:spacing w:after="0"/>
        <w:rPr>
          <w:sz w:val="20"/>
          <w:szCs w:val="20"/>
          <w:color w:val="auto"/>
        </w:rPr>
      </w:pPr>
      <w:r>
        <w:rPr>
          <w:rFonts w:ascii="Arial" w:cs="Arial" w:eastAsia="Arial" w:hAnsi="Arial"/>
          <w:sz w:val="15"/>
          <w:szCs w:val="15"/>
          <w:color w:val="auto"/>
        </w:rPr>
        <w:t>development process, and therefore we have not submitted an NDA or foreign equivalent or received marketing approval.</w:t>
      </w:r>
    </w:p>
    <w:p>
      <w:pPr>
        <w:spacing w:after="0" w:line="210"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5"/>
          <w:szCs w:val="15"/>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58" w:lineRule="exact"/>
        <w:rPr>
          <w:sz w:val="20"/>
          <w:szCs w:val="20"/>
          <w:color w:val="auto"/>
        </w:rPr>
      </w:pPr>
    </w:p>
    <w:p>
      <w:pPr>
        <w:ind w:right="380"/>
        <w:spacing w:after="0" w:line="290" w:lineRule="auto"/>
        <w:rPr>
          <w:sz w:val="20"/>
          <w:szCs w:val="20"/>
          <w:color w:val="auto"/>
        </w:rPr>
      </w:pPr>
      <w:r>
        <w:rPr>
          <w:rFonts w:ascii="Arial" w:cs="Arial" w:eastAsia="Arial" w:hAnsi="Arial"/>
          <w:sz w:val="15"/>
          <w:szCs w:val="15"/>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47" w:lineRule="exact"/>
        <w:rPr>
          <w:sz w:val="20"/>
          <w:szCs w:val="20"/>
          <w:color w:val="auto"/>
        </w:rPr>
      </w:pPr>
    </w:p>
    <w:p>
      <w:pPr>
        <w:ind w:right="20" w:firstLine="440"/>
        <w:spacing w:after="0" w:line="269" w:lineRule="auto"/>
        <w:rPr>
          <w:sz w:val="20"/>
          <w:szCs w:val="20"/>
          <w:color w:val="auto"/>
        </w:rPr>
      </w:pPr>
      <w:r>
        <w:rPr>
          <w:rFonts w:ascii="Arial" w:cs="Arial" w:eastAsia="Arial" w:hAnsi="Arial"/>
          <w:sz w:val="15"/>
          <w:szCs w:val="15"/>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178" w:lineRule="exact"/>
        <w:rPr>
          <w:sz w:val="20"/>
          <w:szCs w:val="20"/>
          <w:color w:val="auto"/>
        </w:rPr>
      </w:pPr>
    </w:p>
    <w:p>
      <w:pPr>
        <w:ind w:right="20" w:firstLine="440"/>
        <w:spacing w:after="0" w:line="269" w:lineRule="auto"/>
        <w:rPr>
          <w:sz w:val="20"/>
          <w:szCs w:val="20"/>
          <w:color w:val="auto"/>
        </w:rPr>
      </w:pPr>
      <w:r>
        <w:rPr>
          <w:rFonts w:ascii="Arial" w:cs="Arial" w:eastAsia="Arial" w:hAnsi="Arial"/>
          <w:sz w:val="15"/>
          <w:szCs w:val="15"/>
          <w:color w:val="auto"/>
        </w:rPr>
        <w:t>Companies frequently suffer significant setbacks in advanced clinical trials, even after earlier clinical trials have shown promising results.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155" w:lineRule="exact"/>
        <w:rPr>
          <w:sz w:val="20"/>
          <w:szCs w:val="20"/>
          <w:color w:val="auto"/>
        </w:rPr>
      </w:pPr>
    </w:p>
    <w:p>
      <w:pPr>
        <w:ind w:right="320"/>
        <w:spacing w:after="0" w:line="290" w:lineRule="auto"/>
        <w:rPr>
          <w:sz w:val="20"/>
          <w:szCs w:val="20"/>
          <w:color w:val="auto"/>
        </w:rPr>
      </w:pPr>
      <w:r>
        <w:rPr>
          <w:rFonts w:ascii="Arial" w:cs="Arial" w:eastAsia="Arial" w:hAnsi="Arial"/>
          <w:sz w:val="15"/>
          <w:szCs w:val="15"/>
          <w:b w:val="1"/>
          <w:bCs w:val="1"/>
          <w:i w:val="1"/>
          <w:iCs w:val="1"/>
          <w:color w:val="auto"/>
        </w:rPr>
        <w:t>Our attempts to develop MN-001 (tipelukast) in NASH and IPF may detract from our efforts to develop other product candidates and may limit the effectiveness of our product development efforts as a whole.</w:t>
      </w:r>
    </w:p>
    <w:p>
      <w:pPr>
        <w:spacing w:after="0" w:line="140" w:lineRule="exact"/>
        <w:rPr>
          <w:sz w:val="20"/>
          <w:szCs w:val="20"/>
          <w:color w:val="auto"/>
        </w:rPr>
      </w:pPr>
    </w:p>
    <w:p>
      <w:pPr>
        <w:ind w:right="420" w:firstLine="440"/>
        <w:spacing w:after="0" w:line="290" w:lineRule="auto"/>
        <w:rPr>
          <w:sz w:val="20"/>
          <w:szCs w:val="20"/>
          <w:color w:val="auto"/>
        </w:rPr>
      </w:pPr>
      <w:r>
        <w:rPr>
          <w:rFonts w:ascii="Arial" w:cs="Arial" w:eastAsia="Arial" w:hAnsi="Arial"/>
          <w:sz w:val="15"/>
          <w:szCs w:val="15"/>
          <w:color w:val="auto"/>
        </w:rPr>
        <w:t>We have decided to pursue development of MN-001 (tipelukast) in NASH and IPF. These activities will divert financial and management resources from our other product development activities and may limit our ability to complete or continue those other programs.</w:t>
      </w:r>
    </w:p>
    <w:p>
      <w:pPr>
        <w:spacing w:after="0" w:line="140"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7" w:lineRule="exact"/>
        <w:rPr>
          <w:sz w:val="20"/>
          <w:szCs w:val="20"/>
          <w:color w:val="auto"/>
        </w:rPr>
      </w:pPr>
    </w:p>
    <w:p>
      <w:pPr>
        <w:ind w:right="60" w:firstLine="440"/>
        <w:spacing w:after="0" w:line="266" w:lineRule="auto"/>
        <w:rPr>
          <w:sz w:val="20"/>
          <w:szCs w:val="20"/>
          <w:color w:val="auto"/>
        </w:rPr>
      </w:pPr>
      <w:r>
        <w:rPr>
          <w:rFonts w:ascii="Arial" w:cs="Arial" w:eastAsia="Arial" w:hAnsi="Arial"/>
          <w:sz w:val="15"/>
          <w:szCs w:val="15"/>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70" w:lineRule="exact"/>
        <w:rPr>
          <w:sz w:val="20"/>
          <w:szCs w:val="20"/>
          <w:color w:val="auto"/>
        </w:rPr>
      </w:pPr>
    </w:p>
    <w:p>
      <w:pPr>
        <w:ind w:right="20" w:firstLine="440"/>
        <w:spacing w:after="0" w:line="294" w:lineRule="auto"/>
        <w:rPr>
          <w:sz w:val="20"/>
          <w:szCs w:val="20"/>
          <w:color w:val="auto"/>
        </w:rPr>
      </w:pPr>
      <w:r>
        <w:rPr>
          <w:rFonts w:ascii="Arial" w:cs="Arial" w:eastAsia="Arial" w:hAnsi="Arial"/>
          <w:sz w:val="14"/>
          <w:szCs w:val="14"/>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31" w:name="page32"/>
    <w:bookmarkEnd w:id="31"/>
    <w:p>
      <w:pPr>
        <w:ind w:right="100"/>
        <w:spacing w:after="0" w:line="274" w:lineRule="auto"/>
        <w:rPr>
          <w:sz w:val="20"/>
          <w:szCs w:val="20"/>
          <w:color w:val="auto"/>
        </w:rPr>
      </w:pPr>
      <w:r>
        <w:rPr>
          <w:rFonts w:ascii="Arial" w:cs="Arial" w:eastAsia="Arial" w:hAnsi="Arial"/>
          <w:sz w:val="15"/>
          <w:szCs w:val="15"/>
          <w:color w:val="auto"/>
        </w:rPr>
        <w:t>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connection with the conduct of clinical trials for each of our product candidates, we face many risks, including the risks that:</w:t>
      </w:r>
    </w:p>
    <w:p>
      <w:pPr>
        <w:spacing w:after="0" w:line="210" w:lineRule="exact"/>
        <w:rPr>
          <w:sz w:val="20"/>
          <w:szCs w:val="20"/>
          <w:color w:val="auto"/>
        </w:rPr>
      </w:pPr>
    </w:p>
    <w:p>
      <w:pPr>
        <w:ind w:left="860" w:hanging="438"/>
        <w:spacing w:after="0"/>
        <w:tabs>
          <w:tab w:leader="none" w:pos="8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product candidate may not prove to be effective in treating the targeted indication;</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clinical trial participants and/or patients may experience serious adverse events or other undesirable drug-related side effects;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results may not confirm the positive results of earlier trials;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FDA or other regulatory authorities may not agree with our proposed development plans or accept the results of completed clinical trials; and</w:t>
      </w:r>
    </w:p>
    <w:p>
      <w:pPr>
        <w:spacing w:after="0" w:line="198" w:lineRule="exact"/>
        <w:rPr>
          <w:rFonts w:ascii="Arial" w:cs="Arial" w:eastAsia="Arial" w:hAnsi="Arial"/>
          <w:sz w:val="15"/>
          <w:szCs w:val="15"/>
          <w:color w:val="auto"/>
        </w:rPr>
      </w:pPr>
    </w:p>
    <w:p>
      <w:pPr>
        <w:ind w:left="860" w:hanging="438"/>
        <w:spacing w:after="0" w:line="274" w:lineRule="auto"/>
        <w:tabs>
          <w:tab w:leader="none" w:pos="8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52" w:lineRule="exact"/>
        <w:rPr>
          <w:sz w:val="20"/>
          <w:szCs w:val="20"/>
          <w:color w:val="auto"/>
        </w:rPr>
      </w:pPr>
    </w:p>
    <w:p>
      <w:pPr>
        <w:ind w:right="80" w:firstLine="440"/>
        <w:spacing w:after="0" w:line="263" w:lineRule="auto"/>
        <w:rPr>
          <w:sz w:val="20"/>
          <w:szCs w:val="20"/>
          <w:color w:val="auto"/>
        </w:rPr>
      </w:pPr>
      <w:r>
        <w:rPr>
          <w:rFonts w:ascii="Arial" w:cs="Arial" w:eastAsia="Arial" w:hAnsi="Arial"/>
          <w:sz w:val="15"/>
          <w:szCs w:val="15"/>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06" w:lineRule="exact"/>
        <w:rPr>
          <w:sz w:val="20"/>
          <w:szCs w:val="20"/>
          <w:color w:val="auto"/>
        </w:rPr>
      </w:pPr>
    </w:p>
    <w:p>
      <w:pPr>
        <w:ind w:right="180" w:firstLine="440"/>
        <w:spacing w:after="0" w:line="284" w:lineRule="auto"/>
        <w:rPr>
          <w:sz w:val="20"/>
          <w:szCs w:val="20"/>
          <w:color w:val="auto"/>
        </w:rPr>
      </w:pPr>
      <w:r>
        <w:rPr>
          <w:rFonts w:ascii="Arial" w:cs="Arial" w:eastAsia="Arial" w:hAnsi="Arial"/>
          <w:sz w:val="14"/>
          <w:szCs w:val="14"/>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59" w:lineRule="exact"/>
        <w:rPr>
          <w:sz w:val="20"/>
          <w:szCs w:val="20"/>
          <w:color w:val="auto"/>
        </w:rPr>
      </w:pPr>
    </w:p>
    <w:p>
      <w:pPr>
        <w:ind w:right="80" w:firstLine="440"/>
        <w:spacing w:after="0" w:line="274" w:lineRule="auto"/>
        <w:rPr>
          <w:sz w:val="20"/>
          <w:szCs w:val="20"/>
          <w:color w:val="auto"/>
        </w:rPr>
      </w:pPr>
      <w:r>
        <w:rPr>
          <w:rFonts w:ascii="Arial" w:cs="Arial" w:eastAsia="Arial" w:hAnsi="Arial"/>
          <w:sz w:val="15"/>
          <w:szCs w:val="15"/>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32" w:name="page33"/>
    <w:bookmarkEnd w:id="32"/>
    <w:p>
      <w:pPr>
        <w:ind w:right="80"/>
        <w:spacing w:after="0" w:line="269" w:lineRule="auto"/>
        <w:rPr>
          <w:sz w:val="20"/>
          <w:szCs w:val="20"/>
          <w:color w:val="auto"/>
        </w:rPr>
      </w:pPr>
      <w:r>
        <w:rPr>
          <w:rFonts w:ascii="Arial" w:cs="Arial" w:eastAsia="Arial" w:hAnsi="Arial"/>
          <w:sz w:val="15"/>
          <w:szCs w:val="15"/>
          <w:color w:val="auto"/>
        </w:rPr>
        <w:t>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78" w:lineRule="exact"/>
        <w:rPr>
          <w:sz w:val="20"/>
          <w:szCs w:val="20"/>
          <w:color w:val="auto"/>
        </w:rPr>
      </w:pPr>
    </w:p>
    <w:p>
      <w:pPr>
        <w:ind w:right="20" w:firstLine="440"/>
        <w:spacing w:after="0" w:line="262" w:lineRule="auto"/>
        <w:rPr>
          <w:sz w:val="20"/>
          <w:szCs w:val="20"/>
          <w:color w:val="auto"/>
        </w:rPr>
      </w:pPr>
      <w:r>
        <w:rPr>
          <w:rFonts w:ascii="Arial" w:cs="Arial" w:eastAsia="Arial" w:hAnsi="Arial"/>
          <w:sz w:val="15"/>
          <w:szCs w:val="15"/>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76" w:lineRule="exact"/>
        <w:rPr>
          <w:sz w:val="20"/>
          <w:szCs w:val="20"/>
          <w:color w:val="auto"/>
        </w:rPr>
      </w:pPr>
    </w:p>
    <w:p>
      <w:pPr>
        <w:ind w:firstLine="440"/>
        <w:spacing w:after="0" w:line="274" w:lineRule="auto"/>
        <w:rPr>
          <w:sz w:val="20"/>
          <w:szCs w:val="20"/>
          <w:color w:val="auto"/>
        </w:rPr>
      </w:pPr>
      <w:r>
        <w:rPr>
          <w:rFonts w:ascii="Arial" w:cs="Arial" w:eastAsia="Arial" w:hAnsi="Arial"/>
          <w:sz w:val="15"/>
          <w:szCs w:val="15"/>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may still face future development and regulatory difficulties.</w:t>
      </w:r>
    </w:p>
    <w:p>
      <w:pPr>
        <w:spacing w:after="0" w:line="106" w:lineRule="exact"/>
        <w:rPr>
          <w:sz w:val="20"/>
          <w:szCs w:val="20"/>
          <w:color w:val="auto"/>
        </w:rPr>
      </w:pPr>
    </w:p>
    <w:p>
      <w:pPr>
        <w:ind w:right="60" w:firstLine="440"/>
        <w:spacing w:after="0" w:line="269" w:lineRule="auto"/>
        <w:rPr>
          <w:sz w:val="20"/>
          <w:szCs w:val="20"/>
          <w:color w:val="auto"/>
        </w:rPr>
      </w:pPr>
      <w:r>
        <w:rPr>
          <w:rFonts w:ascii="Arial" w:cs="Arial" w:eastAsia="Arial" w:hAnsi="Arial"/>
          <w:sz w:val="15"/>
          <w:szCs w:val="15"/>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67" w:lineRule="exact"/>
        <w:rPr>
          <w:sz w:val="20"/>
          <w:szCs w:val="20"/>
          <w:color w:val="auto"/>
        </w:rPr>
      </w:pPr>
    </w:p>
    <w:p>
      <w:pPr>
        <w:ind w:right="40" w:firstLine="440"/>
        <w:spacing w:after="0" w:line="266" w:lineRule="auto"/>
        <w:rPr>
          <w:sz w:val="20"/>
          <w:szCs w:val="20"/>
          <w:color w:val="auto"/>
        </w:rPr>
      </w:pPr>
      <w:r>
        <w:rPr>
          <w:rFonts w:ascii="Arial" w:cs="Arial" w:eastAsia="Arial" w:hAnsi="Arial"/>
          <w:sz w:val="15"/>
          <w:szCs w:val="15"/>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181" w:lineRule="exact"/>
        <w:rPr>
          <w:sz w:val="20"/>
          <w:szCs w:val="20"/>
          <w:color w:val="auto"/>
        </w:rPr>
      </w:pPr>
    </w:p>
    <w:p>
      <w:pPr>
        <w:ind w:left="860" w:hanging="438"/>
        <w:spacing w:after="0"/>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issue warning letters or untitled letters;</w:t>
      </w:r>
    </w:p>
    <w:p>
      <w:pPr>
        <w:spacing w:after="0" w:line="187" w:lineRule="exact"/>
        <w:rPr>
          <w:rFonts w:ascii="Arial" w:cs="Arial" w:eastAsia="Arial" w:hAnsi="Arial"/>
          <w:sz w:val="15"/>
          <w:szCs w:val="15"/>
          <w:color w:val="auto"/>
        </w:rPr>
      </w:pPr>
    </w:p>
    <w:p>
      <w:pPr>
        <w:ind w:left="860" w:right="160" w:hanging="438"/>
        <w:spacing w:after="0" w:line="290" w:lineRule="auto"/>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require us to enter into a consent decree, which can include imposition of various fines, reimbursements for inspection costs, required due dates for specific actions and penalties for non-compliance;</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impose other civil or criminal penalties;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suspend regulatory approval;</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suspend any ongoing clinical trials;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0"/>
          </w:cols>
          <w:pgMar w:left="240" w:top="326" w:right="279" w:bottom="1440" w:gutter="0" w:footer="0" w:header="0"/>
        </w:sectPr>
      </w:pPr>
    </w:p>
    <w:bookmarkStart w:id="33" w:name="page34"/>
    <w:bookmarkEnd w:id="33"/>
    <w:p>
      <w:pPr>
        <w:ind w:left="860" w:hanging="438"/>
        <w:spacing w:after="0"/>
        <w:tabs>
          <w:tab w:leader="none" w:pos="8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refuse to approve pending applications or supplements to approved applications filed by us;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impose restrictions on operations, including costly new manufacturing requirements; or</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seize or detain products or require a product recall.</w:t>
      </w:r>
    </w:p>
    <w:p>
      <w:pPr>
        <w:spacing w:after="0" w:line="199" w:lineRule="exact"/>
        <w:rPr>
          <w:sz w:val="20"/>
          <w:szCs w:val="20"/>
          <w:color w:val="auto"/>
        </w:rPr>
      </w:pPr>
    </w:p>
    <w:p>
      <w:pPr>
        <w:ind w:right="680"/>
        <w:spacing w:after="0" w:line="290" w:lineRule="auto"/>
        <w:rPr>
          <w:sz w:val="20"/>
          <w:szCs w:val="20"/>
          <w:color w:val="auto"/>
        </w:rPr>
      </w:pPr>
      <w:r>
        <w:rPr>
          <w:rFonts w:ascii="Arial" w:cs="Arial" w:eastAsia="Arial" w:hAnsi="Arial"/>
          <w:sz w:val="15"/>
          <w:szCs w:val="15"/>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47" w:lineRule="exact"/>
        <w:rPr>
          <w:sz w:val="20"/>
          <w:szCs w:val="20"/>
          <w:color w:val="auto"/>
        </w:rPr>
      </w:pPr>
    </w:p>
    <w:p>
      <w:pPr>
        <w:ind w:right="240" w:firstLine="440"/>
        <w:spacing w:after="0" w:line="302" w:lineRule="auto"/>
        <w:rPr>
          <w:sz w:val="20"/>
          <w:szCs w:val="20"/>
          <w:color w:val="auto"/>
        </w:rPr>
      </w:pPr>
      <w:r>
        <w:rPr>
          <w:rFonts w:ascii="Arial" w:cs="Arial" w:eastAsia="Arial" w:hAnsi="Arial"/>
          <w:sz w:val="14"/>
          <w:szCs w:val="14"/>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47" w:lineRule="exact"/>
        <w:rPr>
          <w:sz w:val="20"/>
          <w:szCs w:val="20"/>
          <w:color w:val="auto"/>
        </w:rPr>
      </w:pPr>
    </w:p>
    <w:p>
      <w:pPr>
        <w:ind w:right="220" w:firstLine="440"/>
        <w:spacing w:after="0" w:line="290" w:lineRule="auto"/>
        <w:rPr>
          <w:sz w:val="20"/>
          <w:szCs w:val="20"/>
          <w:color w:val="auto"/>
        </w:rPr>
      </w:pPr>
      <w:r>
        <w:rPr>
          <w:rFonts w:ascii="Arial" w:cs="Arial" w:eastAsia="Arial" w:hAnsi="Arial"/>
          <w:sz w:val="15"/>
          <w:szCs w:val="15"/>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63" w:lineRule="exact"/>
        <w:rPr>
          <w:sz w:val="20"/>
          <w:szCs w:val="20"/>
          <w:color w:val="auto"/>
        </w:rPr>
      </w:pPr>
    </w:p>
    <w:p>
      <w:pPr>
        <w:ind w:left="860" w:hanging="438"/>
        <w:spacing w:after="0"/>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regulatory authorities may withdraw their approval of the product or place restrictions on the way it is prescribed;</w:t>
      </w:r>
    </w:p>
    <w:p>
      <w:pPr>
        <w:spacing w:after="0" w:line="187" w:lineRule="exact"/>
        <w:rPr>
          <w:rFonts w:ascii="Arial" w:cs="Arial" w:eastAsia="Arial" w:hAnsi="Arial"/>
          <w:sz w:val="15"/>
          <w:szCs w:val="15"/>
          <w:color w:val="auto"/>
        </w:rPr>
      </w:pPr>
    </w:p>
    <w:p>
      <w:pPr>
        <w:ind w:left="860" w:hanging="438"/>
        <w:spacing w:after="0"/>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regulatory authorities may require a larger clinical benefit for approval to offset the risk;</w:t>
      </w:r>
    </w:p>
    <w:p>
      <w:pPr>
        <w:spacing w:after="0" w:line="198" w:lineRule="exact"/>
        <w:rPr>
          <w:rFonts w:ascii="Arial" w:cs="Arial" w:eastAsia="Arial" w:hAnsi="Arial"/>
          <w:sz w:val="15"/>
          <w:szCs w:val="15"/>
          <w:color w:val="auto"/>
        </w:rPr>
      </w:pPr>
    </w:p>
    <w:p>
      <w:pPr>
        <w:ind w:left="860" w:right="480" w:hanging="438"/>
        <w:spacing w:after="0" w:line="290" w:lineRule="auto"/>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that could diminish the usage of the product or otherwise limit the commercial success of the product;</w:t>
      </w:r>
    </w:p>
    <w:p>
      <w:pPr>
        <w:spacing w:after="0" w:line="140" w:lineRule="exact"/>
        <w:rPr>
          <w:rFonts w:ascii="Arial" w:cs="Arial" w:eastAsia="Arial" w:hAnsi="Arial"/>
          <w:sz w:val="15"/>
          <w:szCs w:val="15"/>
          <w:color w:val="auto"/>
        </w:rPr>
      </w:pPr>
    </w:p>
    <w:p>
      <w:pPr>
        <w:ind w:left="860" w:right="140" w:hanging="438"/>
        <w:spacing w:after="0" w:line="290" w:lineRule="auto"/>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may be required to change the way the product is administered, conduct additional clinical trials or change the labeling of the product or implement a risk evaluation and mitigation strategy;</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may choose to discontinue sale of the product;</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may not be able to enter into collaboration agreements on acceptable terms and execute our business model; and</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9"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47" w:lineRule="exact"/>
        <w:rPr>
          <w:sz w:val="20"/>
          <w:szCs w:val="20"/>
          <w:color w:val="auto"/>
        </w:rPr>
      </w:pPr>
    </w:p>
    <w:p>
      <w:pPr>
        <w:ind w:right="440" w:firstLine="440"/>
        <w:spacing w:after="0" w:line="294" w:lineRule="auto"/>
        <w:rPr>
          <w:sz w:val="20"/>
          <w:szCs w:val="20"/>
          <w:color w:val="auto"/>
        </w:rPr>
      </w:pPr>
      <w:r>
        <w:rPr>
          <w:rFonts w:ascii="Arial" w:cs="Arial" w:eastAsia="Arial" w:hAnsi="Arial"/>
          <w:sz w:val="14"/>
          <w:szCs w:val="14"/>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commencement and completion of clinical trials can be delayed for a variety of other reasons, including delays in:</w:t>
      </w:r>
    </w:p>
    <w:p>
      <w:pPr>
        <w:spacing w:after="0" w:line="210" w:lineRule="exact"/>
        <w:rPr>
          <w:sz w:val="20"/>
          <w:szCs w:val="20"/>
          <w:color w:val="auto"/>
        </w:rPr>
      </w:pPr>
    </w:p>
    <w:p>
      <w:pPr>
        <w:ind w:left="860" w:hanging="438"/>
        <w:spacing w:after="0"/>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regulatory approval to commence or amend a clinical trial;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315" w:right="259" w:bottom="1440" w:gutter="0" w:footer="0" w:header="0"/>
        </w:sectPr>
      </w:pPr>
    </w:p>
    <w:bookmarkStart w:id="34" w:name="page35"/>
    <w:bookmarkEnd w:id="34"/>
    <w:p>
      <w:pPr>
        <w:ind w:left="860" w:right="580" w:hanging="438"/>
        <w:spacing w:after="0" w:line="290" w:lineRule="auto"/>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recruiting and enrolling patients to participate in clinical trials;</w:t>
      </w:r>
    </w:p>
    <w:p>
      <w:pPr>
        <w:spacing w:after="0" w:line="198" w:lineRule="exact"/>
        <w:rPr>
          <w:rFonts w:ascii="Arial" w:cs="Arial" w:eastAsia="Arial" w:hAnsi="Arial"/>
          <w:sz w:val="15"/>
          <w:szCs w:val="15"/>
          <w:color w:val="auto"/>
        </w:rPr>
      </w:pPr>
    </w:p>
    <w:p>
      <w:pPr>
        <w:ind w:left="860" w:right="80" w:hanging="438"/>
        <w:spacing w:after="0" w:line="290" w:lineRule="auto"/>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manufacturing sufficient quantities of a product candidate; and</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IRB approval or approval from foreign counterparts to conduct or amend a clinical trial at a prospective site.</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addition, a clinical trial may be delayed, suspended or terminated by us, the FDA or other regulatory authorities due to a number of factors, including:</w:t>
      </w:r>
    </w:p>
    <w:p>
      <w:pPr>
        <w:spacing w:after="0" w:line="199" w:lineRule="exact"/>
        <w:rPr>
          <w:sz w:val="20"/>
          <w:szCs w:val="20"/>
          <w:color w:val="auto"/>
        </w:rPr>
      </w:pPr>
    </w:p>
    <w:p>
      <w:pPr>
        <w:ind w:left="860" w:hanging="438"/>
        <w:spacing w:after="0" w:line="274" w:lineRule="auto"/>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51" w:lineRule="exact"/>
        <w:rPr>
          <w:rFonts w:ascii="Arial" w:cs="Arial" w:eastAsia="Arial" w:hAnsi="Arial"/>
          <w:sz w:val="15"/>
          <w:szCs w:val="15"/>
          <w:color w:val="auto"/>
        </w:rPr>
      </w:pPr>
    </w:p>
    <w:p>
      <w:pPr>
        <w:ind w:left="860" w:right="180" w:hanging="438"/>
        <w:spacing w:after="0" w:line="274" w:lineRule="auto"/>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51" w:lineRule="exact"/>
        <w:rPr>
          <w:rFonts w:ascii="Arial" w:cs="Arial" w:eastAsia="Arial" w:hAnsi="Arial"/>
          <w:sz w:val="15"/>
          <w:szCs w:val="15"/>
          <w:color w:val="auto"/>
        </w:rPr>
      </w:pPr>
    </w:p>
    <w:p>
      <w:pPr>
        <w:ind w:left="860" w:right="80" w:hanging="438"/>
        <w:spacing w:after="0" w:line="290" w:lineRule="auto"/>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lower than anticipated enrollment or retention rates of patients in clinical trials;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new information suggesting unacceptable risk to subjects or unforeseen safety issues or any determination that a clinical trial presents unacceptable health risks;</w:t>
      </w:r>
    </w:p>
    <w:p>
      <w:pPr>
        <w:spacing w:after="0" w:line="210" w:lineRule="exact"/>
        <w:rPr>
          <w:rFonts w:ascii="Arial" w:cs="Arial" w:eastAsia="Arial" w:hAnsi="Arial"/>
          <w:sz w:val="14"/>
          <w:szCs w:val="14"/>
          <w:color w:val="auto"/>
        </w:rPr>
      </w:pPr>
    </w:p>
    <w:p>
      <w:pPr>
        <w:ind w:left="860" w:hanging="438"/>
        <w:spacing w:after="0"/>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insufficient supply or deficient quality of product candidates or other materials necessary for the conduct of our clinical trials;</w:t>
      </w:r>
    </w:p>
    <w:p>
      <w:pPr>
        <w:spacing w:after="0" w:line="198" w:lineRule="exact"/>
        <w:rPr>
          <w:rFonts w:ascii="Arial" w:cs="Arial" w:eastAsia="Arial" w:hAnsi="Arial"/>
          <w:sz w:val="15"/>
          <w:szCs w:val="15"/>
          <w:color w:val="auto"/>
        </w:rPr>
      </w:pPr>
    </w:p>
    <w:p>
      <w:pPr>
        <w:ind w:left="860" w:right="40" w:hanging="438"/>
        <w:spacing w:after="0" w:line="290" w:lineRule="auto"/>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40" w:lineRule="exact"/>
        <w:rPr>
          <w:rFonts w:ascii="Arial" w:cs="Arial" w:eastAsia="Arial" w:hAnsi="Arial"/>
          <w:sz w:val="15"/>
          <w:szCs w:val="15"/>
          <w:color w:val="auto"/>
        </w:rPr>
      </w:pPr>
    </w:p>
    <w:p>
      <w:pPr>
        <w:ind w:left="860" w:right="40" w:hanging="438"/>
        <w:spacing w:after="0" w:line="290" w:lineRule="auto"/>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40" w:lineRule="exact"/>
        <w:rPr>
          <w:sz w:val="20"/>
          <w:szCs w:val="20"/>
          <w:color w:val="auto"/>
        </w:rPr>
      </w:pPr>
    </w:p>
    <w:p>
      <w:pPr>
        <w:ind w:firstLine="440"/>
        <w:spacing w:after="0" w:line="269" w:lineRule="auto"/>
        <w:rPr>
          <w:sz w:val="20"/>
          <w:szCs w:val="20"/>
          <w:color w:val="auto"/>
        </w:rPr>
      </w:pPr>
      <w:r>
        <w:rPr>
          <w:rFonts w:ascii="Arial" w:cs="Arial" w:eastAsia="Arial" w:hAnsi="Arial"/>
          <w:sz w:val="15"/>
          <w:szCs w:val="15"/>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0"/>
          </w:cols>
          <w:pgMar w:left="240" w:top="315" w:right="279" w:bottom="1440" w:gutter="0" w:footer="0" w:header="0"/>
        </w:sectPr>
      </w:pPr>
    </w:p>
    <w:bookmarkStart w:id="35" w:name="page36"/>
    <w:bookmarkEnd w:id="35"/>
    <w:p>
      <w:pPr>
        <w:ind w:right="540"/>
        <w:spacing w:after="0" w:line="290" w:lineRule="auto"/>
        <w:rPr>
          <w:sz w:val="20"/>
          <w:szCs w:val="20"/>
          <w:color w:val="auto"/>
        </w:rPr>
      </w:pPr>
      <w:r>
        <w:rPr>
          <w:rFonts w:ascii="Arial" w:cs="Arial" w:eastAsia="Arial" w:hAnsi="Arial"/>
          <w:sz w:val="15"/>
          <w:szCs w:val="15"/>
          <w:color w:val="auto"/>
        </w:rPr>
        <w:t>protocol may require us to resubmit our clinical trial protocols to IRBs or their foreign counterparts for reexamination, which may delay or otherwise impact the costs, timing or successful completion of a clinical trial.</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any rights to develop and market any of our product candidates could significantly harm our business.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license the rights to certain compounds to develop and market our product candidates.</w:t>
      </w:r>
    </w:p>
    <w:p>
      <w:pPr>
        <w:spacing w:after="0" w:line="210" w:lineRule="exact"/>
        <w:rPr>
          <w:sz w:val="20"/>
          <w:szCs w:val="20"/>
          <w:color w:val="auto"/>
        </w:rPr>
      </w:pPr>
    </w:p>
    <w:p>
      <w:pPr>
        <w:ind w:firstLine="440"/>
        <w:spacing w:after="0" w:line="274" w:lineRule="auto"/>
        <w:rPr>
          <w:sz w:val="20"/>
          <w:szCs w:val="20"/>
          <w:color w:val="auto"/>
        </w:rPr>
      </w:pPr>
      <w:r>
        <w:rPr>
          <w:rFonts w:ascii="Arial" w:cs="Arial" w:eastAsia="Arial" w:hAnsi="Arial"/>
          <w:sz w:val="15"/>
          <w:szCs w:val="15"/>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75" w:lineRule="exact"/>
        <w:rPr>
          <w:sz w:val="20"/>
          <w:szCs w:val="20"/>
          <w:color w:val="auto"/>
        </w:rPr>
      </w:pPr>
    </w:p>
    <w:p>
      <w:pPr>
        <w:ind w:right="560" w:firstLine="440"/>
        <w:spacing w:after="0" w:line="290" w:lineRule="auto"/>
        <w:rPr>
          <w:sz w:val="20"/>
          <w:szCs w:val="20"/>
          <w:color w:val="auto"/>
        </w:rPr>
      </w:pPr>
      <w:r>
        <w:rPr>
          <w:rFonts w:ascii="Arial" w:cs="Arial" w:eastAsia="Arial" w:hAnsi="Arial"/>
          <w:sz w:val="15"/>
          <w:szCs w:val="15"/>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firstLine="440"/>
        <w:spacing w:after="0" w:line="284" w:lineRule="auto"/>
        <w:rPr>
          <w:sz w:val="20"/>
          <w:szCs w:val="20"/>
          <w:color w:val="auto"/>
        </w:rPr>
      </w:pPr>
      <w:r>
        <w:rPr>
          <w:rFonts w:ascii="Arial" w:cs="Arial" w:eastAsia="Arial" w:hAnsi="Arial"/>
          <w:sz w:val="14"/>
          <w:szCs w:val="14"/>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59" w:lineRule="exact"/>
        <w:rPr>
          <w:sz w:val="20"/>
          <w:szCs w:val="20"/>
          <w:color w:val="auto"/>
        </w:rPr>
      </w:pPr>
    </w:p>
    <w:p>
      <w:pPr>
        <w:ind w:right="60" w:firstLine="440"/>
        <w:spacing w:after="0" w:line="269" w:lineRule="auto"/>
        <w:rPr>
          <w:sz w:val="20"/>
          <w:szCs w:val="20"/>
          <w:color w:val="auto"/>
        </w:rPr>
      </w:pPr>
      <w:r>
        <w:rPr>
          <w:rFonts w:ascii="Arial" w:cs="Arial" w:eastAsia="Arial" w:hAnsi="Arial"/>
          <w:sz w:val="15"/>
          <w:szCs w:val="15"/>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78" w:lineRule="exact"/>
        <w:rPr>
          <w:sz w:val="20"/>
          <w:szCs w:val="20"/>
          <w:color w:val="auto"/>
        </w:rPr>
      </w:pPr>
    </w:p>
    <w:p>
      <w:pPr>
        <w:ind w:right="120" w:firstLine="440"/>
        <w:spacing w:after="0" w:line="269" w:lineRule="auto"/>
        <w:rPr>
          <w:sz w:val="20"/>
          <w:szCs w:val="20"/>
          <w:color w:val="auto"/>
        </w:rPr>
      </w:pPr>
      <w:r>
        <w:rPr>
          <w:rFonts w:ascii="Arial" w:cs="Arial" w:eastAsia="Arial" w:hAnsi="Arial"/>
          <w:sz w:val="15"/>
          <w:szCs w:val="15"/>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260" w:lineRule="exact"/>
        <w:rPr>
          <w:sz w:val="20"/>
          <w:szCs w:val="20"/>
          <w:color w:val="auto"/>
        </w:rPr>
      </w:pPr>
    </w:p>
    <w:p>
      <w:pPr>
        <w:ind w:right="320"/>
        <w:spacing w:after="0" w:line="328" w:lineRule="auto"/>
        <w:rPr>
          <w:sz w:val="20"/>
          <w:szCs w:val="20"/>
          <w:color w:val="auto"/>
        </w:rPr>
      </w:pPr>
      <w:r>
        <w:rPr>
          <w:rFonts w:ascii="Arial" w:cs="Arial" w:eastAsia="Arial" w:hAnsi="Arial"/>
          <w:sz w:val="14"/>
          <w:szCs w:val="14"/>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24" w:lineRule="exact"/>
        <w:rPr>
          <w:sz w:val="20"/>
          <w:szCs w:val="20"/>
          <w:color w:val="auto"/>
        </w:rPr>
      </w:pPr>
    </w:p>
    <w:p>
      <w:pPr>
        <w:ind w:right="380" w:firstLine="440"/>
        <w:spacing w:after="0" w:line="290" w:lineRule="auto"/>
        <w:rPr>
          <w:sz w:val="20"/>
          <w:szCs w:val="20"/>
          <w:color w:val="auto"/>
        </w:rPr>
      </w:pPr>
      <w:r>
        <w:rPr>
          <w:rFonts w:ascii="Arial" w:cs="Arial" w:eastAsia="Arial" w:hAnsi="Arial"/>
          <w:sz w:val="15"/>
          <w:szCs w:val="15"/>
          <w:color w:val="auto"/>
        </w:rPr>
        <w:t>A key aspect of our strategy is to seek collaborations with partners, such as large pharmaceutical companies, that are willing to conduct later-stage clinical trials and further develop and commercialize selected product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36" w:name="page37"/>
    <w:bookmarkEnd w:id="36"/>
    <w:p>
      <w:pPr>
        <w:ind w:right="580"/>
        <w:spacing w:after="0" w:line="290" w:lineRule="auto"/>
        <w:rPr>
          <w:sz w:val="20"/>
          <w:szCs w:val="20"/>
          <w:color w:val="auto"/>
        </w:rPr>
      </w:pPr>
      <w:r>
        <w:rPr>
          <w:rFonts w:ascii="Arial" w:cs="Arial" w:eastAsia="Arial" w:hAnsi="Arial"/>
          <w:sz w:val="15"/>
          <w:szCs w:val="15"/>
          <w:color w:val="auto"/>
        </w:rPr>
        <w:t>candidates. To date, we have not entered into any such collaborative arrangements, and we may not be able to enter into any collaborations or otherwise monetize these product candidates on acceptable terms, if at all.</w:t>
      </w:r>
    </w:p>
    <w:p>
      <w:pPr>
        <w:spacing w:after="0" w:line="152" w:lineRule="exact"/>
        <w:rPr>
          <w:sz w:val="20"/>
          <w:szCs w:val="20"/>
          <w:color w:val="auto"/>
        </w:rPr>
      </w:pPr>
    </w:p>
    <w:p>
      <w:pPr>
        <w:ind w:right="100" w:firstLine="440"/>
        <w:spacing w:after="0" w:line="274" w:lineRule="auto"/>
        <w:rPr>
          <w:sz w:val="20"/>
          <w:szCs w:val="20"/>
          <w:color w:val="auto"/>
        </w:rPr>
      </w:pPr>
      <w:r>
        <w:rPr>
          <w:rFonts w:ascii="Arial" w:cs="Arial" w:eastAsia="Arial" w:hAnsi="Arial"/>
          <w:sz w:val="15"/>
          <w:szCs w:val="15"/>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175" w:lineRule="exact"/>
        <w:rPr>
          <w:sz w:val="20"/>
          <w:szCs w:val="20"/>
          <w:color w:val="auto"/>
        </w:rPr>
      </w:pPr>
    </w:p>
    <w:p>
      <w:pPr>
        <w:ind w:left="1300" w:hanging="437"/>
        <w:spacing w:after="0"/>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does not have sufficient resources or decides not to devote the necessary resources due to internal constraints such as limited cash or human resources;</w:t>
      </w:r>
    </w:p>
    <w:p>
      <w:pPr>
        <w:spacing w:after="0" w:line="198" w:lineRule="exact"/>
        <w:rPr>
          <w:rFonts w:ascii="Arial" w:cs="Arial" w:eastAsia="Arial" w:hAnsi="Arial"/>
          <w:sz w:val="14"/>
          <w:szCs w:val="14"/>
          <w:color w:val="auto"/>
        </w:rPr>
      </w:pPr>
    </w:p>
    <w:p>
      <w:pPr>
        <w:ind w:left="1300" w:hanging="437"/>
        <w:spacing w:after="0"/>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decides to pursue a competitive potential product developed outside of the collaboration;</w:t>
      </w:r>
    </w:p>
    <w:p>
      <w:pPr>
        <w:spacing w:after="0" w:line="198" w:lineRule="exact"/>
        <w:rPr>
          <w:rFonts w:ascii="Arial" w:cs="Arial" w:eastAsia="Arial" w:hAnsi="Arial"/>
          <w:sz w:val="15"/>
          <w:szCs w:val="15"/>
          <w:color w:val="auto"/>
        </w:rPr>
      </w:pPr>
    </w:p>
    <w:p>
      <w:pPr>
        <w:ind w:left="1300" w:hanging="437"/>
        <w:spacing w:after="0"/>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cannot obtain the necessary regulatory approvals;</w:t>
      </w:r>
    </w:p>
    <w:p>
      <w:pPr>
        <w:spacing w:after="0" w:line="198" w:lineRule="exact"/>
        <w:rPr>
          <w:rFonts w:ascii="Arial" w:cs="Arial" w:eastAsia="Arial" w:hAnsi="Arial"/>
          <w:sz w:val="15"/>
          <w:szCs w:val="15"/>
          <w:color w:val="auto"/>
        </w:rPr>
      </w:pPr>
    </w:p>
    <w:p>
      <w:pPr>
        <w:ind w:left="1300" w:hanging="437"/>
        <w:spacing w:after="0"/>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determines that the market opportunity is not attractive; or</w:t>
      </w:r>
    </w:p>
    <w:p>
      <w:pPr>
        <w:spacing w:after="0" w:line="198" w:lineRule="exact"/>
        <w:rPr>
          <w:rFonts w:ascii="Arial" w:cs="Arial" w:eastAsia="Arial" w:hAnsi="Arial"/>
          <w:sz w:val="15"/>
          <w:szCs w:val="15"/>
          <w:color w:val="auto"/>
        </w:rPr>
      </w:pPr>
    </w:p>
    <w:p>
      <w:pPr>
        <w:ind w:left="1300" w:hanging="437"/>
        <w:spacing w:after="0"/>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cannot manufacture the necessary materials in sufficient quantities from multiple sources or at a reasonable cost.</w:t>
      </w:r>
    </w:p>
    <w:p>
      <w:pPr>
        <w:spacing w:after="0" w:line="106" w:lineRule="exact"/>
        <w:rPr>
          <w:sz w:val="20"/>
          <w:szCs w:val="20"/>
          <w:color w:val="auto"/>
        </w:rPr>
      </w:pPr>
    </w:p>
    <w:p>
      <w:pPr>
        <w:ind w:right="540" w:firstLine="440"/>
        <w:spacing w:after="0" w:line="328" w:lineRule="auto"/>
        <w:rPr>
          <w:sz w:val="20"/>
          <w:szCs w:val="20"/>
          <w:color w:val="auto"/>
        </w:rPr>
      </w:pPr>
      <w:r>
        <w:rPr>
          <w:rFonts w:ascii="Arial" w:cs="Arial" w:eastAsia="Arial" w:hAnsi="Arial"/>
          <w:sz w:val="14"/>
          <w:szCs w:val="14"/>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ind w:right="40" w:firstLine="440"/>
        <w:spacing w:after="0" w:line="274" w:lineRule="auto"/>
        <w:rPr>
          <w:sz w:val="20"/>
          <w:szCs w:val="20"/>
          <w:color w:val="auto"/>
        </w:rPr>
      </w:pPr>
      <w:r>
        <w:rPr>
          <w:rFonts w:ascii="Arial" w:cs="Arial" w:eastAsia="Arial" w:hAnsi="Arial"/>
          <w:sz w:val="15"/>
          <w:szCs w:val="15"/>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terms under which we enter collaborations or raise additional equity or debt financing may harm our business and may significantly dilute stockholders’ ownership interests.</w:t>
      </w:r>
    </w:p>
    <w:p>
      <w:pPr>
        <w:spacing w:after="0" w:line="129" w:lineRule="exact"/>
        <w:rPr>
          <w:sz w:val="20"/>
          <w:szCs w:val="20"/>
          <w:color w:val="auto"/>
        </w:rPr>
      </w:pPr>
    </w:p>
    <w:p>
      <w:pPr>
        <w:ind w:right="160" w:firstLine="440"/>
        <w:spacing w:after="0" w:line="266" w:lineRule="auto"/>
        <w:rPr>
          <w:sz w:val="20"/>
          <w:szCs w:val="20"/>
          <w:color w:val="auto"/>
        </w:rPr>
      </w:pPr>
      <w:r>
        <w:rPr>
          <w:rFonts w:ascii="Arial" w:cs="Arial" w:eastAsia="Arial" w:hAnsi="Arial"/>
          <w:sz w:val="15"/>
          <w:szCs w:val="15"/>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59" w:lineRule="exact"/>
        <w:rPr>
          <w:sz w:val="20"/>
          <w:szCs w:val="20"/>
          <w:color w:val="auto"/>
        </w:rPr>
      </w:pPr>
    </w:p>
    <w:p>
      <w:pPr>
        <w:ind w:right="140" w:firstLine="440"/>
        <w:spacing w:after="0" w:line="269" w:lineRule="auto"/>
        <w:rPr>
          <w:sz w:val="20"/>
          <w:szCs w:val="20"/>
          <w:color w:val="auto"/>
        </w:rPr>
      </w:pPr>
      <w:r>
        <w:rPr>
          <w:rFonts w:ascii="Arial" w:cs="Arial" w:eastAsia="Arial" w:hAnsi="Arial"/>
          <w:sz w:val="15"/>
          <w:szCs w:val="15"/>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55" w:lineRule="exact"/>
        <w:rPr>
          <w:sz w:val="20"/>
          <w:szCs w:val="20"/>
          <w:color w:val="auto"/>
        </w:rPr>
      </w:pPr>
    </w:p>
    <w:p>
      <w:pPr>
        <w:ind w:right="140" w:firstLine="440"/>
        <w:spacing w:after="0" w:line="269" w:lineRule="auto"/>
        <w:rPr>
          <w:sz w:val="20"/>
          <w:szCs w:val="20"/>
          <w:color w:val="auto"/>
        </w:rPr>
      </w:pPr>
      <w:r>
        <w:rPr>
          <w:rFonts w:ascii="Arial" w:cs="Arial" w:eastAsia="Arial" w:hAnsi="Arial"/>
          <w:sz w:val="15"/>
          <w:szCs w:val="15"/>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222" w:right="219" w:bottom="1440" w:gutter="0" w:footer="0" w:header="0"/>
        </w:sectPr>
      </w:pPr>
    </w:p>
    <w:bookmarkStart w:id="37" w:name="page38"/>
    <w:bookmarkEnd w:id="37"/>
    <w:p>
      <w:pPr>
        <w:ind w:right="60"/>
        <w:spacing w:after="0" w:line="282" w:lineRule="auto"/>
        <w:rPr>
          <w:sz w:val="20"/>
          <w:szCs w:val="20"/>
          <w:color w:val="auto"/>
        </w:rPr>
      </w:pPr>
      <w:r>
        <w:rPr>
          <w:rFonts w:ascii="Arial" w:cs="Arial" w:eastAsia="Arial" w:hAnsi="Arial"/>
          <w:sz w:val="14"/>
          <w:szCs w:val="14"/>
          <w:color w:val="auto"/>
        </w:rPr>
        <w:t>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51" w:lineRule="exact"/>
        <w:rPr>
          <w:sz w:val="20"/>
          <w:szCs w:val="20"/>
          <w:color w:val="auto"/>
        </w:rPr>
      </w:pPr>
    </w:p>
    <w:p>
      <w:pPr>
        <w:ind w:right="580"/>
        <w:spacing w:after="0" w:line="290" w:lineRule="auto"/>
        <w:rPr>
          <w:sz w:val="20"/>
          <w:szCs w:val="20"/>
          <w:color w:val="auto"/>
        </w:rPr>
      </w:pPr>
      <w:r>
        <w:rPr>
          <w:rFonts w:ascii="Arial" w:cs="Arial" w:eastAsia="Arial" w:hAnsi="Arial"/>
          <w:sz w:val="15"/>
          <w:szCs w:val="15"/>
          <w:b w:val="1"/>
          <w:bCs w:val="1"/>
          <w:i w:val="1"/>
          <w:iCs w:val="1"/>
          <w:color w:val="auto"/>
        </w:rPr>
        <w:t>We rely on third party manufacturers to produce our product candidates, which may result in delays in our clinical trials and the commercialization of products, as well as increased costs.</w:t>
      </w:r>
    </w:p>
    <w:p>
      <w:pPr>
        <w:spacing w:after="0" w:line="47" w:lineRule="exact"/>
        <w:rPr>
          <w:sz w:val="20"/>
          <w:szCs w:val="20"/>
          <w:color w:val="auto"/>
        </w:rPr>
      </w:pPr>
    </w:p>
    <w:p>
      <w:pPr>
        <w:ind w:right="80" w:firstLine="440"/>
        <w:spacing w:after="0" w:line="266" w:lineRule="auto"/>
        <w:rPr>
          <w:sz w:val="20"/>
          <w:szCs w:val="20"/>
          <w:color w:val="auto"/>
        </w:rPr>
      </w:pPr>
      <w:r>
        <w:rPr>
          <w:rFonts w:ascii="Arial" w:cs="Arial" w:eastAsia="Arial" w:hAnsi="Arial"/>
          <w:sz w:val="15"/>
          <w:szCs w:val="15"/>
          <w:color w:val="auto"/>
        </w:rPr>
        <w:t>We have no manufacturing facilities, and we do not intend to develop facilities for the manufacture of our product candidates for clinical trials or commercial purposes in the foreseeable future. We contract with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4"/>
          <w:szCs w:val="14"/>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70" w:lineRule="exact"/>
        <w:rPr>
          <w:sz w:val="20"/>
          <w:szCs w:val="20"/>
          <w:color w:val="auto"/>
        </w:rPr>
      </w:pPr>
    </w:p>
    <w:p>
      <w:pPr>
        <w:ind w:right="20" w:firstLine="440"/>
        <w:spacing w:after="0" w:line="285" w:lineRule="auto"/>
        <w:rPr>
          <w:sz w:val="20"/>
          <w:szCs w:val="20"/>
          <w:color w:val="auto"/>
        </w:rPr>
      </w:pPr>
      <w:r>
        <w:rPr>
          <w:rFonts w:ascii="Arial" w:cs="Arial" w:eastAsia="Arial" w:hAnsi="Arial"/>
          <w:sz w:val="14"/>
          <w:szCs w:val="14"/>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59" w:lineRule="exact"/>
        <w:rPr>
          <w:sz w:val="20"/>
          <w:szCs w:val="20"/>
          <w:color w:val="auto"/>
        </w:rPr>
      </w:pPr>
    </w:p>
    <w:p>
      <w:pPr>
        <w:ind w:right="40" w:firstLine="440"/>
        <w:spacing w:after="0" w:line="274" w:lineRule="auto"/>
        <w:rPr>
          <w:sz w:val="20"/>
          <w:szCs w:val="20"/>
          <w:color w:val="auto"/>
        </w:rPr>
      </w:pPr>
      <w:r>
        <w:rPr>
          <w:rFonts w:ascii="Arial" w:cs="Arial" w:eastAsia="Arial" w:hAnsi="Arial"/>
          <w:sz w:val="15"/>
          <w:szCs w:val="15"/>
          <w:color w:val="auto"/>
        </w:rPr>
        <w:t>Our manufacturers are obligated to operate in accordance with FDA-mandated current good manufacturing practices, or cGMPs and, in some cases, International Convention on Harmonization, or ICH, standards. A failure of any of our third party manufacturers to establish and follow cGMPs and/or ICH standards and to document their adherence to such practices may lead to significant delays in our ability to timely conduct and complete clinical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38" w:name="page39"/>
    <w:bookmarkEnd w:id="38"/>
    <w:p>
      <w:pPr>
        <w:jc w:val="both"/>
        <w:ind w:right="120"/>
        <w:spacing w:after="0" w:line="264" w:lineRule="auto"/>
        <w:rPr>
          <w:sz w:val="20"/>
          <w:szCs w:val="20"/>
          <w:color w:val="auto"/>
        </w:rPr>
      </w:pPr>
      <w:r>
        <w:rPr>
          <w:rFonts w:ascii="Arial" w:cs="Arial" w:eastAsia="Arial" w:hAnsi="Arial"/>
          <w:sz w:val="15"/>
          <w:szCs w:val="15"/>
          <w:color w:val="auto"/>
        </w:rPr>
        <w:t>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06" w:lineRule="exact"/>
        <w:rPr>
          <w:sz w:val="20"/>
          <w:szCs w:val="20"/>
          <w:color w:val="auto"/>
        </w:rPr>
      </w:pPr>
    </w:p>
    <w:p>
      <w:pPr>
        <w:ind w:right="80" w:firstLine="440"/>
        <w:spacing w:after="0" w:line="262" w:lineRule="auto"/>
        <w:rPr>
          <w:sz w:val="20"/>
          <w:szCs w:val="20"/>
          <w:color w:val="auto"/>
        </w:rPr>
      </w:pPr>
      <w:r>
        <w:rPr>
          <w:rFonts w:ascii="Arial" w:cs="Arial" w:eastAsia="Arial" w:hAnsi="Arial"/>
          <w:sz w:val="15"/>
          <w:szCs w:val="15"/>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65" w:lineRule="exact"/>
        <w:rPr>
          <w:sz w:val="20"/>
          <w:szCs w:val="20"/>
          <w:color w:val="auto"/>
        </w:rPr>
      </w:pPr>
    </w:p>
    <w:p>
      <w:pPr>
        <w:ind w:right="980"/>
        <w:spacing w:after="0" w:line="290" w:lineRule="auto"/>
        <w:rPr>
          <w:sz w:val="20"/>
          <w:szCs w:val="20"/>
          <w:color w:val="auto"/>
        </w:rPr>
      </w:pPr>
      <w:r>
        <w:rPr>
          <w:rFonts w:ascii="Arial" w:cs="Arial" w:eastAsia="Arial" w:hAnsi="Arial"/>
          <w:sz w:val="15"/>
          <w:szCs w:val="15"/>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47" w:lineRule="exact"/>
        <w:rPr>
          <w:sz w:val="20"/>
          <w:szCs w:val="20"/>
          <w:color w:val="auto"/>
        </w:rPr>
      </w:pPr>
    </w:p>
    <w:p>
      <w:pPr>
        <w:ind w:firstLine="440"/>
        <w:spacing w:after="0" w:line="262" w:lineRule="auto"/>
        <w:rPr>
          <w:sz w:val="20"/>
          <w:szCs w:val="20"/>
          <w:color w:val="auto"/>
        </w:rPr>
      </w:pPr>
      <w:r>
        <w:rPr>
          <w:rFonts w:ascii="Arial" w:cs="Arial" w:eastAsia="Arial" w:hAnsi="Arial"/>
          <w:sz w:val="15"/>
          <w:szCs w:val="15"/>
          <w:color w:val="auto"/>
        </w:rPr>
        <w:t>We rely on the third party manufacturers of our product candidates to purchase from third 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i w:val="1"/>
          <w:iCs w:val="1"/>
          <w:color w:val="auto"/>
        </w:rPr>
        <w:t>Our product candidates, if approved for sale, may not gain acceptance among physicians, patients and the medical community, thereby limiting our potential to generate revenues.</w:t>
      </w:r>
    </w:p>
    <w:p>
      <w:pPr>
        <w:spacing w:after="0" w:line="129" w:lineRule="exact"/>
        <w:rPr>
          <w:sz w:val="20"/>
          <w:szCs w:val="20"/>
          <w:color w:val="auto"/>
        </w:rPr>
      </w:pPr>
    </w:p>
    <w:p>
      <w:pPr>
        <w:ind w:right="500" w:firstLine="440"/>
        <w:spacing w:after="0" w:line="290" w:lineRule="auto"/>
        <w:rPr>
          <w:sz w:val="20"/>
          <w:szCs w:val="20"/>
          <w:color w:val="auto"/>
        </w:rPr>
      </w:pPr>
      <w:r>
        <w:rPr>
          <w:rFonts w:ascii="Arial" w:cs="Arial" w:eastAsia="Arial" w:hAnsi="Arial"/>
          <w:sz w:val="15"/>
          <w:szCs w:val="15"/>
          <w:color w:val="auto"/>
        </w:rPr>
        <w:t>If one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47" w:lineRule="exact"/>
        <w:rPr>
          <w:sz w:val="20"/>
          <w:szCs w:val="20"/>
          <w:color w:val="auto"/>
        </w:rPr>
      </w:pPr>
    </w:p>
    <w:p>
      <w:pPr>
        <w:ind w:left="860" w:hanging="438"/>
        <w:spacing w:after="0"/>
        <w:tabs>
          <w:tab w:leader="none" w:pos="8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demonstration of efficacy;</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the standard of care for the targeted indication;</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relative convenience and ease of administration;</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prevalence and severity of any adverse side effects;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9" w:name="page40"/>
    <w:bookmarkEnd w:id="39"/>
    <w:p>
      <w:pPr>
        <w:ind w:left="860" w:hanging="438"/>
        <w:spacing w:after="0"/>
        <w:tabs>
          <w:tab w:leader="none" w:pos="8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availability, cost and potential advantages of alternative treatments, including less expensive generic drugs;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pricing and cost effectiveness, which may be subject to regulatory control;</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effectiveness of our or any of our partners’ sales and marketing strategies;</w:t>
      </w:r>
    </w:p>
    <w:p>
      <w:pPr>
        <w:spacing w:after="0" w:line="198" w:lineRule="exact"/>
        <w:rPr>
          <w:rFonts w:ascii="Arial" w:cs="Arial" w:eastAsia="Arial" w:hAnsi="Arial"/>
          <w:sz w:val="15"/>
          <w:szCs w:val="15"/>
          <w:color w:val="auto"/>
        </w:rPr>
      </w:pPr>
    </w:p>
    <w:p>
      <w:pPr>
        <w:ind w:left="880" w:right="4100" w:hanging="458"/>
        <w:spacing w:after="0" w:line="290" w:lineRule="auto"/>
        <w:tabs>
          <w:tab w:leader="none" w:pos="859"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product labeling or product insert required by the FDA or regulatory authority in other countries; and the availability of adequate third party insurance coverage or reimbursement.</w:t>
      </w:r>
    </w:p>
    <w:p>
      <w:pPr>
        <w:spacing w:after="0" w:line="140" w:lineRule="exact"/>
        <w:rPr>
          <w:sz w:val="20"/>
          <w:szCs w:val="20"/>
          <w:color w:val="auto"/>
        </w:rPr>
      </w:pPr>
    </w:p>
    <w:p>
      <w:pPr>
        <w:ind w:firstLine="440"/>
        <w:spacing w:after="0" w:line="287" w:lineRule="auto"/>
        <w:rPr>
          <w:sz w:val="20"/>
          <w:szCs w:val="20"/>
          <w:color w:val="auto"/>
        </w:rPr>
      </w:pPr>
      <w:r>
        <w:rPr>
          <w:rFonts w:ascii="Arial" w:cs="Arial" w:eastAsia="Arial" w:hAnsi="Arial"/>
          <w:sz w:val="14"/>
          <w:szCs w:val="14"/>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 party payers on the benefits of our product candidates may require significant resources and may never be successful.</w:t>
      </w:r>
    </w:p>
    <w:p>
      <w:pPr>
        <w:spacing w:after="0" w:line="145" w:lineRule="exact"/>
        <w:rPr>
          <w:sz w:val="20"/>
          <w:szCs w:val="20"/>
          <w:color w:val="auto"/>
        </w:rPr>
      </w:pPr>
    </w:p>
    <w:p>
      <w:pPr>
        <w:ind w:right="300"/>
        <w:spacing w:after="0" w:line="290" w:lineRule="auto"/>
        <w:rPr>
          <w:sz w:val="20"/>
          <w:szCs w:val="20"/>
          <w:color w:val="auto"/>
        </w:rPr>
      </w:pPr>
      <w:r>
        <w:rPr>
          <w:rFonts w:ascii="Arial" w:cs="Arial" w:eastAsia="Arial" w:hAnsi="Arial"/>
          <w:sz w:val="15"/>
          <w:szCs w:val="15"/>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47" w:lineRule="exact"/>
        <w:rPr>
          <w:sz w:val="20"/>
          <w:szCs w:val="20"/>
          <w:color w:val="auto"/>
        </w:rPr>
      </w:pPr>
    </w:p>
    <w:p>
      <w:pPr>
        <w:ind w:right="40" w:firstLine="440"/>
        <w:spacing w:after="0" w:line="294" w:lineRule="auto"/>
        <w:rPr>
          <w:sz w:val="20"/>
          <w:szCs w:val="20"/>
          <w:color w:val="auto"/>
        </w:rPr>
      </w:pPr>
      <w:r>
        <w:rPr>
          <w:rFonts w:ascii="Arial" w:cs="Arial" w:eastAsia="Arial" w:hAnsi="Arial"/>
          <w:sz w:val="14"/>
          <w:szCs w:val="14"/>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151" w:lineRule="exact"/>
        <w:rPr>
          <w:sz w:val="20"/>
          <w:szCs w:val="20"/>
          <w:color w:val="auto"/>
        </w:rPr>
      </w:pPr>
    </w:p>
    <w:p>
      <w:pPr>
        <w:ind w:right="140" w:firstLine="440"/>
        <w:spacing w:after="0" w:line="266" w:lineRule="auto"/>
        <w:rPr>
          <w:sz w:val="20"/>
          <w:szCs w:val="20"/>
          <w:color w:val="auto"/>
        </w:rPr>
      </w:pPr>
      <w:r>
        <w:rPr>
          <w:rFonts w:ascii="Arial" w:cs="Arial" w:eastAsia="Arial" w:hAnsi="Arial"/>
          <w:sz w:val="15"/>
          <w:szCs w:val="15"/>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 cause our sales to suffer. Even if third party payers make reimbursement available, payment levels may not be sufficient to make the sale of our products profitable.</w:t>
      </w:r>
    </w:p>
    <w:p>
      <w:pPr>
        <w:spacing w:after="0" w:line="181" w:lineRule="exact"/>
        <w:rPr>
          <w:sz w:val="20"/>
          <w:szCs w:val="20"/>
          <w:color w:val="auto"/>
        </w:rPr>
      </w:pPr>
    </w:p>
    <w:p>
      <w:pPr>
        <w:ind w:right="20" w:firstLine="440"/>
        <w:spacing w:after="0" w:line="263" w:lineRule="auto"/>
        <w:rPr>
          <w:sz w:val="20"/>
          <w:szCs w:val="20"/>
          <w:color w:val="auto"/>
        </w:rPr>
      </w:pPr>
      <w:r>
        <w:rPr>
          <w:rFonts w:ascii="Arial" w:cs="Arial" w:eastAsia="Arial" w:hAnsi="Arial"/>
          <w:sz w:val="15"/>
          <w:szCs w:val="15"/>
          <w:color w:val="auto"/>
        </w:rPr>
        <w:t>Market acceptance and sales of our current or future product candidates will depend in large part on global reimbursement policies and may be affected by future healthcare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62"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b w:val="1"/>
          <w:bCs w:val="1"/>
          <w:i w:val="1"/>
          <w:iCs w:val="1"/>
          <w:color w:val="auto"/>
        </w:rPr>
        <w:t>We are dependent on our management team, particularly our President and Chief Executive Officer, and our experienced scientific staff, and if we are unable to retain, motivate and attract key personnel, our product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development programs may be delayed and we may be unable to develop successfully or commercialize our product candidates.</w:t>
      </w:r>
    </w:p>
    <w:p>
      <w:pPr>
        <w:spacing w:after="0" w:line="106" w:lineRule="exact"/>
        <w:rPr>
          <w:sz w:val="20"/>
          <w:szCs w:val="20"/>
          <w:color w:val="auto"/>
        </w:rPr>
      </w:pPr>
    </w:p>
    <w:p>
      <w:pPr>
        <w:ind w:firstLine="440"/>
        <w:spacing w:after="0" w:line="263" w:lineRule="auto"/>
        <w:rPr>
          <w:sz w:val="20"/>
          <w:szCs w:val="20"/>
          <w:color w:val="auto"/>
        </w:rPr>
      </w:pPr>
      <w:r>
        <w:rPr>
          <w:rFonts w:ascii="Arial" w:cs="Arial" w:eastAsia="Arial" w:hAnsi="Arial"/>
          <w:sz w:val="15"/>
          <w:szCs w:val="15"/>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74" w:lineRule="exact"/>
        <w:rPr>
          <w:sz w:val="20"/>
          <w:szCs w:val="20"/>
          <w:color w:val="auto"/>
        </w:rPr>
      </w:pPr>
    </w:p>
    <w:p>
      <w:pPr>
        <w:ind w:right="20" w:firstLine="440"/>
        <w:spacing w:after="0" w:line="287" w:lineRule="auto"/>
        <w:rPr>
          <w:sz w:val="20"/>
          <w:szCs w:val="20"/>
          <w:color w:val="auto"/>
        </w:rPr>
      </w:pPr>
      <w:r>
        <w:rPr>
          <w:rFonts w:ascii="Arial" w:cs="Arial" w:eastAsia="Arial" w:hAnsi="Arial"/>
          <w:sz w:val="14"/>
          <w:szCs w:val="14"/>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45" w:lineRule="exact"/>
        <w:rPr>
          <w:sz w:val="20"/>
          <w:szCs w:val="20"/>
          <w:color w:val="auto"/>
        </w:rPr>
      </w:pPr>
    </w:p>
    <w:p>
      <w:pPr>
        <w:ind w:right="240" w:firstLine="440"/>
        <w:spacing w:after="0" w:line="274" w:lineRule="auto"/>
        <w:rPr>
          <w:sz w:val="20"/>
          <w:szCs w:val="20"/>
          <w:color w:val="auto"/>
        </w:rPr>
      </w:pPr>
      <w:r>
        <w:rPr>
          <w:rFonts w:ascii="Arial" w:cs="Arial" w:eastAsia="Arial" w:hAnsi="Arial"/>
          <w:sz w:val="15"/>
          <w:szCs w:val="15"/>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52"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47" w:lineRule="exact"/>
        <w:rPr>
          <w:sz w:val="20"/>
          <w:szCs w:val="20"/>
          <w:color w:val="auto"/>
        </w:rPr>
      </w:pPr>
    </w:p>
    <w:p>
      <w:pPr>
        <w:ind w:right="40" w:firstLine="440"/>
        <w:spacing w:after="0" w:line="282" w:lineRule="auto"/>
        <w:rPr>
          <w:sz w:val="20"/>
          <w:szCs w:val="20"/>
          <w:color w:val="auto"/>
        </w:rPr>
      </w:pPr>
      <w:r>
        <w:rPr>
          <w:rFonts w:ascii="Arial" w:cs="Arial" w:eastAsia="Arial" w:hAnsi="Arial"/>
          <w:sz w:val="14"/>
          <w:szCs w:val="14"/>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 care reform measures could adversely affect our business.</w:t>
      </w:r>
    </w:p>
    <w:p>
      <w:pPr>
        <w:spacing w:after="0" w:line="199" w:lineRule="exact"/>
        <w:rPr>
          <w:sz w:val="20"/>
          <w:szCs w:val="20"/>
          <w:color w:val="auto"/>
        </w:rPr>
      </w:pPr>
    </w:p>
    <w:p>
      <w:pPr>
        <w:ind w:right="100" w:firstLine="440"/>
        <w:spacing w:after="0" w:line="274" w:lineRule="auto"/>
        <w:rPr>
          <w:sz w:val="20"/>
          <w:szCs w:val="20"/>
          <w:color w:val="auto"/>
        </w:rPr>
      </w:pPr>
      <w:r>
        <w:rPr>
          <w:rFonts w:ascii="Arial" w:cs="Arial" w:eastAsia="Arial" w:hAnsi="Arial"/>
          <w:sz w:val="15"/>
          <w:szCs w:val="15"/>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315" w:right="259" w:bottom="1440" w:gutter="0" w:footer="0" w:header="0"/>
        </w:sectPr>
      </w:pPr>
    </w:p>
    <w:bookmarkStart w:id="41" w:name="page42"/>
    <w:bookmarkEnd w:id="41"/>
    <w:p>
      <w:pPr>
        <w:ind w:right="20"/>
        <w:spacing w:after="0" w:line="269" w:lineRule="auto"/>
        <w:rPr>
          <w:sz w:val="20"/>
          <w:szCs w:val="20"/>
          <w:color w:val="auto"/>
        </w:rPr>
      </w:pPr>
      <w:r>
        <w:rPr>
          <w:rFonts w:ascii="Arial" w:cs="Arial" w:eastAsia="Arial" w:hAnsi="Arial"/>
          <w:sz w:val="15"/>
          <w:szCs w:val="15"/>
          <w:color w:val="auto"/>
        </w:rPr>
        <w:t>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sued for product liability, which could result in substantial liabilities that exceed our available resources and damage our reputation.</w:t>
      </w:r>
    </w:p>
    <w:p>
      <w:pPr>
        <w:spacing w:after="0" w:line="106" w:lineRule="exact"/>
        <w:rPr>
          <w:sz w:val="20"/>
          <w:szCs w:val="20"/>
          <w:color w:val="auto"/>
        </w:rPr>
      </w:pPr>
    </w:p>
    <w:p>
      <w:pPr>
        <w:jc w:val="both"/>
        <w:ind w:right="120" w:firstLine="440"/>
        <w:spacing w:after="0" w:line="274" w:lineRule="auto"/>
        <w:rPr>
          <w:sz w:val="20"/>
          <w:szCs w:val="20"/>
          <w:color w:val="auto"/>
        </w:rPr>
      </w:pPr>
      <w:r>
        <w:rPr>
          <w:rFonts w:ascii="Arial" w:cs="Arial" w:eastAsia="Arial" w:hAnsi="Arial"/>
          <w:sz w:val="15"/>
          <w:szCs w:val="15"/>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59" w:lineRule="exact"/>
        <w:rPr>
          <w:sz w:val="20"/>
          <w:szCs w:val="20"/>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termination of clinical trial sites or entire clinical trial programs;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decreased demand for our product candidates;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impairment of our business reputation;</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costs of related litigation;</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substantial monetary awards to patients or other claimants;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loss of revenues; and</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inability to commercialize our product candidates.</w:t>
      </w:r>
    </w:p>
    <w:p>
      <w:pPr>
        <w:spacing w:after="0" w:line="106" w:lineRule="exact"/>
        <w:rPr>
          <w:sz w:val="20"/>
          <w:szCs w:val="20"/>
          <w:color w:val="auto"/>
        </w:rPr>
      </w:pPr>
    </w:p>
    <w:p>
      <w:pPr>
        <w:ind w:firstLine="440"/>
        <w:spacing w:after="0" w:line="263" w:lineRule="auto"/>
        <w:rPr>
          <w:sz w:val="20"/>
          <w:szCs w:val="20"/>
          <w:color w:val="auto"/>
        </w:rPr>
      </w:pPr>
      <w:r>
        <w:rPr>
          <w:rFonts w:ascii="Arial" w:cs="Arial" w:eastAsia="Arial" w:hAnsi="Arial"/>
          <w:sz w:val="15"/>
          <w:szCs w:val="15"/>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that our results of operations will fluctuate, which may make it difficult to predict our future performance from period to period.</w:t>
      </w:r>
    </w:p>
    <w:p>
      <w:pPr>
        <w:spacing w:after="0" w:line="106" w:lineRule="exact"/>
        <w:rPr>
          <w:sz w:val="20"/>
          <w:szCs w:val="20"/>
          <w:color w:val="auto"/>
        </w:rPr>
      </w:pPr>
    </w:p>
    <w:p>
      <w:pPr>
        <w:ind w:right="120" w:firstLine="440"/>
        <w:spacing w:after="0" w:line="290" w:lineRule="auto"/>
        <w:rPr>
          <w:sz w:val="20"/>
          <w:szCs w:val="20"/>
          <w:color w:val="auto"/>
        </w:rPr>
      </w:pPr>
      <w:r>
        <w:rPr>
          <w:rFonts w:ascii="Arial" w:cs="Arial" w:eastAsia="Arial" w:hAnsi="Arial"/>
          <w:sz w:val="15"/>
          <w:szCs w:val="15"/>
          <w:color w:val="auto"/>
        </w:rPr>
        <w:t>Our quarterly operating results have fluctuated in the past and are likely to continue to do so in the future. Some of the factors that could cause our operating results to fluctuate from period to period include:</w:t>
      </w:r>
    </w:p>
    <w:p>
      <w:pPr>
        <w:spacing w:after="0" w:line="47" w:lineRule="exact"/>
        <w:rPr>
          <w:sz w:val="20"/>
          <w:szCs w:val="20"/>
          <w:color w:val="auto"/>
        </w:rPr>
      </w:pPr>
    </w:p>
    <w:p>
      <w:pPr>
        <w:ind w:left="860" w:right="160" w:hanging="438"/>
        <w:spacing w:after="0" w:line="290" w:lineRule="auto"/>
        <w:tabs>
          <w:tab w:leader="none" w:pos="8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execution of other collaboration, licensing and similar arrangements and the timing of payments we may make or receive under these arrangements;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variations in the level of expenses related to our product development programs;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42" w:name="page43"/>
    <w:bookmarkEnd w:id="42"/>
    <w:p>
      <w:pPr>
        <w:ind w:left="860" w:hanging="438"/>
        <w:spacing w:after="0"/>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unpredictable effects of collaborations during these periods;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timing of our satisfaction of applicable regulatory requirements, if at all;</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rate of expansion of our clinical development and other internal research and development efforts;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costs of any litigation;</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effect of competing technologies and products and market developments; and</w:t>
      </w:r>
    </w:p>
    <w:p>
      <w:pPr>
        <w:spacing w:after="0" w:line="23" w:lineRule="exact"/>
        <w:rPr>
          <w:rFonts w:ascii="Arial" w:cs="Arial" w:eastAsia="Arial" w:hAnsi="Arial"/>
          <w:sz w:val="15"/>
          <w:szCs w:val="15"/>
          <w:color w:val="auto"/>
        </w:rPr>
      </w:pPr>
    </w:p>
    <w:p>
      <w:pPr>
        <w:ind w:left="860" w:hanging="438"/>
        <w:spacing w:after="0"/>
        <w:tabs>
          <w:tab w:leader="none" w:pos="8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general and industry-specific economic conditions.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quarterly or yearly comparisons of our financial results are not necessarily meaningful and should not be relied upon as indications of our future performance.</w:t>
      </w:r>
    </w:p>
    <w:p>
      <w:pPr>
        <w:spacing w:after="0" w:line="210" w:lineRule="exact"/>
        <w:rPr>
          <w:sz w:val="20"/>
          <w:szCs w:val="20"/>
          <w:color w:val="auto"/>
        </w:rPr>
      </w:pPr>
    </w:p>
    <w:p>
      <w:pPr>
        <w:ind w:right="680"/>
        <w:spacing w:after="0" w:line="290" w:lineRule="auto"/>
        <w:rPr>
          <w:sz w:val="20"/>
          <w:szCs w:val="20"/>
          <w:color w:val="auto"/>
        </w:rPr>
      </w:pPr>
      <w:r>
        <w:rPr>
          <w:rFonts w:ascii="Arial" w:cs="Arial" w:eastAsia="Arial" w:hAnsi="Arial"/>
          <w:sz w:val="15"/>
          <w:szCs w:val="15"/>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47" w:lineRule="exact"/>
        <w:rPr>
          <w:sz w:val="20"/>
          <w:szCs w:val="20"/>
          <w:color w:val="auto"/>
        </w:rPr>
      </w:pPr>
    </w:p>
    <w:p>
      <w:pPr>
        <w:ind w:right="20" w:firstLine="440"/>
        <w:spacing w:after="0" w:line="316" w:lineRule="auto"/>
        <w:rPr>
          <w:sz w:val="20"/>
          <w:szCs w:val="20"/>
          <w:color w:val="auto"/>
        </w:rPr>
      </w:pPr>
      <w:r>
        <w:rPr>
          <w:rFonts w:ascii="Arial" w:cs="Arial" w:eastAsia="Arial" w:hAnsi="Arial"/>
          <w:sz w:val="13"/>
          <w:szCs w:val="13"/>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41" w:lineRule="exact"/>
        <w:rPr>
          <w:sz w:val="20"/>
          <w:szCs w:val="20"/>
          <w:color w:val="auto"/>
        </w:rPr>
      </w:pPr>
    </w:p>
    <w:p>
      <w:pPr>
        <w:ind w:firstLine="440"/>
        <w:spacing w:after="0" w:line="284" w:lineRule="auto"/>
        <w:rPr>
          <w:sz w:val="20"/>
          <w:szCs w:val="20"/>
          <w:color w:val="auto"/>
        </w:rPr>
      </w:pPr>
      <w:r>
        <w:rPr>
          <w:rFonts w:ascii="Arial" w:cs="Arial" w:eastAsia="Arial" w:hAnsi="Arial"/>
          <w:sz w:val="14"/>
          <w:szCs w:val="14"/>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Our listing obligations under the JASDAQ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2019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70" w:lineRule="exact"/>
        <w:rPr>
          <w:sz w:val="20"/>
          <w:szCs w:val="20"/>
          <w:color w:val="auto"/>
        </w:rPr>
      </w:pPr>
    </w:p>
    <w:p>
      <w:pPr>
        <w:ind w:firstLine="440"/>
        <w:spacing w:after="0" w:line="266" w:lineRule="auto"/>
        <w:rPr>
          <w:sz w:val="20"/>
          <w:szCs w:val="20"/>
          <w:color w:val="auto"/>
        </w:rPr>
      </w:pPr>
      <w:r>
        <w:rPr>
          <w:rFonts w:ascii="Arial" w:cs="Arial" w:eastAsia="Arial" w:hAnsi="Arial"/>
          <w:sz w:val="15"/>
          <w:szCs w:val="15"/>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information technology systems failures, network disruptions, breaches in data security and computer crime and cyber-attacks.</w:t>
      </w:r>
    </w:p>
    <w:p>
      <w:pPr>
        <w:spacing w:after="0" w:line="199" w:lineRule="exact"/>
        <w:rPr>
          <w:sz w:val="20"/>
          <w:szCs w:val="20"/>
          <w:color w:val="auto"/>
        </w:rPr>
      </w:pPr>
    </w:p>
    <w:p>
      <w:pPr>
        <w:ind w:right="340" w:firstLine="587"/>
        <w:spacing w:after="0" w:line="328" w:lineRule="auto"/>
        <w:rPr>
          <w:sz w:val="20"/>
          <w:szCs w:val="20"/>
          <w:color w:val="auto"/>
        </w:rPr>
      </w:pPr>
      <w:r>
        <w:rPr>
          <w:rFonts w:ascii="Arial" w:cs="Arial" w:eastAsia="Arial" w:hAnsi="Arial"/>
          <w:sz w:val="14"/>
          <w:szCs w:val="14"/>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43" w:name="page44"/>
    <w:bookmarkEnd w:id="43"/>
    <w:p>
      <w:pPr>
        <w:spacing w:after="0" w:line="305" w:lineRule="auto"/>
        <w:rPr>
          <w:sz w:val="20"/>
          <w:szCs w:val="20"/>
          <w:color w:val="auto"/>
        </w:rPr>
      </w:pPr>
      <w:r>
        <w:rPr>
          <w:rFonts w:ascii="Arial" w:cs="Arial" w:eastAsia="Arial" w:hAnsi="Arial"/>
          <w:sz w:val="13"/>
          <w:szCs w:val="13"/>
          <w:color w:val="auto"/>
        </w:rPr>
        <w:t>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 party service providers may be vulnerable to security breaches, theft, misplaced or lost data, programming 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and marketing our products internationally could materially adversely affect our business.</w:t>
      </w:r>
    </w:p>
    <w:p>
      <w:pPr>
        <w:spacing w:after="0" w:line="106" w:lineRule="exact"/>
        <w:rPr>
          <w:sz w:val="20"/>
          <w:szCs w:val="20"/>
          <w:color w:val="auto"/>
        </w:rPr>
      </w:pPr>
    </w:p>
    <w:p>
      <w:pPr>
        <w:ind w:right="380" w:firstLine="440"/>
        <w:spacing w:after="0" w:line="274" w:lineRule="auto"/>
        <w:rPr>
          <w:sz w:val="20"/>
          <w:szCs w:val="20"/>
          <w:color w:val="auto"/>
        </w:rPr>
      </w:pPr>
      <w:r>
        <w:rPr>
          <w:rFonts w:ascii="Arial" w:cs="Arial" w:eastAsia="Arial" w:hAnsi="Arial"/>
          <w:sz w:val="15"/>
          <w:szCs w:val="15"/>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59" w:lineRule="exact"/>
        <w:rPr>
          <w:sz w:val="20"/>
          <w:szCs w:val="20"/>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compliance with differing or unexpected regulatory requirements for our products;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198" w:lineRule="exact"/>
        <w:rPr>
          <w:rFonts w:ascii="Arial" w:cs="Arial" w:eastAsia="Arial" w:hAnsi="Arial"/>
          <w:sz w:val="15"/>
          <w:szCs w:val="15"/>
          <w:color w:val="auto"/>
        </w:rPr>
      </w:pPr>
    </w:p>
    <w:p>
      <w:pPr>
        <w:ind w:left="860" w:right="100" w:hanging="438"/>
        <w:spacing w:after="0" w:line="290" w:lineRule="auto"/>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certain circumstances, including with respect to the commercialization of our product candidates in Europe, increased dependence on the commercialization efforts of our distributors or strategic partners;</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foreign government taxes, regulations and permit requirements;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United States and foreign government tariffs, trade restrictions, price and exchange controls and other regulatory requirements;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economic weakness, including inflation, natural disasters, war, events of terrorism or political instability in particular foreign countries;</w:t>
      </w:r>
    </w:p>
    <w:p>
      <w:pPr>
        <w:spacing w:after="0" w:line="198" w:lineRule="exact"/>
        <w:rPr>
          <w:rFonts w:ascii="Arial" w:cs="Arial" w:eastAsia="Arial" w:hAnsi="Arial"/>
          <w:sz w:val="15"/>
          <w:szCs w:val="15"/>
          <w:color w:val="auto"/>
        </w:rPr>
      </w:pPr>
    </w:p>
    <w:p>
      <w:pPr>
        <w:ind w:left="860" w:right="400" w:hanging="438"/>
        <w:spacing w:after="0" w:line="290" w:lineRule="auto"/>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fluctuations in currency exchange rates, which could result in increased operating expenses and reduced revenues, and other obligations related to doing business in another country;</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compliance with tax, employment, immigration and labor laws, regulations and restrictions for employees living or traveling abroad;</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workforce uncertainty in countries where labor unrest is more common than in the United States;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diplomatic and trade relationships; and</w:t>
      </w:r>
    </w:p>
    <w:p>
      <w:pPr>
        <w:spacing w:after="0" w:line="198" w:lineRule="exact"/>
        <w:rPr>
          <w:rFonts w:ascii="Arial" w:cs="Arial" w:eastAsia="Arial" w:hAnsi="Arial"/>
          <w:sz w:val="15"/>
          <w:szCs w:val="15"/>
          <w:color w:val="auto"/>
        </w:rPr>
      </w:pPr>
    </w:p>
    <w:p>
      <w:pPr>
        <w:ind w:left="860" w:right="120" w:hanging="438"/>
        <w:spacing w:after="0" w:line="290" w:lineRule="auto"/>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44" w:name="page45"/>
    <w:bookmarkEnd w:id="44"/>
    <w:p>
      <w:pPr>
        <w:ind w:left="440"/>
        <w:spacing w:after="0"/>
        <w:rPr>
          <w:sz w:val="20"/>
          <w:szCs w:val="20"/>
          <w:color w:val="auto"/>
        </w:rPr>
      </w:pPr>
      <w:r>
        <w:rPr>
          <w:rFonts w:ascii="Arial" w:cs="Arial" w:eastAsia="Arial" w:hAnsi="Arial"/>
          <w:sz w:val="15"/>
          <w:szCs w:val="15"/>
          <w:color w:val="auto"/>
        </w:rPr>
        <w:t>These and other risks associated with our international operations may materially adversely affect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compete may decline if we do not adequately protect our proprietary rights.</w:t>
      </w:r>
    </w:p>
    <w:p>
      <w:pPr>
        <w:spacing w:after="0" w:line="222" w:lineRule="exact"/>
        <w:rPr>
          <w:sz w:val="20"/>
          <w:szCs w:val="20"/>
          <w:color w:val="auto"/>
        </w:rPr>
      </w:pPr>
    </w:p>
    <w:p>
      <w:pPr>
        <w:ind w:firstLine="440"/>
        <w:spacing w:after="0" w:line="283" w:lineRule="auto"/>
        <w:rPr>
          <w:sz w:val="20"/>
          <w:szCs w:val="20"/>
          <w:color w:val="auto"/>
        </w:rPr>
      </w:pPr>
      <w:r>
        <w:rPr>
          <w:rFonts w:ascii="Arial" w:cs="Arial" w:eastAsia="Arial" w:hAnsi="Arial"/>
          <w:sz w:val="14"/>
          <w:szCs w:val="14"/>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MN-001 (tipelukast), and MN-221 (bedoradrine)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(bedoradrine)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(bedoradrine) although we have a compound patent for MN-029.</w:t>
      </w:r>
    </w:p>
    <w:p>
      <w:pPr>
        <w:spacing w:after="0" w:line="160" w:lineRule="exact"/>
        <w:rPr>
          <w:sz w:val="20"/>
          <w:szCs w:val="20"/>
          <w:color w:val="auto"/>
        </w:rPr>
      </w:pPr>
    </w:p>
    <w:p>
      <w:pPr>
        <w:ind w:right="40" w:firstLine="440"/>
        <w:spacing w:after="0" w:line="283" w:lineRule="auto"/>
        <w:rPr>
          <w:sz w:val="20"/>
          <w:szCs w:val="20"/>
          <w:color w:val="auto"/>
        </w:rPr>
      </w:pPr>
      <w:r>
        <w:rPr>
          <w:rFonts w:ascii="Arial" w:cs="Arial" w:eastAsia="Arial" w:hAnsi="Arial"/>
          <w:sz w:val="14"/>
          <w:szCs w:val="14"/>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60" w:lineRule="exact"/>
        <w:rPr>
          <w:sz w:val="20"/>
          <w:szCs w:val="20"/>
          <w:color w:val="auto"/>
        </w:rPr>
      </w:pPr>
    </w:p>
    <w:p>
      <w:pPr>
        <w:ind w:right="80" w:firstLine="440"/>
        <w:spacing w:after="0" w:line="264" w:lineRule="auto"/>
        <w:rPr>
          <w:sz w:val="20"/>
          <w:szCs w:val="20"/>
          <w:color w:val="auto"/>
        </w:rPr>
      </w:pPr>
      <w:r>
        <w:rPr>
          <w:rFonts w:ascii="Arial" w:cs="Arial" w:eastAsia="Arial" w:hAnsi="Arial"/>
          <w:sz w:val="15"/>
          <w:szCs w:val="15"/>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5"/>
          <w:szCs w:val="15"/>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52" w:lineRule="exact"/>
        <w:rPr>
          <w:sz w:val="20"/>
          <w:szCs w:val="20"/>
          <w:color w:val="auto"/>
        </w:rPr>
      </w:pPr>
    </w:p>
    <w:p>
      <w:pPr>
        <w:ind w:left="860" w:hanging="438"/>
        <w:spacing w:after="0"/>
        <w:tabs>
          <w:tab w:leader="none" w:pos="8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 and maintain patents to protect our product candidates;</w:t>
      </w:r>
    </w:p>
    <w:p>
      <w:pPr>
        <w:spacing w:after="0" w:line="198" w:lineRule="exact"/>
        <w:rPr>
          <w:rFonts w:ascii="Arial" w:cs="Arial" w:eastAsia="Arial" w:hAnsi="Arial"/>
          <w:sz w:val="15"/>
          <w:szCs w:val="15"/>
          <w:color w:val="auto"/>
        </w:rPr>
      </w:pPr>
    </w:p>
    <w:p>
      <w:pPr>
        <w:ind w:left="5640" w:right="2320" w:hanging="5218"/>
        <w:spacing w:after="0" w:line="549" w:lineRule="auto"/>
        <w:tabs>
          <w:tab w:leader="none" w:pos="855"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 and maintain any required or desirable licenses to use certain technologies of third parties, which may be protected by patents;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-93980</wp:posOffset>
            </wp:positionV>
            <wp:extent cx="730631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5" w:name="page46"/>
    <w:bookmarkEnd w:id="45"/>
    <w:p>
      <w:pPr>
        <w:ind w:left="860" w:hanging="438"/>
        <w:spacing w:after="0"/>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protect our trade secrets and know-how;</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operate without infringing the intellectual property and proprietary rights of others;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enforce the issued patents under which we hold rights; and</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develop additional proprietary technologies that are patentable.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hanging="438"/>
        <w:spacing w:after="0"/>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or our licensor might not have been the first to make the inventions covered by each of our pending patent applications or issued patents;</w:t>
      </w:r>
    </w:p>
    <w:p>
      <w:pPr>
        <w:spacing w:after="0" w:line="187" w:lineRule="exact"/>
        <w:rPr>
          <w:rFonts w:ascii="Arial" w:cs="Arial" w:eastAsia="Arial" w:hAnsi="Arial"/>
          <w:sz w:val="15"/>
          <w:szCs w:val="15"/>
          <w:color w:val="auto"/>
        </w:rPr>
      </w:pPr>
    </w:p>
    <w:p>
      <w:pPr>
        <w:ind w:left="860" w:hanging="438"/>
        <w:spacing w:after="0"/>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or our licensor might not have been the first to file patent applications for these inventions;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w:t>
      </w:r>
    </w:p>
    <w:p>
      <w:pPr>
        <w:spacing w:after="0" w:line="198" w:lineRule="exact"/>
        <w:rPr>
          <w:rFonts w:ascii="Arial" w:cs="Arial" w:eastAsia="Arial" w:hAnsi="Arial"/>
          <w:sz w:val="15"/>
          <w:szCs w:val="15"/>
          <w:color w:val="auto"/>
        </w:rPr>
      </w:pPr>
    </w:p>
    <w:p>
      <w:pPr>
        <w:ind w:left="860" w:right="20" w:hanging="438"/>
        <w:spacing w:after="0" w:line="290" w:lineRule="auto"/>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140" w:lineRule="exact"/>
        <w:rPr>
          <w:rFonts w:ascii="Arial" w:cs="Arial" w:eastAsia="Arial" w:hAnsi="Arial"/>
          <w:sz w:val="15"/>
          <w:szCs w:val="15"/>
          <w:color w:val="auto"/>
        </w:rPr>
      </w:pPr>
    </w:p>
    <w:p>
      <w:pPr>
        <w:ind w:left="860" w:right="20" w:hanging="438"/>
        <w:spacing w:after="0" w:line="290" w:lineRule="auto"/>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of the issued patents under which we hold rights may not be valid or enforceable or may be circumvented successfully in light of the continuing evolution of domestic and foreign patent laws.</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47" w:lineRule="exact"/>
        <w:rPr>
          <w:sz w:val="20"/>
          <w:szCs w:val="20"/>
          <w:color w:val="auto"/>
        </w:rPr>
      </w:pPr>
    </w:p>
    <w:p>
      <w:pPr>
        <w:ind w:firstLine="440"/>
        <w:spacing w:after="0" w:line="283" w:lineRule="auto"/>
        <w:rPr>
          <w:sz w:val="20"/>
          <w:szCs w:val="20"/>
          <w:color w:val="auto"/>
        </w:rPr>
      </w:pPr>
      <w:r>
        <w:rPr>
          <w:rFonts w:ascii="Arial" w:cs="Arial" w:eastAsia="Arial" w:hAnsi="Arial"/>
          <w:sz w:val="14"/>
          <w:szCs w:val="14"/>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48" w:lineRule="exact"/>
        <w:rPr>
          <w:sz w:val="20"/>
          <w:szCs w:val="20"/>
          <w:color w:val="auto"/>
        </w:rPr>
      </w:pPr>
    </w:p>
    <w:p>
      <w:pPr>
        <w:ind w:right="240"/>
        <w:spacing w:after="0" w:line="290" w:lineRule="auto"/>
        <w:rPr>
          <w:sz w:val="20"/>
          <w:szCs w:val="20"/>
          <w:color w:val="auto"/>
        </w:rPr>
      </w:pPr>
      <w:r>
        <w:rPr>
          <w:rFonts w:ascii="Arial" w:cs="Arial" w:eastAsia="Arial" w:hAnsi="Arial"/>
          <w:sz w:val="15"/>
          <w:szCs w:val="15"/>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47" w:lineRule="exact"/>
        <w:rPr>
          <w:sz w:val="20"/>
          <w:szCs w:val="20"/>
          <w:color w:val="auto"/>
        </w:rPr>
      </w:pPr>
    </w:p>
    <w:p>
      <w:pPr>
        <w:ind w:right="120" w:firstLine="440"/>
        <w:spacing w:after="0" w:line="294" w:lineRule="auto"/>
        <w:rPr>
          <w:sz w:val="20"/>
          <w:szCs w:val="20"/>
          <w:color w:val="auto"/>
        </w:rPr>
      </w:pPr>
      <w:r>
        <w:rPr>
          <w:rFonts w:ascii="Arial" w:cs="Arial" w:eastAsia="Arial" w:hAnsi="Arial"/>
          <w:sz w:val="14"/>
          <w:szCs w:val="14"/>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46" w:name="page47"/>
    <w:bookmarkEnd w:id="46"/>
    <w:p>
      <w:pPr>
        <w:spacing w:after="0" w:line="261" w:lineRule="auto"/>
        <w:rPr>
          <w:sz w:val="20"/>
          <w:szCs w:val="20"/>
          <w:color w:val="auto"/>
        </w:rPr>
      </w:pPr>
      <w:r>
        <w:rPr>
          <w:rFonts w:ascii="Arial" w:cs="Arial" w:eastAsia="Arial" w:hAnsi="Arial"/>
          <w:sz w:val="15"/>
          <w:szCs w:val="15"/>
          <w:color w:val="auto"/>
        </w:rPr>
        <w:t>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72" w:lineRule="exact"/>
        <w:rPr>
          <w:sz w:val="20"/>
          <w:szCs w:val="20"/>
          <w:color w:val="auto"/>
        </w:rPr>
      </w:pPr>
    </w:p>
    <w:p>
      <w:pPr>
        <w:ind w:left="860" w:right="40" w:hanging="438"/>
        <w:spacing w:after="0" w:line="290" w:lineRule="auto"/>
        <w:tabs>
          <w:tab w:leader="none" w:pos="8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injunctive or other equitable relief that may effectively block our ability to further develop, commercialize and sell our products;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having to enter into license arrangements that may not be available on reasonable or commercially acceptable terms; or</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significant cost and expense, as well as distraction of our management from our business.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a result, we could lose our ability to develop and commercialize current or future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claims that our employees have wrongfully used or disclosed alleged trade secrets of their former employers.</w:t>
      </w:r>
    </w:p>
    <w:p>
      <w:pPr>
        <w:spacing w:after="0" w:line="106" w:lineRule="exact"/>
        <w:rPr>
          <w:sz w:val="20"/>
          <w:szCs w:val="20"/>
          <w:color w:val="auto"/>
        </w:rPr>
      </w:pPr>
    </w:p>
    <w:p>
      <w:pPr>
        <w:ind w:right="140" w:firstLine="440"/>
        <w:spacing w:after="0" w:line="269" w:lineRule="auto"/>
        <w:rPr>
          <w:sz w:val="20"/>
          <w:szCs w:val="20"/>
          <w:color w:val="auto"/>
        </w:rPr>
      </w:pPr>
      <w:r>
        <w:rPr>
          <w:rFonts w:ascii="Arial" w:cs="Arial" w:eastAsia="Arial" w:hAnsi="Arial"/>
          <w:sz w:val="15"/>
          <w:szCs w:val="15"/>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Securities Markets and Investment in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may be volatile, and you may not be able to resell our shares at a profit or at all.</w:t>
      </w:r>
    </w:p>
    <w:p>
      <w:pPr>
        <w:spacing w:after="0" w:line="106" w:lineRule="exact"/>
        <w:rPr>
          <w:sz w:val="20"/>
          <w:szCs w:val="20"/>
          <w:color w:val="auto"/>
        </w:rPr>
      </w:pPr>
    </w:p>
    <w:p>
      <w:pPr>
        <w:ind w:right="40" w:firstLine="440"/>
        <w:spacing w:after="0" w:line="274" w:lineRule="auto"/>
        <w:rPr>
          <w:sz w:val="20"/>
          <w:szCs w:val="20"/>
          <w:color w:val="auto"/>
        </w:rPr>
      </w:pPr>
      <w:r>
        <w:rPr>
          <w:rFonts w:ascii="Arial" w:cs="Arial" w:eastAsia="Arial" w:hAnsi="Arial"/>
          <w:sz w:val="15"/>
          <w:szCs w:val="15"/>
          <w:color w:val="auto"/>
        </w:rPr>
        <w:t>Despite the listing of our common stock on the NASDAQ Global Market and the JASDAQ Market of the Tokyo Stock Exchange in Japan, trading volume in our securities has been light and an active trading market may not develop for our common stock. In 2019, our average trading volume was approximately 98,182 shares per day on the NASDAQ Global Market and approximately 224,986 shares per day on the JASDAQ Market.</w:t>
      </w:r>
    </w:p>
    <w:p>
      <w:pPr>
        <w:spacing w:after="0" w:line="164" w:lineRule="exact"/>
        <w:rPr>
          <w:sz w:val="20"/>
          <w:szCs w:val="20"/>
          <w:color w:val="auto"/>
        </w:rPr>
      </w:pPr>
    </w:p>
    <w:p>
      <w:pPr>
        <w:ind w:right="40" w:firstLine="440"/>
        <w:spacing w:after="0" w:line="269" w:lineRule="auto"/>
        <w:rPr>
          <w:sz w:val="20"/>
          <w:szCs w:val="20"/>
          <w:color w:val="auto"/>
        </w:rPr>
      </w:pPr>
      <w:r>
        <w:rPr>
          <w:rFonts w:ascii="Arial" w:cs="Arial" w:eastAsia="Arial" w:hAnsi="Arial"/>
          <w:sz w:val="15"/>
          <w:szCs w:val="15"/>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2019,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7" w:name="page48"/>
    <w:bookmarkEnd w:id="47"/>
    <w:p>
      <w:pPr>
        <w:ind w:left="860" w:hanging="438"/>
        <w:spacing w:after="0"/>
        <w:tabs>
          <w:tab w:leader="none" w:pos="8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development status of our product candidates, including clinical trial results and determinations by regulatory authorities with respect to our product candidates;</w:t>
      </w:r>
    </w:p>
    <w:p>
      <w:pPr>
        <w:spacing w:after="0" w:line="210" w:lineRule="exact"/>
        <w:rPr>
          <w:rFonts w:ascii="Arial" w:cs="Arial" w:eastAsia="Arial" w:hAnsi="Arial"/>
          <w:sz w:val="14"/>
          <w:szCs w:val="14"/>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initiation, termination, or reduction in the scope of any collaboration arrangements or any disputes or developments regarding such collaborations;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FDA or foreign regulatory actions, including failure to receive regulatory approval for any of our product candidates;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announcements of technological innovations, new commercial products or other material events by us or our competitors;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disputes or other developments concerning our intellectual property rights;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actual and anticipated fluctuations in our quarterly or annual operating results;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changes in, or failure to meet, securities analysts’ or investors’ expectations of our financial performance;</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discussions of our business, management, products, financial performance, prospects or stock price by the financial and scientific press and online investor communities;</w:t>
      </w:r>
    </w:p>
    <w:p>
      <w:pPr>
        <w:spacing w:after="0" w:line="210" w:lineRule="exact"/>
        <w:rPr>
          <w:rFonts w:ascii="Arial" w:cs="Arial" w:eastAsia="Arial" w:hAnsi="Arial"/>
          <w:sz w:val="14"/>
          <w:szCs w:val="14"/>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litigation or public concern about the safety of our potential products;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public concern as to, and legislative action with respect to, the pricing and availability of prescription drugs or the safety of drugs and drug delivery techniques; or</w:t>
      </w:r>
    </w:p>
    <w:p>
      <w:pPr>
        <w:spacing w:after="0" w:line="210" w:lineRule="exact"/>
        <w:rPr>
          <w:rFonts w:ascii="Arial" w:cs="Arial" w:eastAsia="Arial" w:hAnsi="Arial"/>
          <w:sz w:val="14"/>
          <w:szCs w:val="14"/>
          <w:color w:val="auto"/>
        </w:rPr>
      </w:pPr>
    </w:p>
    <w:p>
      <w:pPr>
        <w:ind w:left="860" w:hanging="438"/>
        <w:spacing w:after="0"/>
        <w:tabs>
          <w:tab w:leader="none" w:pos="8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regulatory developments in the United States and in foreign countries.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Broad market and industry factors, as well as economic and political factors, also may materially adversely affect the market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may be delisted on the NASDAQ Global Market or the JASDAQ Market of the Tokyo Stock Exchange.</w:t>
      </w:r>
    </w:p>
    <w:p>
      <w:pPr>
        <w:spacing w:after="0" w:line="199" w:lineRule="exact"/>
        <w:rPr>
          <w:sz w:val="20"/>
          <w:szCs w:val="20"/>
          <w:color w:val="auto"/>
        </w:rPr>
      </w:pPr>
    </w:p>
    <w:p>
      <w:pPr>
        <w:ind w:firstLine="440"/>
        <w:spacing w:after="0" w:line="266" w:lineRule="auto"/>
        <w:rPr>
          <w:sz w:val="20"/>
          <w:szCs w:val="20"/>
          <w:color w:val="auto"/>
        </w:rPr>
      </w:pPr>
      <w:r>
        <w:rPr>
          <w:rFonts w:ascii="Arial" w:cs="Arial" w:eastAsia="Arial" w:hAnsi="Arial"/>
          <w:sz w:val="15"/>
          <w:szCs w:val="15"/>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In addition, JASDAQ Market listing requirements currently mandate that listed companies achieve a profit or positive cash flow from operations within a five-year period.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b w:val="1"/>
          <w:bCs w:val="1"/>
          <w:i w:val="1"/>
          <w:iCs w:val="1"/>
          <w:color w:val="auto"/>
        </w:rPr>
        <w:t>The sale of additional common stock under our existing at-the-market issuance sales agreement may cause substantial dilution to our existing stockholders and/or the price of our common stock to decline.</w:t>
      </w:r>
    </w:p>
    <w:p>
      <w:pPr>
        <w:spacing w:after="0" w:line="47" w:lineRule="exact"/>
        <w:rPr>
          <w:sz w:val="20"/>
          <w:szCs w:val="20"/>
          <w:color w:val="auto"/>
        </w:rPr>
      </w:pPr>
    </w:p>
    <w:p>
      <w:pPr>
        <w:jc w:val="both"/>
        <w:ind w:right="140" w:firstLine="440"/>
        <w:spacing w:after="0" w:line="274" w:lineRule="auto"/>
        <w:rPr>
          <w:sz w:val="20"/>
          <w:szCs w:val="20"/>
          <w:color w:val="auto"/>
        </w:rPr>
      </w:pPr>
      <w:r>
        <w:rPr>
          <w:rFonts w:ascii="Arial" w:cs="Arial" w:eastAsia="Arial" w:hAnsi="Arial"/>
          <w:sz w:val="15"/>
          <w:szCs w:val="15"/>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From time to time, we may sell additional shares of our common stock under the 2019 ATM Agreement. Depending upon market liquidity at the time, sales of shares of our</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0"/>
          </w:cols>
          <w:pgMar w:left="240" w:top="129" w:right="279" w:bottom="1440" w:gutter="0" w:footer="0" w:header="0"/>
        </w:sectPr>
      </w:pPr>
    </w:p>
    <w:bookmarkStart w:id="48" w:name="page49"/>
    <w:bookmarkEnd w:id="48"/>
    <w:p>
      <w:pPr>
        <w:jc w:val="both"/>
        <w:spacing w:after="0" w:line="274" w:lineRule="auto"/>
        <w:rPr>
          <w:sz w:val="20"/>
          <w:szCs w:val="20"/>
          <w:color w:val="auto"/>
        </w:rPr>
      </w:pPr>
      <w:r>
        <w:rPr>
          <w:rFonts w:ascii="Arial" w:cs="Arial" w:eastAsia="Arial" w:hAnsi="Arial"/>
          <w:sz w:val="15"/>
          <w:szCs w:val="15"/>
          <w:color w:val="auto"/>
        </w:rPr>
        <w:t>common stock under the 2019 ATM Agreement may cause the trading price of our common stock to decline and may result in substantial dilution to the interests of other holders of our common stock. The sale of a substantial number of shares of our common stock under the 2019 ATM Agreement, or anticipation of such sales, could make it more difficult for us to sell equity or equity-related securities in the future at a time and at a price that we might otherwise wish to effect sales.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securities class action litigation that could divert management’s attention and harm our business.</w:t>
      </w:r>
    </w:p>
    <w:p>
      <w:pPr>
        <w:spacing w:after="0" w:line="199" w:lineRule="exact"/>
        <w:rPr>
          <w:sz w:val="20"/>
          <w:szCs w:val="20"/>
          <w:color w:val="auto"/>
        </w:rPr>
      </w:pPr>
    </w:p>
    <w:p>
      <w:pPr>
        <w:ind w:right="60" w:firstLine="440"/>
        <w:spacing w:after="0" w:line="266"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our common stock may cause our stock price to decline and may make it difficult for us to raise additional capital or for you to sell your shares.</w:t>
      </w:r>
    </w:p>
    <w:p>
      <w:pPr>
        <w:spacing w:after="0" w:line="106" w:lineRule="exact"/>
        <w:rPr>
          <w:sz w:val="20"/>
          <w:szCs w:val="20"/>
          <w:color w:val="auto"/>
        </w:rPr>
      </w:pPr>
    </w:p>
    <w:p>
      <w:pPr>
        <w:ind w:right="120" w:firstLine="440"/>
        <w:spacing w:after="0" w:line="274" w:lineRule="auto"/>
        <w:rPr>
          <w:sz w:val="20"/>
          <w:szCs w:val="20"/>
          <w:color w:val="auto"/>
        </w:rPr>
      </w:pPr>
      <w:r>
        <w:rPr>
          <w:rFonts w:ascii="Arial" w:cs="Arial" w:eastAsia="Arial" w:hAnsi="Arial"/>
          <w:sz w:val="15"/>
          <w:szCs w:val="15"/>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64" w:lineRule="exact"/>
        <w:rPr>
          <w:sz w:val="20"/>
          <w:szCs w:val="20"/>
          <w:color w:val="auto"/>
        </w:rPr>
      </w:pPr>
    </w:p>
    <w:p>
      <w:pPr>
        <w:ind w:right="120" w:firstLine="440"/>
        <w:spacing w:after="0" w:line="294" w:lineRule="auto"/>
        <w:rPr>
          <w:sz w:val="20"/>
          <w:szCs w:val="20"/>
          <w:color w:val="auto"/>
        </w:rPr>
      </w:pPr>
      <w:r>
        <w:rPr>
          <w:rFonts w:ascii="Arial" w:cs="Arial" w:eastAsia="Arial" w:hAnsi="Arial"/>
          <w:sz w:val="14"/>
          <w:szCs w:val="14"/>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40" w:lineRule="exact"/>
        <w:rPr>
          <w:sz w:val="20"/>
          <w:szCs w:val="20"/>
          <w:color w:val="auto"/>
        </w:rPr>
      </w:pPr>
    </w:p>
    <w:p>
      <w:pPr>
        <w:ind w:right="260"/>
        <w:spacing w:after="0" w:line="290"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47" w:lineRule="exact"/>
        <w:rPr>
          <w:sz w:val="20"/>
          <w:szCs w:val="20"/>
          <w:color w:val="auto"/>
        </w:rPr>
      </w:pPr>
    </w:p>
    <w:p>
      <w:pPr>
        <w:jc w:val="both"/>
        <w:ind w:right="160" w:firstLine="440"/>
        <w:spacing w:after="0" w:line="274" w:lineRule="auto"/>
        <w:rPr>
          <w:sz w:val="20"/>
          <w:szCs w:val="20"/>
          <w:color w:val="auto"/>
        </w:rPr>
      </w:pPr>
      <w:r>
        <w:rPr>
          <w:rFonts w:ascii="Arial" w:cs="Arial" w:eastAsia="Arial" w:hAnsi="Arial"/>
          <w:sz w:val="15"/>
          <w:szCs w:val="15"/>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59" w:lineRule="exact"/>
        <w:rPr>
          <w:sz w:val="20"/>
          <w:szCs w:val="20"/>
          <w:color w:val="auto"/>
        </w:rPr>
      </w:pPr>
    </w:p>
    <w:p>
      <w:pPr>
        <w:ind w:left="860" w:hanging="438"/>
        <w:spacing w:after="0"/>
        <w:tabs>
          <w:tab w:leader="none" w:pos="8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establish that members of the board of directors may be removed only for cause upon the affirmative vote of stockholders owning at least a majority of our capital stock;</w:t>
      </w:r>
    </w:p>
    <w:p>
      <w:pPr>
        <w:spacing w:after="0" w:line="210" w:lineRule="exact"/>
        <w:rPr>
          <w:rFonts w:ascii="Arial" w:cs="Arial" w:eastAsia="Arial" w:hAnsi="Arial"/>
          <w:sz w:val="14"/>
          <w:szCs w:val="14"/>
          <w:color w:val="auto"/>
        </w:rPr>
      </w:pPr>
    </w:p>
    <w:p>
      <w:pPr>
        <w:ind w:left="860" w:right="400" w:hanging="438"/>
        <w:spacing w:after="0" w:line="290" w:lineRule="auto"/>
        <w:tabs>
          <w:tab w:leader="none" w:pos="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40" w:lineRule="exact"/>
        <w:rPr>
          <w:rFonts w:ascii="Arial" w:cs="Arial" w:eastAsia="Arial" w:hAnsi="Arial"/>
          <w:sz w:val="15"/>
          <w:szCs w:val="15"/>
          <w:color w:val="auto"/>
        </w:rPr>
      </w:pPr>
    </w:p>
    <w:p>
      <w:pPr>
        <w:ind w:left="860" w:hanging="438"/>
        <w:spacing w:after="0"/>
        <w:tabs>
          <w:tab w:leader="none" w:pos="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limit who may call a special meeting of stockholders;</w:t>
      </w:r>
    </w:p>
    <w:p>
      <w:pPr>
        <w:spacing w:after="0" w:line="198" w:lineRule="exact"/>
        <w:rPr>
          <w:rFonts w:ascii="Arial" w:cs="Arial" w:eastAsia="Arial" w:hAnsi="Arial"/>
          <w:sz w:val="15"/>
          <w:szCs w:val="15"/>
          <w:color w:val="auto"/>
        </w:rPr>
      </w:pPr>
    </w:p>
    <w:p>
      <w:pPr>
        <w:ind w:left="860" w:hanging="438"/>
        <w:spacing w:after="0"/>
        <w:tabs>
          <w:tab w:leader="none" w:pos="8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the board of directors or for proposing matters that can be acted upon at stockholder meetings;</w:t>
      </w:r>
    </w:p>
    <w:p>
      <w:pPr>
        <w:spacing w:after="0" w:line="210" w:lineRule="exact"/>
        <w:rPr>
          <w:rFonts w:ascii="Arial" w:cs="Arial" w:eastAsia="Arial" w:hAnsi="Arial"/>
          <w:sz w:val="14"/>
          <w:szCs w:val="14"/>
          <w:color w:val="auto"/>
        </w:rPr>
      </w:pPr>
    </w:p>
    <w:p>
      <w:pPr>
        <w:ind w:left="860" w:right="440" w:hanging="438"/>
        <w:spacing w:after="0" w:line="290" w:lineRule="auto"/>
        <w:tabs>
          <w:tab w:leader="none" w:pos="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prohibit our stockholders from making certain changes to our restated certificate of incorporation or amended and restated bylaws except with 66-2/3% stockholder approval; and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49" w:name="page50"/>
    <w:bookmarkEnd w:id="49"/>
    <w:p>
      <w:pPr>
        <w:ind w:left="860" w:hanging="438"/>
        <w:spacing w:after="0"/>
        <w:tabs>
          <w:tab w:leader="none" w:pos="8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provide for a classified board of directors with staggered terms.</w:t>
      </w:r>
    </w:p>
    <w:p>
      <w:pPr>
        <w:spacing w:after="0" w:line="106" w:lineRule="exact"/>
        <w:rPr>
          <w:sz w:val="20"/>
          <w:szCs w:val="20"/>
          <w:color w:val="auto"/>
        </w:rPr>
      </w:pPr>
    </w:p>
    <w:p>
      <w:pPr>
        <w:ind w:right="20" w:firstLine="440"/>
        <w:spacing w:after="0" w:line="266" w:lineRule="auto"/>
        <w:rPr>
          <w:sz w:val="20"/>
          <w:szCs w:val="20"/>
          <w:color w:val="auto"/>
        </w:rPr>
      </w:pPr>
      <w:r>
        <w:rPr>
          <w:rFonts w:ascii="Arial" w:cs="Arial" w:eastAsia="Arial" w:hAnsi="Arial"/>
          <w:sz w:val="15"/>
          <w:szCs w:val="15"/>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Not applicable.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12" w:lineRule="exact"/>
        <w:rPr>
          <w:sz w:val="20"/>
          <w:szCs w:val="20"/>
          <w:color w:val="auto"/>
        </w:rPr>
      </w:pPr>
    </w:p>
    <w:p>
      <w:pPr>
        <w:ind w:right="20" w:firstLine="440"/>
        <w:spacing w:after="0" w:line="287" w:lineRule="auto"/>
        <w:rPr>
          <w:sz w:val="20"/>
          <w:szCs w:val="20"/>
          <w:color w:val="auto"/>
        </w:rPr>
      </w:pPr>
      <w:r>
        <w:rPr>
          <w:rFonts w:ascii="Arial" w:cs="Arial" w:eastAsia="Arial" w:hAnsi="Arial"/>
          <w:sz w:val="14"/>
          <w:szCs w:val="14"/>
          <w:color w:val="auto"/>
        </w:rPr>
        <w:t>We executed a sublease agreement for our headquarters effective December 1, 2017 (the “Sublease”) with Cardinal Health 127 Inc., the sublessor, to which Irvine Company, the master lessor, has provided its consent. The Sublease is for approximately 4,400 square feet and has a term of four years and one month. In June 2005, we leased office space in Tokyo, Japan under a non-cancelable operating lease with an original expiration date of May 2013 and an auto-renewal two-year extension, which we have extended through May 2021, with the acceptance of the extensions for those given periods. We have no laboratory, research or manufacturing facilities, and we currently do not plan to purchase or lease any such facilities, as such services are provided to us by third 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12" w:lineRule="exact"/>
        <w:rPr>
          <w:sz w:val="20"/>
          <w:szCs w:val="20"/>
          <w:color w:val="auto"/>
        </w:rPr>
      </w:pPr>
    </w:p>
    <w:p>
      <w:pPr>
        <w:ind w:firstLine="440"/>
        <w:spacing w:after="0" w:line="274" w:lineRule="auto"/>
        <w:rPr>
          <w:sz w:val="20"/>
          <w:szCs w:val="20"/>
          <w:color w:val="auto"/>
        </w:rPr>
      </w:pPr>
      <w:r>
        <w:rPr>
          <w:rFonts w:ascii="Arial" w:cs="Arial" w:eastAsia="Arial" w:hAnsi="Arial"/>
          <w:sz w:val="15"/>
          <w:szCs w:val="15"/>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Not applicable.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auto"/>
        </w:rPr>
        <w:t>PART II</w:t>
      </w:r>
    </w:p>
    <w:p>
      <w:pPr>
        <w:spacing w:after="0" w:line="199" w:lineRule="exact"/>
        <w:rPr>
          <w:sz w:val="20"/>
          <w:szCs w:val="20"/>
          <w:color w:val="auto"/>
        </w:rPr>
      </w:pPr>
    </w:p>
    <w:p>
      <w:pPr>
        <w:ind w:right="3340"/>
        <w:spacing w:after="0" w:line="391"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440"/>
        <w:spacing w:after="0" w:line="274" w:lineRule="auto"/>
        <w:rPr>
          <w:sz w:val="20"/>
          <w:szCs w:val="20"/>
          <w:color w:val="auto"/>
        </w:rPr>
      </w:pPr>
      <w:r>
        <w:rPr>
          <w:rFonts w:ascii="Arial" w:cs="Arial" w:eastAsia="Arial" w:hAnsi="Arial"/>
          <w:sz w:val="15"/>
          <w:szCs w:val="15"/>
          <w:color w:val="auto"/>
        </w:rPr>
        <w:t>Our common stock is listed on the JASDAQ Market of the Tokyo Stock Exchange and trades under the code “4875,” and is listed on the NASDAQ Global Market and trades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 of Common Stock</w:t>
      </w:r>
    </w:p>
    <w:p>
      <w:pPr>
        <w:spacing w:after="0" w:line="135" w:lineRule="exact"/>
        <w:rPr>
          <w:sz w:val="20"/>
          <w:szCs w:val="20"/>
          <w:color w:val="auto"/>
        </w:rPr>
      </w:pPr>
    </w:p>
    <w:p>
      <w:pPr>
        <w:ind w:right="20" w:firstLine="440"/>
        <w:spacing w:after="0" w:line="290" w:lineRule="auto"/>
        <w:rPr>
          <w:sz w:val="20"/>
          <w:szCs w:val="20"/>
          <w:color w:val="auto"/>
        </w:rPr>
      </w:pPr>
      <w:r>
        <w:rPr>
          <w:rFonts w:ascii="Arial" w:cs="Arial" w:eastAsia="Arial" w:hAnsi="Arial"/>
          <w:sz w:val="15"/>
          <w:szCs w:val="15"/>
          <w:color w:val="auto"/>
        </w:rPr>
        <w:t>As of December 31, 2019, there were approximately 13,993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12" w:lineRule="exact"/>
        <w:rPr>
          <w:sz w:val="20"/>
          <w:szCs w:val="20"/>
          <w:color w:val="auto"/>
        </w:rPr>
      </w:pPr>
    </w:p>
    <w:p>
      <w:pPr>
        <w:ind w:right="120" w:firstLine="440"/>
        <w:spacing w:after="0" w:line="290" w:lineRule="auto"/>
        <w:rPr>
          <w:sz w:val="20"/>
          <w:szCs w:val="20"/>
          <w:color w:val="auto"/>
        </w:rPr>
      </w:pPr>
      <w:r>
        <w:rPr>
          <w:rFonts w:ascii="Arial" w:cs="Arial" w:eastAsia="Arial" w:hAnsi="Arial"/>
          <w:sz w:val="15"/>
          <w:szCs w:val="15"/>
          <w:color w:val="auto"/>
        </w:rPr>
        <w:t>We have never declared or paid any cash dividends on our capital stock, and we do not anticipate paying any cash dividends in the foreseeable future. We expect to retain our future earnings, if any, to fund the growth and development of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Information regarding the securities authorized for issuance under our equity compensation plans can be found under Item 12 of this Annual Report on Form 10-K.</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Selected Financial Data</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00"/>
          </w:cols>
          <w:pgMar w:left="240" w:top="123" w:right="35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12" w:lineRule="exact"/>
        <w:rPr>
          <w:sz w:val="20"/>
          <w:szCs w:val="20"/>
          <w:color w:val="auto"/>
        </w:rPr>
      </w:pPr>
    </w:p>
    <w:p>
      <w:pPr>
        <w:jc w:val="both"/>
        <w:ind w:right="180" w:firstLine="440"/>
        <w:spacing w:after="0" w:line="274" w:lineRule="auto"/>
        <w:rPr>
          <w:sz w:val="20"/>
          <w:szCs w:val="20"/>
          <w:color w:val="auto"/>
        </w:rPr>
      </w:pPr>
      <w:r>
        <w:rPr>
          <w:rFonts w:ascii="Arial" w:cs="Arial" w:eastAsia="Arial" w:hAnsi="Arial"/>
          <w:sz w:val="15"/>
          <w:szCs w:val="15"/>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Background</w:t>
      </w:r>
    </w:p>
    <w:p>
      <w:pPr>
        <w:spacing w:after="0" w:line="199" w:lineRule="exact"/>
        <w:rPr>
          <w:sz w:val="20"/>
          <w:szCs w:val="20"/>
          <w:color w:val="auto"/>
        </w:rPr>
      </w:pPr>
    </w:p>
    <w:p>
      <w:pPr>
        <w:ind w:firstLine="880"/>
        <w:spacing w:after="0" w:line="264" w:lineRule="auto"/>
        <w:rPr>
          <w:sz w:val="20"/>
          <w:szCs w:val="20"/>
          <w:color w:val="auto"/>
        </w:rPr>
      </w:pPr>
      <w:r>
        <w:rPr>
          <w:rFonts w:ascii="Arial" w:cs="Arial" w:eastAsia="Arial" w:hAnsi="Arial"/>
          <w:sz w:val="15"/>
          <w:szCs w:val="15"/>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69" w:lineRule="exact"/>
        <w:rPr>
          <w:sz w:val="20"/>
          <w:szCs w:val="20"/>
          <w:color w:val="auto"/>
        </w:rPr>
      </w:pPr>
    </w:p>
    <w:p>
      <w:pPr>
        <w:jc w:val="both"/>
        <w:ind w:right="180" w:firstLine="440"/>
        <w:spacing w:after="0" w:line="269" w:lineRule="auto"/>
        <w:rPr>
          <w:sz w:val="20"/>
          <w:szCs w:val="20"/>
          <w:color w:val="auto"/>
        </w:rPr>
      </w:pPr>
      <w:r>
        <w:rPr>
          <w:rFonts w:ascii="Arial" w:cs="Arial" w:eastAsia="Arial" w:hAnsi="Arial"/>
          <w:sz w:val="15"/>
          <w:szCs w:val="15"/>
          <w:color w:val="auto"/>
        </w:rPr>
        <w:t>We have incurred significant net losses since our inception. For the year ended December 31, 2019, we had a net loss of $12.9 million. At December 31, 2019, from inception, our accumulated deficit was $369.1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55" w:lineRule="exact"/>
        <w:rPr>
          <w:sz w:val="20"/>
          <w:szCs w:val="20"/>
          <w:color w:val="auto"/>
        </w:rPr>
      </w:pPr>
    </w:p>
    <w:p>
      <w:pPr>
        <w:ind w:firstLine="440"/>
        <w:spacing w:after="0" w:line="302" w:lineRule="auto"/>
        <w:rPr>
          <w:sz w:val="20"/>
          <w:szCs w:val="20"/>
          <w:color w:val="auto"/>
        </w:rPr>
      </w:pPr>
      <w:r>
        <w:rPr>
          <w:rFonts w:ascii="Arial" w:cs="Arial" w:eastAsia="Arial" w:hAnsi="Arial"/>
          <w:sz w:val="14"/>
          <w:szCs w:val="14"/>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135" w:lineRule="exact"/>
        <w:rPr>
          <w:sz w:val="20"/>
          <w:szCs w:val="20"/>
          <w:color w:val="auto"/>
        </w:rPr>
      </w:pPr>
    </w:p>
    <w:p>
      <w:pPr>
        <w:ind w:right="100" w:firstLine="440"/>
        <w:spacing w:after="0" w:line="264" w:lineRule="auto"/>
        <w:rPr>
          <w:sz w:val="20"/>
          <w:szCs w:val="20"/>
          <w:color w:val="auto"/>
        </w:rPr>
      </w:pPr>
      <w:r>
        <w:rPr>
          <w:rFonts w:ascii="Arial" w:cs="Arial" w:eastAsia="Arial" w:hAnsi="Arial"/>
          <w:sz w:val="15"/>
          <w:szCs w:val="15"/>
          <w:color w:val="auto"/>
        </w:rPr>
        <w:t>We entered into an agreement to form a joint venture company with Zhejiang Medicine Co., Ltd. and Beijing Medfron Medical Technologies Co. Ltd., (formerly Beijing Make-Friend Medicine Technology Co., Ltd.) effective September 27, 2011. The joint venture agreement provided for the joint venture company, Zhejiang Sunmy Bio-Medical Co., Ltd. (Zhejiang Sunmy), to develop and commercialize MN-221 (bedoradrine) in China and search for additional compounds to develop. On July 24, 2017, the Company and Beijing Medfron Medical Technologies Co., Ltd. agreed to dissolve Zhejiang Sunmy, subject to approval by applicable Chinese regulatory authorities which was granted on December 11, 2017. In 2018, we received proceeds of $0.6 million from the dissolution of the joint venture and liquidation of our investment, resulting in an immaterial gain recorded within other expense, net in the statement of operations and comprehensive loss for the year ended December 31,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Critical Accounting Policies</w:t>
      </w:r>
    </w:p>
    <w:p>
      <w:pPr>
        <w:spacing w:after="0" w:line="112" w:lineRule="exact"/>
        <w:rPr>
          <w:sz w:val="20"/>
          <w:szCs w:val="20"/>
          <w:color w:val="auto"/>
        </w:rPr>
      </w:pPr>
    </w:p>
    <w:p>
      <w:pPr>
        <w:ind w:right="140" w:firstLine="440"/>
        <w:spacing w:after="0" w:line="289"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45" w:lineRule="exact"/>
        <w:rPr>
          <w:sz w:val="20"/>
          <w:szCs w:val="20"/>
          <w:color w:val="auto"/>
        </w:rPr>
      </w:pPr>
    </w:p>
    <w:p>
      <w:pPr>
        <w:ind w:right="320" w:firstLine="440"/>
        <w:spacing w:after="0" w:line="328" w:lineRule="auto"/>
        <w:rPr>
          <w:sz w:val="20"/>
          <w:szCs w:val="20"/>
          <w:color w:val="auto"/>
        </w:rPr>
      </w:pPr>
      <w:r>
        <w:rPr>
          <w:rFonts w:ascii="Arial" w:cs="Arial" w:eastAsia="Arial" w:hAnsi="Arial"/>
          <w:sz w:val="14"/>
          <w:szCs w:val="14"/>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stock-based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2" w:name="page53"/>
    <w:bookmarkEnd w:id="52"/>
    <w:p>
      <w:pPr>
        <w:ind w:right="160"/>
        <w:spacing w:after="0" w:line="274" w:lineRule="auto"/>
        <w:rPr>
          <w:sz w:val="20"/>
          <w:szCs w:val="20"/>
          <w:color w:val="auto"/>
        </w:rPr>
      </w:pPr>
      <w:r>
        <w:rPr>
          <w:rFonts w:ascii="Arial" w:cs="Arial" w:eastAsia="Arial" w:hAnsi="Arial"/>
          <w:sz w:val="15"/>
          <w:szCs w:val="15"/>
          <w:color w:val="auto"/>
        </w:rPr>
        <w:t>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Development and Patent Expenses</w:t>
      </w:r>
    </w:p>
    <w:p>
      <w:pPr>
        <w:spacing w:after="0" w:line="106" w:lineRule="exact"/>
        <w:rPr>
          <w:sz w:val="20"/>
          <w:szCs w:val="20"/>
          <w:color w:val="auto"/>
        </w:rPr>
      </w:pPr>
    </w:p>
    <w:p>
      <w:pPr>
        <w:ind w:right="420" w:firstLine="440"/>
        <w:spacing w:after="0" w:line="274" w:lineRule="auto"/>
        <w:rPr>
          <w:sz w:val="20"/>
          <w:szCs w:val="20"/>
          <w:color w:val="auto"/>
        </w:rPr>
      </w:pPr>
      <w:r>
        <w:rPr>
          <w:rFonts w:ascii="Arial" w:cs="Arial" w:eastAsia="Arial" w:hAnsi="Arial"/>
          <w:sz w:val="15"/>
          <w:szCs w:val="15"/>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152" w:lineRule="exact"/>
        <w:rPr>
          <w:sz w:val="20"/>
          <w:szCs w:val="20"/>
          <w:color w:val="auto"/>
        </w:rPr>
      </w:pPr>
    </w:p>
    <w:p>
      <w:pPr>
        <w:ind w:firstLine="440"/>
        <w:spacing w:after="0" w:line="321" w:lineRule="auto"/>
        <w:rPr>
          <w:sz w:val="20"/>
          <w:szCs w:val="20"/>
          <w:color w:val="auto"/>
        </w:rPr>
      </w:pPr>
      <w:r>
        <w:rPr>
          <w:rFonts w:ascii="Arial" w:cs="Arial" w:eastAsia="Arial" w:hAnsi="Arial"/>
          <w:sz w:val="14"/>
          <w:szCs w:val="14"/>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7"/>
        </w:trPr>
        <w:tc>
          <w:tcPr>
            <w:tcW w:w="4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b w:val="1"/>
                <w:bCs w:val="1"/>
                <w:color w:val="auto"/>
              </w:rPr>
              <w:t>Year Ended December 31,</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4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1"/>
                <w:szCs w:val="11"/>
                <w:color w:val="auto"/>
              </w:rPr>
            </w:pPr>
          </w:p>
        </w:tc>
        <w:tc>
          <w:tcPr>
            <w:tcW w:w="1000" w:type="dxa"/>
            <w:vAlign w:val="bottom"/>
            <w:gridSpan w:val="2"/>
          </w:tcPr>
          <w:p>
            <w:pPr>
              <w:jc w:val="right"/>
              <w:ind w:right="60"/>
              <w:spacing w:after="0" w:line="131" w:lineRule="exact"/>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9"/>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External development expense:</w:t>
            </w:r>
          </w:p>
        </w:tc>
        <w:tc>
          <w:tcPr>
            <w:tcW w:w="154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7"/>
        </w:trPr>
        <w:tc>
          <w:tcPr>
            <w:tcW w:w="4500" w:type="dxa"/>
            <w:vAlign w:val="bottom"/>
          </w:tcPr>
          <w:p>
            <w:pPr>
              <w:ind w:left="220"/>
              <w:spacing w:after="0"/>
              <w:rPr>
                <w:sz w:val="20"/>
                <w:szCs w:val="20"/>
                <w:color w:val="auto"/>
              </w:rPr>
            </w:pPr>
            <w:r>
              <w:rPr>
                <w:rFonts w:ascii="Arial" w:cs="Arial" w:eastAsia="Arial" w:hAnsi="Arial"/>
                <w:sz w:val="15"/>
                <w:szCs w:val="15"/>
                <w:color w:val="auto"/>
              </w:rPr>
              <w:t>MN-166</w:t>
            </w:r>
          </w:p>
        </w:tc>
        <w:tc>
          <w:tcPr>
            <w:tcW w:w="2320" w:type="dxa"/>
            <w:vAlign w:val="bottom"/>
            <w:gridSpan w:val="2"/>
          </w:tcPr>
          <w:p>
            <w:pPr>
              <w:jc w:val="right"/>
              <w:ind w:right="638"/>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3,193</w:t>
            </w:r>
          </w:p>
        </w:tc>
        <w:tc>
          <w:tcPr>
            <w:tcW w:w="1000" w:type="dxa"/>
            <w:vAlign w:val="bottom"/>
            <w:gridSpan w:val="2"/>
          </w:tcPr>
          <w:p>
            <w:pPr>
              <w:jc w:val="right"/>
              <w:ind w:right="70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1,993</w:t>
            </w:r>
          </w:p>
        </w:tc>
        <w:tc>
          <w:tcPr>
            <w:tcW w:w="100" w:type="dxa"/>
            <w:vAlign w:val="bottom"/>
          </w:tcPr>
          <w:p>
            <w:pPr>
              <w:spacing w:after="0"/>
              <w:rPr>
                <w:sz w:val="17"/>
                <w:szCs w:val="17"/>
                <w:color w:val="auto"/>
              </w:rPr>
            </w:pPr>
          </w:p>
        </w:tc>
      </w:tr>
      <w:tr>
        <w:trPr>
          <w:trHeight w:val="197"/>
        </w:trPr>
        <w:tc>
          <w:tcPr>
            <w:tcW w:w="45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MN-001</w:t>
            </w:r>
          </w:p>
        </w:tc>
        <w:tc>
          <w:tcPr>
            <w:tcW w:w="15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FF0FC"/>
          </w:tcPr>
          <w:p>
            <w:pPr>
              <w:spacing w:after="0"/>
              <w:rPr>
                <w:sz w:val="17"/>
                <w:szCs w:val="17"/>
                <w:color w:val="auto"/>
              </w:rPr>
            </w:pPr>
          </w:p>
        </w:tc>
      </w:tr>
      <w:tr>
        <w:trPr>
          <w:trHeight w:val="197"/>
        </w:trPr>
        <w:tc>
          <w:tcPr>
            <w:tcW w:w="4500" w:type="dxa"/>
            <w:vAlign w:val="bottom"/>
          </w:tcPr>
          <w:p>
            <w:pPr>
              <w:ind w:left="220"/>
              <w:spacing w:after="0"/>
              <w:rPr>
                <w:sz w:val="20"/>
                <w:szCs w:val="20"/>
                <w:color w:val="auto"/>
              </w:rPr>
            </w:pPr>
            <w:r>
              <w:rPr>
                <w:rFonts w:ascii="Arial" w:cs="Arial" w:eastAsia="Arial" w:hAnsi="Arial"/>
                <w:sz w:val="15"/>
                <w:szCs w:val="15"/>
                <w:color w:val="auto"/>
              </w:rPr>
              <w:t>MN-221</w:t>
            </w: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r>
      <w:tr>
        <w:trPr>
          <w:trHeight w:val="197"/>
        </w:trPr>
        <w:tc>
          <w:tcPr>
            <w:tcW w:w="45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MN-029</w:t>
            </w:r>
          </w:p>
        </w:tc>
        <w:tc>
          <w:tcPr>
            <w:tcW w:w="1540" w:type="dxa"/>
            <w:vAlign w:val="bottom"/>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7"/>
                <w:szCs w:val="17"/>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5"/>
                <w:szCs w:val="15"/>
                <w:color w:val="auto"/>
              </w:rPr>
              <w:t>Total external development expense</w:t>
            </w: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3,367</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2,308</w:t>
            </w:r>
          </w:p>
        </w:tc>
        <w:tc>
          <w:tcPr>
            <w:tcW w:w="100" w:type="dxa"/>
            <w:vAlign w:val="bottom"/>
          </w:tcPr>
          <w:p>
            <w:pPr>
              <w:spacing w:after="0"/>
              <w:rPr>
                <w:sz w:val="16"/>
                <w:szCs w:val="16"/>
                <w:color w:val="auto"/>
              </w:rPr>
            </w:pPr>
          </w:p>
        </w:tc>
      </w:tr>
      <w:tr>
        <w:trPr>
          <w:trHeight w:val="197"/>
        </w:trPr>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R&amp;D personnel expense</w:t>
            </w:r>
          </w:p>
        </w:tc>
        <w:tc>
          <w:tcPr>
            <w:tcW w:w="15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2,118</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2,818</w:t>
            </w:r>
          </w:p>
        </w:tc>
        <w:tc>
          <w:tcPr>
            <w:tcW w:w="100" w:type="dxa"/>
            <w:vAlign w:val="bottom"/>
            <w:shd w:val="clear" w:color="auto" w:fill="CFF0FC"/>
          </w:tcPr>
          <w:p>
            <w:pPr>
              <w:spacing w:after="0"/>
              <w:rPr>
                <w:sz w:val="17"/>
                <w:szCs w:val="17"/>
                <w:color w:val="auto"/>
              </w:rPr>
            </w:pPr>
          </w:p>
        </w:tc>
      </w:tr>
      <w:tr>
        <w:trPr>
          <w:trHeight w:val="197"/>
        </w:trPr>
        <w:tc>
          <w:tcPr>
            <w:tcW w:w="4500" w:type="dxa"/>
            <w:vAlign w:val="bottom"/>
          </w:tcPr>
          <w:p>
            <w:pPr>
              <w:spacing w:after="0"/>
              <w:rPr>
                <w:sz w:val="20"/>
                <w:szCs w:val="20"/>
                <w:color w:val="auto"/>
              </w:rPr>
            </w:pPr>
            <w:r>
              <w:rPr>
                <w:rFonts w:ascii="Arial" w:cs="Arial" w:eastAsia="Arial" w:hAnsi="Arial"/>
                <w:sz w:val="15"/>
                <w:szCs w:val="15"/>
                <w:color w:val="auto"/>
              </w:rPr>
              <w:t>R&amp;D facility expense</w:t>
            </w: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47</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r>
      <w:tr>
        <w:trPr>
          <w:trHeight w:val="197"/>
        </w:trPr>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Patent expense</w:t>
            </w:r>
          </w:p>
        </w:tc>
        <w:tc>
          <w:tcPr>
            <w:tcW w:w="15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CFF0FC"/>
          </w:tcPr>
          <w:p>
            <w:pPr>
              <w:spacing w:after="0"/>
              <w:rPr>
                <w:sz w:val="17"/>
                <w:szCs w:val="17"/>
                <w:color w:val="auto"/>
              </w:rPr>
            </w:pPr>
          </w:p>
        </w:tc>
      </w:tr>
      <w:tr>
        <w:trPr>
          <w:trHeight w:val="197"/>
        </w:trPr>
        <w:tc>
          <w:tcPr>
            <w:tcW w:w="45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R&amp;D expense</w:t>
            </w:r>
          </w:p>
        </w:tc>
        <w:tc>
          <w:tcPr>
            <w:tcW w:w="154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22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w:t>
            </w:r>
          </w:p>
        </w:tc>
        <w:tc>
          <w:tcPr>
            <w:tcW w:w="100" w:type="dxa"/>
            <w:vAlign w:val="bottom"/>
            <w:tcBorders>
              <w:bottom w:val="single" w:sz="8" w:color="CFF0FC"/>
            </w:tcBorders>
          </w:tcPr>
          <w:p>
            <w:pPr>
              <w:spacing w:after="0"/>
              <w:rPr>
                <w:sz w:val="17"/>
                <w:szCs w:val="17"/>
                <w:color w:val="auto"/>
              </w:rPr>
            </w:pP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Total research, development and patent expense</w:t>
            </w:r>
          </w:p>
        </w:tc>
        <w:tc>
          <w:tcPr>
            <w:tcW w:w="2320" w:type="dxa"/>
            <w:vAlign w:val="bottom"/>
            <w:gridSpan w:val="2"/>
            <w:shd w:val="clear" w:color="auto" w:fill="CFF0FC"/>
          </w:tcPr>
          <w:p>
            <w:pPr>
              <w:jc w:val="right"/>
              <w:ind w:right="638"/>
              <w:spacing w:after="0"/>
              <w:rPr>
                <w:sz w:val="20"/>
                <w:szCs w:val="20"/>
                <w:color w:val="auto"/>
              </w:rPr>
            </w:pPr>
            <w:r>
              <w:rPr>
                <w:rFonts w:ascii="Arial" w:cs="Arial" w:eastAsia="Arial" w:hAnsi="Arial"/>
                <w:sz w:val="15"/>
                <w:szCs w:val="15"/>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6,079</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5"/>
                <w:szCs w:val="15"/>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5,626</w:t>
            </w:r>
          </w:p>
        </w:tc>
        <w:tc>
          <w:tcPr>
            <w:tcW w:w="100" w:type="dxa"/>
            <w:vAlign w:val="bottom"/>
            <w:shd w:val="clear" w:color="auto" w:fill="CFF0FC"/>
          </w:tcPr>
          <w:p>
            <w:pPr>
              <w:spacing w:after="0"/>
              <w:rPr>
                <w:sz w:val="16"/>
                <w:szCs w:val="16"/>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We use the Black-Scholes option pricing model to estimate the fair value of stock option awards including performance-based options. The Black-Scholes model requires the use of highly subjective and complex assumptions, including the Company’s stock price, expected volatility, expected term, risk-free interest rate, and expected dividend yield. For expected volatility, we base the assumption on the historical volatility of the Company’s common stock. The expected term of the awards is based on historical data regarding employees’ option exercise behaviors. The risk-free interest rate assumption is based on observed interest rates appropriate for the terms of the awards. The dividend yield assumption is based on the Company’s history and expectation of dividend payouts. Only expenses associated with awards that are ultimately expected to vest are included in our financial statements. Changes to our estimations and assumptions could have a significant impact on the stock-based compensation amount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In-Process Research and Development (“IPR&amp;D”) and Goodwill</w:t>
      </w:r>
    </w:p>
    <w:p>
      <w:pPr>
        <w:spacing w:after="0" w:line="199" w:lineRule="exact"/>
        <w:rPr>
          <w:sz w:val="20"/>
          <w:szCs w:val="20"/>
          <w:color w:val="auto"/>
        </w:rPr>
      </w:pPr>
    </w:p>
    <w:p>
      <w:pPr>
        <w:ind w:right="180" w:firstLine="440"/>
        <w:spacing w:after="0" w:line="274" w:lineRule="auto"/>
        <w:rPr>
          <w:sz w:val="20"/>
          <w:szCs w:val="20"/>
          <w:color w:val="auto"/>
        </w:rPr>
      </w:pPr>
      <w:r>
        <w:rPr>
          <w:rFonts w:ascii="Arial" w:cs="Arial" w:eastAsia="Arial" w:hAnsi="Arial"/>
          <w:sz w:val="15"/>
          <w:szCs w:val="15"/>
          <w:color w:val="auto"/>
        </w:rPr>
        <w:t>As a result of our acquisitions we have recorded goodwill and other identifiable finite and indefinite lived acquired intangibles. The identification and valuation of these intangible assets at the time of acquisition require significant management judgment and estimates, including the amount and timing of future cash flows, growth rates, discount rates and useful lives.</w:t>
      </w:r>
    </w:p>
    <w:p>
      <w:pPr>
        <w:spacing w:after="0" w:line="152" w:lineRule="exact"/>
        <w:rPr>
          <w:sz w:val="20"/>
          <w:szCs w:val="20"/>
          <w:color w:val="auto"/>
        </w:rPr>
      </w:pPr>
    </w:p>
    <w:p>
      <w:pPr>
        <w:jc w:val="both"/>
        <w:ind w:right="120" w:firstLine="440"/>
        <w:spacing w:after="0" w:line="269" w:lineRule="auto"/>
        <w:rPr>
          <w:sz w:val="20"/>
          <w:szCs w:val="20"/>
          <w:color w:val="auto"/>
        </w:rPr>
      </w:pPr>
      <w:r>
        <w:rPr>
          <w:rFonts w:ascii="Arial" w:cs="Arial" w:eastAsia="Arial" w:hAnsi="Arial"/>
          <w:sz w:val="15"/>
          <w:szCs w:val="15"/>
          <w:color w:val="auto"/>
        </w:rPr>
        <w:t>We review IPR&amp;D and goodwill for impairment annually or more frequently whenever events or changes in circumstances indicate that the carrying amount of the asset might not be recoverable. When evaluating for impairment of indefinite lived intangible assets, we may first perform a qualitative assessment to determine whether it is more likely than not that our indefinite-lived intangible assets are impaired. The criteria used for these evaluations include management’s estimate of the asset’s continuing ability to generate income from operations and</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315" w:right="25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5"/>
          <w:szCs w:val="15"/>
          <w:color w:val="auto"/>
        </w:rPr>
        <w:t>positive cash flows in future periods, business and economic trends as well as the strategic significance of any intangible assets in our business objectives. Additionally, we consider the reasonableness of the various inputs and assumptions used in determining the IPR&amp;D fair value, including a probability of success factor, a debt free working capital requirement, costs to complete, our tax rate, peak sales years, potential market size, a royalty rate and any up-front milestone revenue payments. If assets are considered to be impaired, the impairment recognized is the amount by which the carrying value of the assets exceeds the fair value of the assets.</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impact of recent accounting pronouncements is more fully described in Note 1 of our consolidated financial statements included elsewhere in this Annual Report on Form</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10-K.</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2019 and 2018</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did not recognize any revenue or cost of revenues for the years ended December 31, 2019 and 2018.</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Development and Patent Expenses</w:t>
      </w:r>
    </w:p>
    <w:p>
      <w:pPr>
        <w:spacing w:after="0" w:line="199" w:lineRule="exact"/>
        <w:rPr>
          <w:sz w:val="20"/>
          <w:szCs w:val="20"/>
          <w:color w:val="auto"/>
        </w:rPr>
      </w:pPr>
    </w:p>
    <w:p>
      <w:pPr>
        <w:ind w:right="460" w:firstLine="440"/>
        <w:spacing w:after="0" w:line="328" w:lineRule="auto"/>
        <w:rPr>
          <w:sz w:val="20"/>
          <w:szCs w:val="20"/>
          <w:color w:val="auto"/>
        </w:rPr>
      </w:pPr>
      <w:r>
        <w:rPr>
          <w:rFonts w:ascii="Arial" w:cs="Arial" w:eastAsia="Arial" w:hAnsi="Arial"/>
          <w:sz w:val="14"/>
          <w:szCs w:val="14"/>
          <w:color w:val="auto"/>
        </w:rPr>
        <w:t>Research, development and patent expenses for the year ended December 31, 2019 increased by $0.5 million as compared to the same period in 2018, primarily due to an increase in clinical trial activities related to the MN-166 (ibudilast) trials offset by a decrease in stock compensation expense for performance-based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199" w:lineRule="exact"/>
        <w:rPr>
          <w:sz w:val="20"/>
          <w:szCs w:val="20"/>
          <w:color w:val="auto"/>
        </w:rPr>
      </w:pPr>
    </w:p>
    <w:p>
      <w:pPr>
        <w:ind w:right="200" w:firstLine="440"/>
        <w:spacing w:after="0" w:line="290" w:lineRule="auto"/>
        <w:rPr>
          <w:sz w:val="20"/>
          <w:szCs w:val="20"/>
          <w:color w:val="auto"/>
        </w:rPr>
      </w:pPr>
      <w:r>
        <w:rPr>
          <w:rFonts w:ascii="Arial" w:cs="Arial" w:eastAsia="Arial" w:hAnsi="Arial"/>
          <w:sz w:val="15"/>
          <w:szCs w:val="15"/>
          <w:color w:val="auto"/>
        </w:rPr>
        <w:t>General and administrative expenses for the year ended December 31, 2019 decreased by $2.0 million compared to the same period in 2018, primarily driven by a decrease in stock compensation expense for performance-based stock options and other general operating expenses.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Expense, net</w:t>
      </w:r>
    </w:p>
    <w:p>
      <w:pPr>
        <w:spacing w:after="0" w:line="199" w:lineRule="exact"/>
        <w:rPr>
          <w:sz w:val="20"/>
          <w:szCs w:val="20"/>
          <w:color w:val="auto"/>
        </w:rPr>
      </w:pPr>
    </w:p>
    <w:p>
      <w:pPr>
        <w:ind w:right="80" w:firstLine="440"/>
        <w:spacing w:after="0" w:line="328" w:lineRule="auto"/>
        <w:rPr>
          <w:sz w:val="20"/>
          <w:szCs w:val="20"/>
          <w:color w:val="auto"/>
        </w:rPr>
      </w:pPr>
      <w:r>
        <w:rPr>
          <w:rFonts w:ascii="Arial" w:cs="Arial" w:eastAsia="Arial" w:hAnsi="Arial"/>
          <w:sz w:val="14"/>
          <w:szCs w:val="14"/>
          <w:color w:val="auto"/>
        </w:rPr>
        <w:t>Other expense for the years ended 2019 and 2018 was approximately $46,000 and $23,000, respectively. Other expense consisted of net losses from the joint venture accounted for under the equity method based on our percentage ownership, interest expense and net transaction losses related to vendor invoices denominated in foreign currencies.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Income</w:t>
      </w:r>
    </w:p>
    <w:p>
      <w:pPr>
        <w:spacing w:after="0" w:line="199" w:lineRule="exact"/>
        <w:rPr>
          <w:sz w:val="20"/>
          <w:szCs w:val="20"/>
          <w:color w:val="auto"/>
        </w:rPr>
      </w:pPr>
    </w:p>
    <w:p>
      <w:pPr>
        <w:ind w:right="60" w:firstLine="440"/>
        <w:spacing w:after="0" w:line="290" w:lineRule="auto"/>
        <w:rPr>
          <w:sz w:val="20"/>
          <w:szCs w:val="20"/>
          <w:color w:val="auto"/>
        </w:rPr>
      </w:pPr>
      <w:r>
        <w:rPr>
          <w:rFonts w:ascii="Arial" w:cs="Arial" w:eastAsia="Arial" w:hAnsi="Arial"/>
          <w:sz w:val="15"/>
          <w:szCs w:val="15"/>
          <w:color w:val="auto"/>
        </w:rPr>
        <w:t>Interest income for the year ended December 31, 2019 was approximately $1.1 million, as compared to approximately $0.9 million for the same period in 2018. Interest income consists of interest earned on our cash and cash equivalents.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incurred losses of $12.9 million and $14.7 million for the years ended December 31, 2019 and 2018, respectively. At December 31, 2019, our accumulated deficit was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$369.1 million. Our operating losses to date have been funded primarily through the private placement of our equity securities, the public sale of our common stock, long-term debt,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development agreements with partners and the exercise of warrants, net of treasury stock repurchases.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54" w:name="page55"/>
    <w:bookmarkEnd w:id="54"/>
    <w:p>
      <w:pPr>
        <w:ind w:left="440"/>
        <w:spacing w:after="0"/>
        <w:rPr>
          <w:sz w:val="20"/>
          <w:szCs w:val="20"/>
          <w:color w:val="auto"/>
        </w:rPr>
      </w:pPr>
      <w:r>
        <w:rPr>
          <w:rFonts w:ascii="Arial" w:cs="Arial" w:eastAsia="Arial" w:hAnsi="Arial"/>
          <w:sz w:val="15"/>
          <w:szCs w:val="15"/>
          <w:color w:val="auto"/>
        </w:rPr>
        <w:t>The following table shows a summary of our cash flows for the years ended December 31, 2019 and 2018 (in thousands):</w:t>
      </w:r>
    </w:p>
    <w:p>
      <w:pPr>
        <w:spacing w:after="0" w:line="259" w:lineRule="exact"/>
        <w:rPr>
          <w:sz w:val="20"/>
          <w:szCs w:val="20"/>
          <w:color w:val="auto"/>
        </w:rPr>
      </w:pPr>
    </w:p>
    <w:tbl>
      <w:tblPr>
        <w:tblLayout w:type="fixed"/>
        <w:tblInd w:w="1900" w:type="dxa"/>
        <w:tblCellMar>
          <w:top w:w="0" w:type="dxa"/>
          <w:left w:w="0" w:type="dxa"/>
          <w:bottom w:w="0" w:type="dxa"/>
          <w:right w:w="0" w:type="dxa"/>
        </w:tblCellMar>
      </w:tblPr>
      <w:tr>
        <w:trPr>
          <w:trHeight w:val="147"/>
        </w:trPr>
        <w:tc>
          <w:tcPr>
            <w:tcW w:w="52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2"/>
                <w:szCs w:val="12"/>
                <w:color w:val="auto"/>
              </w:rPr>
            </w:pPr>
          </w:p>
        </w:tc>
      </w:tr>
      <w:tr>
        <w:trPr>
          <w:trHeight w:val="189"/>
        </w:trPr>
        <w:tc>
          <w:tcPr>
            <w:tcW w:w="5220" w:type="dxa"/>
            <w:vAlign w:val="bottom"/>
            <w:shd w:val="clear" w:color="auto" w:fill="CFF0FC"/>
          </w:tcPr>
          <w:p>
            <w:pPr>
              <w:spacing w:after="0"/>
              <w:rPr>
                <w:sz w:val="20"/>
                <w:szCs w:val="20"/>
                <w:color w:val="auto"/>
              </w:rPr>
            </w:pPr>
            <w:r>
              <w:rPr>
                <w:rFonts w:ascii="Arial" w:cs="Arial" w:eastAsia="Arial" w:hAnsi="Arial"/>
                <w:sz w:val="15"/>
                <w:szCs w:val="15"/>
                <w:color w:val="auto"/>
              </w:rPr>
              <w:t>Net cash (used in) provided by:</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5"/>
                <w:szCs w:val="15"/>
                <w:color w:val="auto"/>
              </w:rPr>
              <w:t>Operating activities</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(9,125)</w:t>
            </w: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(9,114)</w:t>
            </w:r>
          </w:p>
        </w:tc>
      </w:tr>
      <w:tr>
        <w:trPr>
          <w:trHeight w:val="197"/>
        </w:trPr>
        <w:tc>
          <w:tcPr>
            <w:tcW w:w="5220" w:type="dxa"/>
            <w:vAlign w:val="bottom"/>
            <w:shd w:val="clear" w:color="auto" w:fill="CFF0FC"/>
          </w:tcPr>
          <w:p>
            <w:pPr>
              <w:spacing w:after="0"/>
              <w:rPr>
                <w:sz w:val="20"/>
                <w:szCs w:val="20"/>
                <w:color w:val="auto"/>
              </w:rPr>
            </w:pPr>
            <w:r>
              <w:rPr>
                <w:rFonts w:ascii="Arial" w:cs="Arial" w:eastAsia="Arial" w:hAnsi="Arial"/>
                <w:sz w:val="15"/>
                <w:szCs w:val="15"/>
                <w:color w:val="auto"/>
              </w:rPr>
              <w:t>Investing activities</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626</w:t>
            </w:r>
          </w:p>
        </w:tc>
        <w:tc>
          <w:tcPr>
            <w:tcW w:w="80" w:type="dxa"/>
            <w:vAlign w:val="bottom"/>
            <w:shd w:val="clear" w:color="auto" w:fill="CFF0FC"/>
          </w:tcPr>
          <w:p>
            <w:pPr>
              <w:spacing w:after="0"/>
              <w:rPr>
                <w:sz w:val="17"/>
                <w:szCs w:val="17"/>
                <w:color w:val="auto"/>
              </w:rPr>
            </w:pPr>
          </w:p>
        </w:tc>
      </w:tr>
      <w:tr>
        <w:trPr>
          <w:trHeight w:val="197"/>
        </w:trPr>
        <w:tc>
          <w:tcPr>
            <w:tcW w:w="52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Financing activities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10,616</w:t>
            </w:r>
          </w:p>
        </w:tc>
        <w:tc>
          <w:tcPr>
            <w:tcW w:w="1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42,809</w:t>
            </w:r>
          </w:p>
        </w:tc>
        <w:tc>
          <w:tcPr>
            <w:tcW w:w="80" w:type="dxa"/>
            <w:vAlign w:val="bottom"/>
            <w:tcBorders>
              <w:bottom w:val="single" w:sz="8" w:color="CFF0FC"/>
            </w:tcBorders>
          </w:tcPr>
          <w:p>
            <w:pPr>
              <w:spacing w:after="0"/>
              <w:rPr>
                <w:sz w:val="17"/>
                <w:szCs w:val="17"/>
                <w:color w:val="auto"/>
              </w:rPr>
            </w:pPr>
          </w:p>
        </w:tc>
      </w:tr>
      <w:tr>
        <w:trPr>
          <w:trHeight w:val="189"/>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1,480</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34,321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Financing</w:t>
      </w:r>
    </w:p>
    <w:p>
      <w:pPr>
        <w:spacing w:after="0" w:line="106" w:lineRule="exact"/>
        <w:rPr>
          <w:sz w:val="20"/>
          <w:szCs w:val="20"/>
          <w:color w:val="auto"/>
        </w:rPr>
      </w:pPr>
    </w:p>
    <w:p>
      <w:pPr>
        <w:ind w:firstLine="440"/>
        <w:spacing w:after="0" w:line="284" w:lineRule="auto"/>
        <w:rPr>
          <w:sz w:val="20"/>
          <w:szCs w:val="20"/>
          <w:color w:val="auto"/>
        </w:rPr>
      </w:pPr>
      <w:r>
        <w:rPr>
          <w:rFonts w:ascii="Arial" w:cs="Arial" w:eastAsia="Arial" w:hAnsi="Arial"/>
          <w:sz w:val="14"/>
          <w:szCs w:val="14"/>
          <w:color w:val="auto"/>
        </w:rPr>
        <w:t>On May 22, 2015, we entered into an at-the-market issuance sales agreement (the “2015 ATM Agreement”) with MLV &amp; Co. LLC (MLV), pursuant to which we could sell common stock through MLV from time to time up to an aggregate offering price of $30.0 million. Sales of our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our prior approval. We agreed to pay MLV an aggregate commission rate of up to 4.0% of the gross proceeds of any common stock sold under this agreement. Proceeds from sales of common stock depended on the number of shares of common stock sold to MLV and the per share purchase price of each transaction. We were not obligated to make any sales of common stock under the sales agreement and could terminate the sales agreement at any time upon written notice. On September 16, 2016, we entered into an amendment No. 1 to the 2015 ATM Agreement with MLV to also include FBR Capital Markets &amp; Co (FBR) as a sales agent. The 2015 ATM Agreement was terminated on August 23, 2019.</w:t>
      </w:r>
    </w:p>
    <w:p>
      <w:pPr>
        <w:spacing w:after="0" w:line="159" w:lineRule="exact"/>
        <w:rPr>
          <w:sz w:val="20"/>
          <w:szCs w:val="20"/>
          <w:color w:val="auto"/>
        </w:rPr>
      </w:pPr>
    </w:p>
    <w:p>
      <w:pPr>
        <w:ind w:firstLine="645"/>
        <w:spacing w:after="0" w:line="287" w:lineRule="auto"/>
        <w:rPr>
          <w:sz w:val="20"/>
          <w:szCs w:val="20"/>
          <w:color w:val="auto"/>
        </w:rPr>
      </w:pPr>
      <w:r>
        <w:rPr>
          <w:rFonts w:ascii="Arial" w:cs="Arial" w:eastAsia="Arial" w:hAnsi="Arial"/>
          <w:sz w:val="14"/>
          <w:szCs w:val="14"/>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45" w:lineRule="exact"/>
        <w:rPr>
          <w:sz w:val="20"/>
          <w:szCs w:val="20"/>
          <w:color w:val="auto"/>
        </w:rPr>
      </w:pPr>
    </w:p>
    <w:p>
      <w:pPr>
        <w:jc w:val="both"/>
        <w:ind w:right="180" w:firstLine="440"/>
        <w:spacing w:after="0" w:line="274" w:lineRule="auto"/>
        <w:rPr>
          <w:sz w:val="20"/>
          <w:szCs w:val="20"/>
          <w:color w:val="auto"/>
        </w:rPr>
      </w:pPr>
      <w:r>
        <w:rPr>
          <w:rFonts w:ascii="Arial" w:cs="Arial" w:eastAsia="Arial" w:hAnsi="Arial"/>
          <w:sz w:val="15"/>
          <w:szCs w:val="15"/>
          <w:color w:val="auto"/>
        </w:rPr>
        <w:t>For the year ended December 31, 2019, we generated gross and net proceeds of $6.8 million and $6.5 million, respectively, on sales of 804,963 shares of our common stock at prices ranging from $7.24 to $10.03 per share. For the year ended December 31, 2018, we generated gross and net proceeds of $1.6 million and $1.5 million, respectively, on sales of 200,000 shares of our common stock at $7.81 per share.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Public Offering</w:t>
      </w:r>
    </w:p>
    <w:p>
      <w:pPr>
        <w:spacing w:after="0" w:line="210" w:lineRule="exact"/>
        <w:rPr>
          <w:sz w:val="20"/>
          <w:szCs w:val="20"/>
          <w:color w:val="auto"/>
        </w:rPr>
      </w:pPr>
    </w:p>
    <w:p>
      <w:pPr>
        <w:ind w:right="80" w:firstLine="440"/>
        <w:spacing w:after="0" w:line="294" w:lineRule="auto"/>
        <w:rPr>
          <w:sz w:val="20"/>
          <w:szCs w:val="20"/>
          <w:color w:val="auto"/>
        </w:rPr>
      </w:pPr>
      <w:r>
        <w:rPr>
          <w:rFonts w:ascii="Arial" w:cs="Arial" w:eastAsia="Arial" w:hAnsi="Arial"/>
          <w:sz w:val="14"/>
          <w:szCs w:val="14"/>
          <w:color w:val="auto"/>
        </w:rPr>
        <w:t>On February 12, 2018, we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we granted the underwriters a 30-day option to purchase up to an additional 662,983 shares of common stock at the public offering price, and on February 21, 2018, we sold an additional 126,038 shares of common stock for gross proceeds of $1.1 million pursuant to the partial exercise by the underwriters of their over-allotment option.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55" w:name="page56"/>
    <w:bookmarkEnd w:id="55"/>
    <w:p>
      <w:pPr>
        <w:spacing w:after="0"/>
        <w:rPr>
          <w:sz w:val="20"/>
          <w:szCs w:val="20"/>
          <w:color w:val="auto"/>
        </w:rPr>
      </w:pPr>
      <w:r>
        <w:rPr>
          <w:rFonts w:ascii="Arial" w:cs="Arial" w:eastAsia="Arial" w:hAnsi="Arial"/>
          <w:sz w:val="15"/>
          <w:szCs w:val="15"/>
          <w:i w:val="1"/>
          <w:iCs w:val="1"/>
          <w:color w:val="auto"/>
        </w:rPr>
        <w:t>Warrants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During the year ended December 31, 2018, warrants to purchase 750,000 shares were exercised for gross proceeds of $2.4 million. No warrants were outstanding in 2019.</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Factors That May Affect Future Financial Condition and Liquidity</w:t>
      </w:r>
    </w:p>
    <w:p>
      <w:pPr>
        <w:spacing w:after="0" w:line="112" w:lineRule="exact"/>
        <w:rPr>
          <w:sz w:val="20"/>
          <w:szCs w:val="20"/>
          <w:color w:val="auto"/>
        </w:rPr>
      </w:pPr>
    </w:p>
    <w:p>
      <w:pPr>
        <w:ind w:right="160" w:firstLine="440"/>
        <w:spacing w:after="0" w:line="290" w:lineRule="auto"/>
        <w:rPr>
          <w:sz w:val="20"/>
          <w:szCs w:val="20"/>
          <w:color w:val="auto"/>
        </w:rPr>
      </w:pPr>
      <w:r>
        <w:rPr>
          <w:rFonts w:ascii="Arial" w:cs="Arial" w:eastAsia="Arial" w:hAnsi="Arial"/>
          <w:sz w:val="15"/>
          <w:szCs w:val="15"/>
          <w:color w:val="auto"/>
        </w:rPr>
        <w:t>As of December 31, 2019, we had available cash and cash equivalents of $63.8 million and working capital of $62.1 million. As of the date of this report, we believe we have sufficient working capital to fund operations at least through the end of 2021.</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future funding requirements will depend on many factors, including, but not limited to:</w:t>
      </w:r>
    </w:p>
    <w:p>
      <w:pPr>
        <w:spacing w:after="0" w:line="106" w:lineRule="exact"/>
        <w:rPr>
          <w:sz w:val="20"/>
          <w:szCs w:val="20"/>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progress in, and the costs of, future planned clinical trials and other research and development activities;</w:t>
      </w:r>
    </w:p>
    <w:p>
      <w:pPr>
        <w:spacing w:after="0" w:line="106" w:lineRule="exact"/>
        <w:rPr>
          <w:rFonts w:ascii="Arial" w:cs="Arial" w:eastAsia="Arial" w:hAnsi="Arial"/>
          <w:sz w:val="15"/>
          <w:szCs w:val="15"/>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scope, prioritization and number of our product development programs;</w:t>
      </w:r>
    </w:p>
    <w:p>
      <w:pPr>
        <w:spacing w:after="0" w:line="106" w:lineRule="exact"/>
        <w:rPr>
          <w:rFonts w:ascii="Arial" w:cs="Arial" w:eastAsia="Arial" w:hAnsi="Arial"/>
          <w:sz w:val="15"/>
          <w:szCs w:val="15"/>
          <w:color w:val="auto"/>
        </w:rPr>
      </w:pPr>
    </w:p>
    <w:p>
      <w:pPr>
        <w:ind w:left="860" w:right="320" w:hanging="438"/>
        <w:spacing w:after="0" w:line="290" w:lineRule="auto"/>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obligations under our license agreements, pursuant to which we may be required to make future milestone payments upon the achievement of various milestones related to clinical, regulatory or commercial events;</w:t>
      </w:r>
    </w:p>
    <w:p>
      <w:pPr>
        <w:spacing w:after="0" w:line="47" w:lineRule="exact"/>
        <w:rPr>
          <w:rFonts w:ascii="Arial" w:cs="Arial" w:eastAsia="Arial" w:hAnsi="Arial"/>
          <w:sz w:val="15"/>
          <w:szCs w:val="15"/>
          <w:color w:val="auto"/>
        </w:rPr>
      </w:pPr>
    </w:p>
    <w:p>
      <w:pPr>
        <w:ind w:left="860" w:hanging="438"/>
        <w:spacing w:after="0"/>
        <w:tabs>
          <w:tab w:leader="none" w:pos="8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establish and maintain strategic collaborations, including licensing and other arrangements, and to complete acquisitions of additional product candidates;</w:t>
      </w:r>
    </w:p>
    <w:p>
      <w:pPr>
        <w:spacing w:after="0" w:line="117" w:lineRule="exact"/>
        <w:rPr>
          <w:rFonts w:ascii="Arial" w:cs="Arial" w:eastAsia="Arial" w:hAnsi="Arial"/>
          <w:sz w:val="14"/>
          <w:szCs w:val="14"/>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time and costs involved in obtaining regulatory approvals;</w:t>
      </w:r>
    </w:p>
    <w:p>
      <w:pPr>
        <w:spacing w:after="0" w:line="106" w:lineRule="exact"/>
        <w:rPr>
          <w:rFonts w:ascii="Arial" w:cs="Arial" w:eastAsia="Arial" w:hAnsi="Arial"/>
          <w:sz w:val="15"/>
          <w:szCs w:val="15"/>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costs of securing manufacturing arrangements for clinical or commercial production of our product candidates;</w:t>
      </w:r>
    </w:p>
    <w:p>
      <w:pPr>
        <w:spacing w:after="0" w:line="106" w:lineRule="exact"/>
        <w:rPr>
          <w:rFonts w:ascii="Arial" w:cs="Arial" w:eastAsia="Arial" w:hAnsi="Arial"/>
          <w:sz w:val="15"/>
          <w:szCs w:val="15"/>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costs associated with any expansion of our management, personnel, systems and facilities;</w:t>
      </w:r>
    </w:p>
    <w:p>
      <w:pPr>
        <w:spacing w:after="0" w:line="106" w:lineRule="exact"/>
        <w:rPr>
          <w:rFonts w:ascii="Arial" w:cs="Arial" w:eastAsia="Arial" w:hAnsi="Arial"/>
          <w:sz w:val="15"/>
          <w:szCs w:val="15"/>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costs associated with any litigation;</w:t>
      </w:r>
    </w:p>
    <w:p>
      <w:pPr>
        <w:spacing w:after="0" w:line="106" w:lineRule="exact"/>
        <w:rPr>
          <w:rFonts w:ascii="Arial" w:cs="Arial" w:eastAsia="Arial" w:hAnsi="Arial"/>
          <w:sz w:val="15"/>
          <w:szCs w:val="15"/>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costs associated with the operations or wind-down of any business we may acquire;</w:t>
      </w:r>
    </w:p>
    <w:p>
      <w:pPr>
        <w:spacing w:after="0" w:line="106" w:lineRule="exact"/>
        <w:rPr>
          <w:rFonts w:ascii="Arial" w:cs="Arial" w:eastAsia="Arial" w:hAnsi="Arial"/>
          <w:sz w:val="15"/>
          <w:szCs w:val="15"/>
          <w:color w:val="auto"/>
        </w:rPr>
      </w:pPr>
    </w:p>
    <w:p>
      <w:pPr>
        <w:ind w:left="860" w:hanging="438"/>
        <w:spacing w:after="0"/>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costs involved in filing, prosecuting, enforcing and defending patent claims and other intellectual property rights; and</w:t>
      </w:r>
    </w:p>
    <w:p>
      <w:pPr>
        <w:spacing w:after="0" w:line="106" w:lineRule="exact"/>
        <w:rPr>
          <w:rFonts w:ascii="Arial" w:cs="Arial" w:eastAsia="Arial" w:hAnsi="Arial"/>
          <w:sz w:val="15"/>
          <w:szCs w:val="15"/>
          <w:color w:val="auto"/>
        </w:rPr>
      </w:pPr>
    </w:p>
    <w:p>
      <w:pPr>
        <w:ind w:left="860" w:hanging="438"/>
        <w:spacing w:after="0" w:line="290" w:lineRule="auto"/>
        <w:tabs>
          <w:tab w:leader="none" w:pos="8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costs of establishing or contracting for sales and marketing capabilities and commercialization activities if we obtain regulatory approval to market any of our product candidates.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12" w:lineRule="exact"/>
        <w:rPr>
          <w:sz w:val="20"/>
          <w:szCs w:val="20"/>
          <w:color w:val="auto"/>
        </w:rPr>
      </w:pPr>
    </w:p>
    <w:p>
      <w:pPr>
        <w:ind w:right="20" w:firstLine="440"/>
        <w:spacing w:after="0" w:line="266" w:lineRule="auto"/>
        <w:rPr>
          <w:sz w:val="20"/>
          <w:szCs w:val="20"/>
          <w:color w:val="auto"/>
        </w:rPr>
      </w:pPr>
      <w:r>
        <w:rPr>
          <w:rFonts w:ascii="Arial" w:cs="Arial" w:eastAsia="Arial" w:hAnsi="Arial"/>
          <w:sz w:val="15"/>
          <w:szCs w:val="15"/>
          <w:color w:val="auto"/>
        </w:rPr>
        <w:t>At December 31, 2019,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60"/>
          </w:cols>
          <w:pgMar w:left="240" w:top="257"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5"/>
          <w:szCs w:val="15"/>
          <w:b w:val="1"/>
          <w:bCs w:val="1"/>
          <w:u w:val="single" w:color="auto"/>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MediciNova,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La Jolla, California</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Consolidated Financial Statements</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have audited the accompanying consolidated balance sheets of MediciNova, Inc. (the “Company”) as of December 31, 2019 and 2018, the related consolidated statements of operations and comprehensive loss, stockholders’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w:t>
      </w:r>
      <w:r>
        <w:rPr>
          <w:rFonts w:ascii="Arial" w:cs="Arial" w:eastAsia="Arial" w:hAnsi="Arial"/>
          <w:sz w:val="15"/>
          <w:szCs w:val="15"/>
          <w:b w:val="1"/>
          <w:bCs w:val="1"/>
          <w:color w:val="auto"/>
        </w:rPr>
        <w:t>,</w:t>
      </w:r>
      <w:r>
        <w:rPr>
          <w:rFonts w:ascii="Arial" w:cs="Arial" w:eastAsia="Arial" w:hAnsi="Arial"/>
          <w:sz w:val="15"/>
          <w:szCs w:val="15"/>
          <w:color w:val="auto"/>
        </w:rPr>
        <w:t xml:space="preserve"> in conformity with accounting principles generally accepted in the United States of America.</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and our report dated February 13, 2020 expressed an unqualified opinion thereon.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/s/ BDO USA, LLP</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2015.</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San Diego, California</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5"/>
          <w:szCs w:val="15"/>
          <w:b w:val="1"/>
          <w:bCs w:val="1"/>
          <w:color w:val="auto"/>
        </w:rPr>
        <w:t>MEDICINOVA, INC.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rPr>
              <w:t>December 31,</w:t>
            </w: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712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04"/>
              <w:spacing w:after="0" w:line="131"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43"/>
              <w:spacing w:after="0" w:line="131"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FF0FC"/>
            </w:tcBorders>
          </w:tcPr>
          <w:p>
            <w:pPr>
              <w:spacing w:after="0"/>
              <w:rPr>
                <w:sz w:val="11"/>
                <w:szCs w:val="11"/>
                <w:color w:val="auto"/>
              </w:rPr>
            </w:pPr>
          </w:p>
        </w:tc>
      </w:tr>
      <w:tr>
        <w:trPr>
          <w:trHeight w:val="189"/>
        </w:trPr>
        <w:tc>
          <w:tcPr>
            <w:tcW w:w="71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Assets:</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7"/>
        </w:trPr>
        <w:tc>
          <w:tcPr>
            <w:tcW w:w="7120" w:type="dxa"/>
            <w:vAlign w:val="bottom"/>
          </w:tcPr>
          <w:p>
            <w:pPr>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63,792,657</w:t>
            </w: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62,313,418</w:t>
            </w:r>
          </w:p>
        </w:tc>
        <w:tc>
          <w:tcPr>
            <w:tcW w:w="100" w:type="dxa"/>
            <w:vAlign w:val="bottom"/>
            <w:shd w:val="clear" w:color="auto" w:fill="CFF0FC"/>
          </w:tcPr>
          <w:p>
            <w:pPr>
              <w:spacing w:after="0"/>
              <w:rPr>
                <w:sz w:val="17"/>
                <w:szCs w:val="17"/>
                <w:color w:val="auto"/>
              </w:rPr>
            </w:pPr>
          </w:p>
        </w:tc>
      </w:tr>
      <w:tr>
        <w:trPr>
          <w:trHeight w:val="197"/>
        </w:trPr>
        <w:tc>
          <w:tcPr>
            <w:tcW w:w="712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Prepaid expense and other current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511,916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444,942</w:t>
            </w:r>
          </w:p>
        </w:tc>
        <w:tc>
          <w:tcPr>
            <w:tcW w:w="100" w:type="dxa"/>
            <w:vAlign w:val="bottom"/>
            <w:tcBorders>
              <w:bottom w:val="single" w:sz="8" w:color="CFF0FC"/>
            </w:tcBorders>
          </w:tcPr>
          <w:p>
            <w:pPr>
              <w:spacing w:after="0"/>
              <w:rPr>
                <w:sz w:val="17"/>
                <w:szCs w:val="17"/>
                <w:color w:val="auto"/>
              </w:rPr>
            </w:pPr>
          </w:p>
        </w:tc>
      </w:tr>
      <w:tr>
        <w:trPr>
          <w:trHeight w:val="189"/>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Total current assets</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64,304,573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62,758,360</w:t>
            </w:r>
          </w:p>
        </w:tc>
        <w:tc>
          <w:tcPr>
            <w:tcW w:w="100" w:type="dxa"/>
            <w:vAlign w:val="bottom"/>
            <w:shd w:val="clear" w:color="auto" w:fill="CFF0FC"/>
          </w:tcPr>
          <w:p>
            <w:pPr>
              <w:spacing w:after="0"/>
              <w:rPr>
                <w:sz w:val="16"/>
                <w:szCs w:val="16"/>
                <w:color w:val="auto"/>
              </w:rPr>
            </w:pPr>
          </w:p>
        </w:tc>
      </w:tr>
      <w:tr>
        <w:trPr>
          <w:trHeight w:val="197"/>
        </w:trPr>
        <w:tc>
          <w:tcPr>
            <w:tcW w:w="7120" w:type="dxa"/>
            <w:vAlign w:val="bottom"/>
          </w:tcPr>
          <w:p>
            <w:pPr>
              <w:spacing w:after="0"/>
              <w:rPr>
                <w:sz w:val="20"/>
                <w:szCs w:val="20"/>
                <w:color w:val="auto"/>
              </w:rPr>
            </w:pPr>
            <w:r>
              <w:rPr>
                <w:rFonts w:ascii="Arial" w:cs="Arial" w:eastAsia="Arial" w:hAnsi="Arial"/>
                <w:sz w:val="15"/>
                <w:szCs w:val="15"/>
                <w:color w:val="auto"/>
              </w:rPr>
              <w:t>Goodwill</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9,600,240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9,600,240</w:t>
            </w:r>
          </w:p>
        </w:tc>
        <w:tc>
          <w:tcPr>
            <w:tcW w:w="100" w:type="dxa"/>
            <w:vAlign w:val="bottom"/>
          </w:tcPr>
          <w:p>
            <w:pPr>
              <w:spacing w:after="0"/>
              <w:rPr>
                <w:sz w:val="17"/>
                <w:szCs w:val="17"/>
                <w:color w:val="auto"/>
              </w:rPr>
            </w:pPr>
          </w:p>
        </w:tc>
      </w:tr>
      <w:tr>
        <w:trPr>
          <w:trHeight w:val="197"/>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In-process research and development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4,800,000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4,800,000</w:t>
            </w:r>
          </w:p>
        </w:tc>
        <w:tc>
          <w:tcPr>
            <w:tcW w:w="100" w:type="dxa"/>
            <w:vAlign w:val="bottom"/>
            <w:shd w:val="clear" w:color="auto" w:fill="CFF0FC"/>
          </w:tcPr>
          <w:p>
            <w:pPr>
              <w:spacing w:after="0"/>
              <w:rPr>
                <w:sz w:val="17"/>
                <w:szCs w:val="17"/>
                <w:color w:val="auto"/>
              </w:rPr>
            </w:pPr>
          </w:p>
        </w:tc>
      </w:tr>
      <w:tr>
        <w:trPr>
          <w:trHeight w:val="197"/>
        </w:trPr>
        <w:tc>
          <w:tcPr>
            <w:tcW w:w="712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40,550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53,134</w:t>
            </w:r>
          </w:p>
        </w:tc>
        <w:tc>
          <w:tcPr>
            <w:tcW w:w="100" w:type="dxa"/>
            <w:vAlign w:val="bottom"/>
          </w:tcPr>
          <w:p>
            <w:pPr>
              <w:spacing w:after="0"/>
              <w:rPr>
                <w:sz w:val="17"/>
                <w:szCs w:val="17"/>
                <w:color w:val="auto"/>
              </w:rPr>
            </w:pPr>
          </w:p>
        </w:tc>
      </w:tr>
      <w:tr>
        <w:trPr>
          <w:trHeight w:val="197"/>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assets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459,811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10,958</w:t>
            </w:r>
          </w:p>
        </w:tc>
        <w:tc>
          <w:tcPr>
            <w:tcW w:w="100" w:type="dxa"/>
            <w:vAlign w:val="bottom"/>
            <w:shd w:val="clear" w:color="auto" w:fill="CFF0FC"/>
          </w:tcPr>
          <w:p>
            <w:pPr>
              <w:spacing w:after="0"/>
              <w:rPr>
                <w:sz w:val="17"/>
                <w:szCs w:val="17"/>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5"/>
                <w:szCs w:val="15"/>
                <w:color w:val="auto"/>
              </w:rPr>
              <w:t>Total assets</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79,205,174</w:t>
            </w:r>
          </w:p>
        </w:tc>
        <w:tc>
          <w:tcPr>
            <w:tcW w:w="160" w:type="dxa"/>
            <w:vAlign w:val="bottom"/>
          </w:tcPr>
          <w:p>
            <w:pPr>
              <w:spacing w:after="0"/>
              <w:rPr>
                <w:sz w:val="19"/>
                <w:szCs w:val="19"/>
                <w:color w:val="auto"/>
              </w:rPr>
            </w:pPr>
          </w:p>
        </w:tc>
        <w:tc>
          <w:tcPr>
            <w:tcW w:w="74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77,222,692</w:t>
            </w:r>
          </w:p>
        </w:tc>
        <w:tc>
          <w:tcPr>
            <w:tcW w:w="100" w:type="dxa"/>
            <w:vAlign w:val="bottom"/>
          </w:tcPr>
          <w:p>
            <w:pPr>
              <w:spacing w:after="0"/>
              <w:rPr>
                <w:sz w:val="19"/>
                <w:szCs w:val="19"/>
                <w:color w:val="auto"/>
              </w:rPr>
            </w:pPr>
          </w:p>
        </w:tc>
      </w:tr>
      <w:tr>
        <w:trPr>
          <w:trHeight w:val="172"/>
        </w:trPr>
        <w:tc>
          <w:tcPr>
            <w:tcW w:w="712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98"/>
        </w:trPr>
        <w:tc>
          <w:tcPr>
            <w:tcW w:w="712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120" w:type="dxa"/>
            <w:vAlign w:val="bottom"/>
          </w:tcPr>
          <w:p>
            <w:pPr>
              <w:spacing w:after="0"/>
              <w:rPr>
                <w:sz w:val="20"/>
                <w:szCs w:val="20"/>
                <w:color w:val="auto"/>
              </w:rPr>
            </w:pPr>
            <w:r>
              <w:rPr>
                <w:rFonts w:ascii="Arial" w:cs="Arial" w:eastAsia="Arial" w:hAnsi="Arial"/>
                <w:sz w:val="15"/>
                <w:szCs w:val="15"/>
                <w:color w:val="auto"/>
              </w:rPr>
              <w:t>Current liabilities: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451,326</w:t>
            </w: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616,753</w:t>
            </w:r>
          </w:p>
        </w:tc>
        <w:tc>
          <w:tcPr>
            <w:tcW w:w="100" w:type="dxa"/>
            <w:vAlign w:val="bottom"/>
            <w:shd w:val="clear" w:color="auto" w:fill="CFF0FC"/>
          </w:tcPr>
          <w:p>
            <w:pPr>
              <w:spacing w:after="0"/>
              <w:rPr>
                <w:sz w:val="17"/>
                <w:szCs w:val="17"/>
                <w:color w:val="auto"/>
              </w:rPr>
            </w:pPr>
          </w:p>
        </w:tc>
      </w:tr>
      <w:tr>
        <w:trPr>
          <w:trHeight w:val="197"/>
        </w:trPr>
        <w:tc>
          <w:tcPr>
            <w:tcW w:w="712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Accrued liabilities and other current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1,776,912</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1,575,161</w:t>
            </w:r>
          </w:p>
        </w:tc>
        <w:tc>
          <w:tcPr>
            <w:tcW w:w="100" w:type="dxa"/>
            <w:vAlign w:val="bottom"/>
            <w:tcBorders>
              <w:bottom w:val="single" w:sz="8" w:color="CFF0FC"/>
            </w:tcBorders>
          </w:tcPr>
          <w:p>
            <w:pPr>
              <w:spacing w:after="0"/>
              <w:rPr>
                <w:sz w:val="17"/>
                <w:szCs w:val="17"/>
                <w:color w:val="auto"/>
              </w:rPr>
            </w:pPr>
          </w:p>
        </w:tc>
      </w:tr>
      <w:tr>
        <w:trPr>
          <w:trHeight w:val="189"/>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Total current liabilities</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2,228,238</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2,191,914</w:t>
            </w:r>
          </w:p>
        </w:tc>
        <w:tc>
          <w:tcPr>
            <w:tcW w:w="100" w:type="dxa"/>
            <w:vAlign w:val="bottom"/>
            <w:shd w:val="clear" w:color="auto" w:fill="CFF0FC"/>
          </w:tcPr>
          <w:p>
            <w:pPr>
              <w:spacing w:after="0"/>
              <w:rPr>
                <w:sz w:val="16"/>
                <w:szCs w:val="16"/>
                <w:color w:val="auto"/>
              </w:rPr>
            </w:pPr>
          </w:p>
        </w:tc>
      </w:tr>
      <w:tr>
        <w:trPr>
          <w:trHeight w:val="197"/>
        </w:trPr>
        <w:tc>
          <w:tcPr>
            <w:tcW w:w="7120" w:type="dxa"/>
            <w:vAlign w:val="bottom"/>
          </w:tcPr>
          <w:p>
            <w:pPr>
              <w:spacing w:after="0"/>
              <w:rPr>
                <w:sz w:val="20"/>
                <w:szCs w:val="20"/>
                <w:color w:val="auto"/>
              </w:rPr>
            </w:pPr>
            <w:r>
              <w:rPr>
                <w:rFonts w:ascii="Arial" w:cs="Arial" w:eastAsia="Arial" w:hAnsi="Arial"/>
                <w:sz w:val="15"/>
                <w:szCs w:val="15"/>
                <w:color w:val="auto"/>
              </w:rPr>
              <w:t>Long-term deferred revenue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1,694,163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1,694,163</w:t>
            </w:r>
          </w:p>
        </w:tc>
        <w:tc>
          <w:tcPr>
            <w:tcW w:w="100" w:type="dxa"/>
            <w:vAlign w:val="bottom"/>
          </w:tcPr>
          <w:p>
            <w:pPr>
              <w:spacing w:after="0"/>
              <w:rPr>
                <w:sz w:val="17"/>
                <w:szCs w:val="17"/>
                <w:color w:val="auto"/>
              </w:rPr>
            </w:pPr>
          </w:p>
        </w:tc>
      </w:tr>
      <w:tr>
        <w:trPr>
          <w:trHeight w:val="197"/>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Deferred tax liability</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201,792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201,792</w:t>
            </w:r>
          </w:p>
        </w:tc>
        <w:tc>
          <w:tcPr>
            <w:tcW w:w="100" w:type="dxa"/>
            <w:vAlign w:val="bottom"/>
            <w:shd w:val="clear" w:color="auto" w:fill="CFF0FC"/>
          </w:tcPr>
          <w:p>
            <w:pPr>
              <w:spacing w:after="0"/>
              <w:rPr>
                <w:sz w:val="17"/>
                <w:szCs w:val="17"/>
                <w:color w:val="auto"/>
              </w:rPr>
            </w:pPr>
          </w:p>
        </w:tc>
      </w:tr>
      <w:tr>
        <w:trPr>
          <w:trHeight w:val="197"/>
        </w:trPr>
        <w:tc>
          <w:tcPr>
            <w:tcW w:w="71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186,358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27,211</w:t>
            </w:r>
          </w:p>
        </w:tc>
        <w:tc>
          <w:tcPr>
            <w:tcW w:w="100" w:type="dxa"/>
            <w:vAlign w:val="bottom"/>
            <w:tcBorders>
              <w:bottom w:val="single" w:sz="8" w:color="CFF0FC"/>
            </w:tcBorders>
          </w:tcPr>
          <w:p>
            <w:pPr>
              <w:spacing w:after="0"/>
              <w:rPr>
                <w:sz w:val="17"/>
                <w:szCs w:val="17"/>
                <w:color w:val="auto"/>
              </w:rPr>
            </w:pPr>
          </w:p>
        </w:tc>
      </w:tr>
      <w:tr>
        <w:trPr>
          <w:trHeight w:val="189"/>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Total liabilities</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4,310,551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4,115,080</w:t>
            </w:r>
          </w:p>
        </w:tc>
        <w:tc>
          <w:tcPr>
            <w:tcW w:w="100" w:type="dxa"/>
            <w:vAlign w:val="bottom"/>
            <w:shd w:val="clear" w:color="auto" w:fill="CFF0FC"/>
          </w:tcPr>
          <w:p>
            <w:pPr>
              <w:spacing w:after="0"/>
              <w:rPr>
                <w:sz w:val="16"/>
                <w:szCs w:val="16"/>
                <w:color w:val="auto"/>
              </w:rPr>
            </w:pPr>
          </w:p>
        </w:tc>
      </w:tr>
      <w:tr>
        <w:trPr>
          <w:trHeight w:val="197"/>
        </w:trPr>
        <w:tc>
          <w:tcPr>
            <w:tcW w:w="712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Stockholders’ equity:</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7"/>
        </w:trPr>
        <w:tc>
          <w:tcPr>
            <w:tcW w:w="7120" w:type="dxa"/>
            <w:vAlign w:val="bottom"/>
          </w:tcPr>
          <w:p>
            <w:pPr>
              <w:ind w:left="220"/>
              <w:spacing w:after="0"/>
              <w:rPr>
                <w:sz w:val="20"/>
                <w:szCs w:val="20"/>
                <w:color w:val="auto"/>
              </w:rPr>
            </w:pPr>
            <w:r>
              <w:rPr>
                <w:rFonts w:ascii="Arial" w:cs="Arial" w:eastAsia="Arial" w:hAnsi="Arial"/>
                <w:sz w:val="15"/>
                <w:szCs w:val="15"/>
                <w:color w:val="auto"/>
                <w:w w:val="96"/>
              </w:rPr>
              <w:t>Common stock, $0.001 par value; 100,000,000 shares authorized at December 31, 2019 and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120" w:type="dxa"/>
            <w:vAlign w:val="bottom"/>
          </w:tcPr>
          <w:p>
            <w:pPr>
              <w:ind w:left="220"/>
              <w:spacing w:after="0"/>
              <w:rPr>
                <w:sz w:val="20"/>
                <w:szCs w:val="20"/>
                <w:color w:val="auto"/>
              </w:rPr>
            </w:pPr>
            <w:r>
              <w:rPr>
                <w:rFonts w:ascii="Arial" w:cs="Arial" w:eastAsia="Arial" w:hAnsi="Arial"/>
                <w:sz w:val="15"/>
                <w:szCs w:val="15"/>
                <w:color w:val="auto"/>
                <w:w w:val="96"/>
              </w:rPr>
              <w:t>2018; 43,908,065 and 42,081,306 shares issued and outstanding at December 31, 2019 and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120" w:type="dxa"/>
            <w:vAlign w:val="bottom"/>
          </w:tcPr>
          <w:p>
            <w:pPr>
              <w:ind w:left="220"/>
              <w:spacing w:after="0"/>
              <w:rPr>
                <w:sz w:val="20"/>
                <w:szCs w:val="20"/>
                <w:color w:val="auto"/>
              </w:rPr>
            </w:pPr>
            <w:r>
              <w:rPr>
                <w:rFonts w:ascii="Arial" w:cs="Arial" w:eastAsia="Arial" w:hAnsi="Arial"/>
                <w:sz w:val="15"/>
                <w:szCs w:val="15"/>
                <w:color w:val="auto"/>
              </w:rPr>
              <w:t>2018, respectively</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43,908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42,081</w:t>
            </w:r>
          </w:p>
        </w:tc>
        <w:tc>
          <w:tcPr>
            <w:tcW w:w="100" w:type="dxa"/>
            <w:vAlign w:val="bottom"/>
          </w:tcPr>
          <w:p>
            <w:pPr>
              <w:spacing w:after="0"/>
              <w:rPr>
                <w:sz w:val="17"/>
                <w:szCs w:val="17"/>
                <w:color w:val="auto"/>
              </w:rPr>
            </w:pPr>
          </w:p>
        </w:tc>
      </w:tr>
      <w:tr>
        <w:trPr>
          <w:trHeight w:val="197"/>
        </w:trPr>
        <w:tc>
          <w:tcPr>
            <w:tcW w:w="7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Additional paid-in capital</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444,016,341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429,289,968</w:t>
            </w:r>
          </w:p>
        </w:tc>
        <w:tc>
          <w:tcPr>
            <w:tcW w:w="100" w:type="dxa"/>
            <w:vAlign w:val="bottom"/>
            <w:shd w:val="clear" w:color="auto" w:fill="CFF0FC"/>
          </w:tcPr>
          <w:p>
            <w:pPr>
              <w:spacing w:after="0"/>
              <w:rPr>
                <w:sz w:val="17"/>
                <w:szCs w:val="17"/>
                <w:color w:val="auto"/>
              </w:rPr>
            </w:pPr>
          </w:p>
        </w:tc>
      </w:tr>
      <w:tr>
        <w:trPr>
          <w:trHeight w:val="197"/>
        </w:trPr>
        <w:tc>
          <w:tcPr>
            <w:tcW w:w="712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(92,681)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5"/>
                <w:szCs w:val="15"/>
                <w:color w:val="auto"/>
              </w:rPr>
              <w:t>(93,150)</w:t>
            </w:r>
          </w:p>
        </w:tc>
      </w:tr>
      <w:tr>
        <w:trPr>
          <w:trHeight w:val="197"/>
        </w:trPr>
        <w:tc>
          <w:tcPr>
            <w:tcW w:w="7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Accumulated deficit</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(369,072,945)</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(356,131,287)</w:t>
            </w:r>
          </w:p>
        </w:tc>
      </w:tr>
      <w:tr>
        <w:trPr>
          <w:trHeight w:val="189"/>
        </w:trPr>
        <w:tc>
          <w:tcPr>
            <w:tcW w:w="71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Total stockholders’ equity</w:t>
            </w: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74,894,623</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73,107,612</w:t>
            </w:r>
          </w:p>
        </w:tc>
        <w:tc>
          <w:tcPr>
            <w:tcW w:w="100" w:type="dxa"/>
            <w:vAlign w:val="bottom"/>
            <w:tcBorders>
              <w:bottom w:val="single" w:sz="8" w:color="CFF0FC"/>
            </w:tcBorders>
          </w:tcPr>
          <w:p>
            <w:pPr>
              <w:spacing w:after="0"/>
              <w:rPr>
                <w:sz w:val="16"/>
                <w:szCs w:val="16"/>
                <w:color w:val="auto"/>
              </w:rPr>
            </w:pPr>
          </w:p>
        </w:tc>
      </w:tr>
      <w:tr>
        <w:trPr>
          <w:trHeight w:val="189"/>
        </w:trPr>
        <w:tc>
          <w:tcPr>
            <w:tcW w:w="7120" w:type="dxa"/>
            <w:vAlign w:val="bottom"/>
            <w:shd w:val="clear" w:color="auto" w:fill="CFF0FC"/>
          </w:tcPr>
          <w:p>
            <w:pPr>
              <w:spacing w:after="0"/>
              <w:rPr>
                <w:sz w:val="20"/>
                <w:szCs w:val="20"/>
                <w:color w:val="auto"/>
              </w:rPr>
            </w:pPr>
            <w:r>
              <w:rPr>
                <w:rFonts w:ascii="Arial" w:cs="Arial" w:eastAsia="Arial" w:hAnsi="Arial"/>
                <w:sz w:val="15"/>
                <w:szCs w:val="15"/>
                <w:color w:val="auto"/>
              </w:rPr>
              <w:t>Total liabilities and stockholders’ equity</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79,205,174</w:t>
            </w:r>
          </w:p>
        </w:tc>
        <w:tc>
          <w:tcPr>
            <w:tcW w:w="16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77,222,692</w:t>
            </w:r>
          </w:p>
        </w:tc>
        <w:tc>
          <w:tcPr>
            <w:tcW w:w="100" w:type="dxa"/>
            <w:vAlign w:val="bottom"/>
            <w:shd w:val="clear" w:color="auto" w:fill="CFF0FC"/>
          </w:tcPr>
          <w:p>
            <w:pPr>
              <w:spacing w:after="0"/>
              <w:rPr>
                <w:sz w:val="16"/>
                <w:szCs w:val="16"/>
                <w:color w:val="auto"/>
              </w:rPr>
            </w:pPr>
          </w:p>
        </w:tc>
      </w:tr>
      <w:tr>
        <w:trPr>
          <w:trHeight w:val="20"/>
        </w:trPr>
        <w:tc>
          <w:tcPr>
            <w:tcW w:w="7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61595</wp:posOffset>
            </wp:positionV>
            <wp:extent cx="73063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0780"/>
          </w:cols>
          <w:pgMar w:left="560" w:top="123" w:right="55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5"/>
          <w:szCs w:val="15"/>
          <w:b w:val="1"/>
          <w:bCs w:val="1"/>
          <w:color w:val="auto"/>
        </w:rPr>
        <w:t>MEDICINOVA, INC.</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Years ended December 31,</w:t>
            </w: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060" w:type="dxa"/>
            <w:vAlign w:val="bottom"/>
            <w:tcBorders>
              <w:bottom w:val="single" w:sz="8" w:color="CFF0FC"/>
            </w:tcBorders>
          </w:tcPr>
          <w:p>
            <w:pPr>
              <w:spacing w:after="0"/>
              <w:rPr>
                <w:sz w:val="11"/>
                <w:szCs w:val="11"/>
                <w:color w:val="auto"/>
              </w:rPr>
            </w:pPr>
          </w:p>
        </w:tc>
        <w:tc>
          <w:tcPr>
            <w:tcW w:w="182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5"/>
              <w:spacing w:after="0" w:line="131"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04"/>
              <w:spacing w:after="0" w:line="131"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Operating expenses:</w:t>
            </w:r>
          </w:p>
        </w:tc>
        <w:tc>
          <w:tcPr>
            <w:tcW w:w="1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60" w:type="dxa"/>
            <w:vAlign w:val="bottom"/>
          </w:tcPr>
          <w:p>
            <w:pPr>
              <w:ind w:left="420"/>
              <w:spacing w:after="0"/>
              <w:rPr>
                <w:sz w:val="20"/>
                <w:szCs w:val="20"/>
                <w:color w:val="auto"/>
              </w:rPr>
            </w:pPr>
            <w:r>
              <w:rPr>
                <w:rFonts w:ascii="Arial" w:cs="Arial" w:eastAsia="Arial" w:hAnsi="Arial"/>
                <w:sz w:val="15"/>
                <w:szCs w:val="15"/>
                <w:color w:val="auto"/>
              </w:rPr>
              <w:t>Research, development and patents</w:t>
            </w:r>
          </w:p>
        </w:tc>
        <w:tc>
          <w:tcPr>
            <w:tcW w:w="2200" w:type="dxa"/>
            <w:vAlign w:val="bottom"/>
            <w:gridSpan w:val="2"/>
          </w:tcPr>
          <w:p>
            <w:pPr>
              <w:jc w:val="right"/>
              <w:ind w:right="22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6,079,042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5,625,814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General and administrative</w:t>
            </w:r>
          </w:p>
        </w:tc>
        <w:tc>
          <w:tcPr>
            <w:tcW w:w="182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7,952,035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9,961,012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Total operating expenses</w:t>
            </w:r>
          </w:p>
        </w:tc>
        <w:tc>
          <w:tcPr>
            <w:tcW w:w="18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14,031,077</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15,586,826</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1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(14,031,077)</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(15,586,826)</w:t>
            </w:r>
          </w:p>
        </w:tc>
        <w:tc>
          <w:tcPr>
            <w:tcW w:w="0" w:type="dxa"/>
            <w:vAlign w:val="bottom"/>
          </w:tcPr>
          <w:p>
            <w:pPr>
              <w:spacing w:after="0"/>
              <w:rPr>
                <w:sz w:val="1"/>
                <w:szCs w:val="1"/>
                <w:color w:val="auto"/>
              </w:rPr>
            </w:pPr>
          </w:p>
        </w:tc>
      </w:tr>
      <w:tr>
        <w:trPr>
          <w:trHeight w:val="197"/>
        </w:trPr>
        <w:tc>
          <w:tcPr>
            <w:tcW w:w="6060" w:type="dxa"/>
            <w:vAlign w:val="bottom"/>
          </w:tcPr>
          <w:p>
            <w:pPr>
              <w:spacing w:after="0"/>
              <w:rPr>
                <w:sz w:val="20"/>
                <w:szCs w:val="20"/>
                <w:color w:val="auto"/>
              </w:rPr>
            </w:pPr>
            <w:r>
              <w:rPr>
                <w:rFonts w:ascii="Arial" w:cs="Arial" w:eastAsia="Arial" w:hAnsi="Arial"/>
                <w:sz w:val="15"/>
                <w:szCs w:val="15"/>
                <w:color w:val="auto"/>
              </w:rPr>
              <w:t>Interest income</w:t>
            </w: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1,148,242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939,909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Other expense, net</w:t>
            </w:r>
          </w:p>
        </w:tc>
        <w:tc>
          <w:tcPr>
            <w:tcW w:w="1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(46,163)</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(22,894)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5"/>
                <w:szCs w:val="15"/>
                <w:color w:val="auto"/>
              </w:rPr>
              <w:t>Loss before income taxes</w:t>
            </w:r>
          </w:p>
        </w:tc>
        <w:tc>
          <w:tcPr>
            <w:tcW w:w="1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6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(12,928,998)</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(14,669,811)</w:t>
            </w:r>
          </w:p>
        </w:tc>
        <w:tc>
          <w:tcPr>
            <w:tcW w:w="0" w:type="dxa"/>
            <w:vAlign w:val="bottom"/>
          </w:tcPr>
          <w:p>
            <w:pPr>
              <w:spacing w:after="0"/>
              <w:rPr>
                <w:sz w:val="1"/>
                <w:szCs w:val="1"/>
                <w:color w:val="auto"/>
              </w:rPr>
            </w:pPr>
          </w:p>
        </w:tc>
      </w:tr>
      <w:tr>
        <w:trPr>
          <w:trHeight w:val="197"/>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Income tax (expense)</w:t>
            </w:r>
          </w:p>
        </w:tc>
        <w:tc>
          <w:tcPr>
            <w:tcW w:w="1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(12,660)</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(5,276)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5"/>
                <w:szCs w:val="15"/>
                <w:color w:val="auto"/>
              </w:rPr>
              <w:t>Net loss applicable to common stockholders</w:t>
            </w:r>
          </w:p>
        </w:tc>
        <w:tc>
          <w:tcPr>
            <w:tcW w:w="1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(12,941,658)</w:t>
            </w:r>
          </w:p>
        </w:tc>
        <w:tc>
          <w:tcPr>
            <w:tcW w:w="180" w:type="dxa"/>
            <w:vAlign w:val="bottom"/>
          </w:tcPr>
          <w:p>
            <w:pPr>
              <w:spacing w:after="0"/>
              <w:rPr>
                <w:sz w:val="18"/>
                <w:szCs w:val="18"/>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(14,675,087)</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Basic and diluted net loss per common share</w:t>
            </w: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60" w:type="dxa"/>
            <w:vAlign w:val="bottom"/>
            <w:vMerge w:val="continue"/>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(0.30)</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(0.36)</w:t>
            </w:r>
          </w:p>
        </w:tc>
        <w:tc>
          <w:tcPr>
            <w:tcW w:w="0" w:type="dxa"/>
            <w:vAlign w:val="bottom"/>
          </w:tcPr>
          <w:p>
            <w:pPr>
              <w:spacing w:after="0"/>
              <w:rPr>
                <w:sz w:val="1"/>
                <w:szCs w:val="1"/>
                <w:color w:val="auto"/>
              </w:rPr>
            </w:pPr>
          </w:p>
        </w:tc>
      </w:tr>
      <w:tr>
        <w:trPr>
          <w:trHeight w:val="197"/>
        </w:trPr>
        <w:tc>
          <w:tcPr>
            <w:tcW w:w="6060" w:type="dxa"/>
            <w:vAlign w:val="bottom"/>
          </w:tcPr>
          <w:p>
            <w:pPr>
              <w:spacing w:after="0"/>
              <w:rPr>
                <w:sz w:val="20"/>
                <w:szCs w:val="20"/>
                <w:color w:val="auto"/>
              </w:rPr>
            </w:pPr>
            <w:r>
              <w:rPr>
                <w:rFonts w:ascii="Arial" w:cs="Arial" w:eastAsia="Arial" w:hAnsi="Arial"/>
                <w:sz w:val="15"/>
                <w:szCs w:val="15"/>
                <w:color w:val="auto"/>
              </w:rPr>
              <w:t>Shares used to compute basic and diluted net loss per common share</w:t>
            </w: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43,158,830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41,124,909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Net loss applicable to common stockholders</w:t>
            </w:r>
          </w:p>
        </w:tc>
        <w:tc>
          <w:tcPr>
            <w:tcW w:w="2200" w:type="dxa"/>
            <w:vAlign w:val="bottom"/>
            <w:gridSpan w:val="2"/>
            <w:shd w:val="clear" w:color="auto" w:fill="CFF0FC"/>
          </w:tcPr>
          <w:p>
            <w:pPr>
              <w:jc w:val="right"/>
              <w:ind w:right="223"/>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(12,941,658)</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(14,675,087)</w:t>
            </w:r>
          </w:p>
        </w:tc>
        <w:tc>
          <w:tcPr>
            <w:tcW w:w="0" w:type="dxa"/>
            <w:vAlign w:val="bottom"/>
          </w:tcPr>
          <w:p>
            <w:pPr>
              <w:spacing w:after="0"/>
              <w:rPr>
                <w:sz w:val="1"/>
                <w:szCs w:val="1"/>
                <w:color w:val="auto"/>
              </w:rPr>
            </w:pPr>
          </w:p>
        </w:tc>
      </w:tr>
      <w:tr>
        <w:trPr>
          <w:trHeight w:val="197"/>
        </w:trPr>
        <w:tc>
          <w:tcPr>
            <w:tcW w:w="6060" w:type="dxa"/>
            <w:vAlign w:val="bottom"/>
          </w:tcPr>
          <w:p>
            <w:pPr>
              <w:spacing w:after="0"/>
              <w:rPr>
                <w:sz w:val="20"/>
                <w:szCs w:val="20"/>
                <w:color w:val="auto"/>
              </w:rPr>
            </w:pPr>
            <w:r>
              <w:rPr>
                <w:rFonts w:ascii="Arial" w:cs="Arial" w:eastAsia="Arial" w:hAnsi="Arial"/>
                <w:sz w:val="15"/>
                <w:szCs w:val="15"/>
                <w:color w:val="auto"/>
              </w:rPr>
              <w:t>Other comprehensive income, net of tax:</w:t>
            </w: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82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1,473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5"/>
                <w:szCs w:val="15"/>
                <w:color w:val="auto"/>
              </w:rPr>
              <w:t>Comprehensive loss</w:t>
            </w:r>
          </w:p>
        </w:tc>
        <w:tc>
          <w:tcPr>
            <w:tcW w:w="2200" w:type="dxa"/>
            <w:vAlign w:val="bottom"/>
            <w:gridSpan w:val="2"/>
          </w:tcPr>
          <w:p>
            <w:pPr>
              <w:jc w:val="right"/>
              <w:ind w:right="223"/>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(12,941,189)</w:t>
            </w:r>
          </w:p>
        </w:tc>
        <w:tc>
          <w:tcPr>
            <w:tcW w:w="180" w:type="dxa"/>
            <w:vAlign w:val="bottom"/>
          </w:tcPr>
          <w:p>
            <w:pPr>
              <w:spacing w:after="0"/>
              <w:rPr>
                <w:sz w:val="16"/>
                <w:szCs w:val="16"/>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(14,673,614)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5"/>
          <w:szCs w:val="15"/>
          <w:b w:val="1"/>
          <w:bCs w:val="1"/>
          <w:color w:val="auto"/>
        </w:rPr>
        <w:t>MEDICINOVA, INC.</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2220" w:type="dxa"/>
            <w:vAlign w:val="bottom"/>
            <w:gridSpan w:val="7"/>
            <w:vMerge w:val="restart"/>
          </w:tcPr>
          <w:p>
            <w:pPr>
              <w:ind w:left="60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jc w:val="center"/>
              <w:ind w:right="32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22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6"/>
              </w:rPr>
              <w:t>paid-in</w:t>
            </w:r>
          </w:p>
        </w:tc>
        <w:tc>
          <w:tcPr>
            <w:tcW w:w="10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stockholders’</w:t>
            </w: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900" w:type="dxa"/>
            <w:vAlign w:val="bottom"/>
            <w:tcBorders>
              <w:top w:val="single" w:sz="8" w:color="auto"/>
            </w:tcBorders>
          </w:tcPr>
          <w:p>
            <w:pPr>
              <w:jc w:val="right"/>
              <w:ind w:right="218"/>
              <w:spacing w:after="0" w:line="131" w:lineRule="exact"/>
              <w:rPr>
                <w:sz w:val="20"/>
                <w:szCs w:val="20"/>
                <w:color w:val="auto"/>
              </w:rPr>
            </w:pPr>
            <w:r>
              <w:rPr>
                <w:rFonts w:ascii="Arial" w:cs="Arial" w:eastAsia="Arial" w:hAnsi="Arial"/>
                <w:sz w:val="12"/>
                <w:szCs w:val="12"/>
                <w:b w:val="1"/>
                <w:bCs w:val="1"/>
                <w:color w:val="auto"/>
              </w:rPr>
              <w:t>Shares</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78"/>
              <w:spacing w:after="0" w:line="131" w:lineRule="exact"/>
              <w:rPr>
                <w:sz w:val="20"/>
                <w:szCs w:val="20"/>
                <w:color w:val="auto"/>
              </w:rPr>
            </w:pPr>
            <w:r>
              <w:rPr>
                <w:rFonts w:ascii="Arial" w:cs="Arial" w:eastAsia="Arial" w:hAnsi="Arial"/>
                <w:sz w:val="12"/>
                <w:szCs w:val="12"/>
                <w:b w:val="1"/>
                <w:bCs w:val="1"/>
                <w:color w:val="auto"/>
              </w:rPr>
              <w:t>Amount</w:t>
            </w:r>
          </w:p>
        </w:tc>
        <w:tc>
          <w:tcPr>
            <w:tcW w:w="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320"/>
              <w:spacing w:after="0" w:line="131" w:lineRule="exact"/>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87"/>
              </w:rPr>
              <w:t>income (loss)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center"/>
              <w:ind w:right="300"/>
              <w:spacing w:after="0" w:line="131" w:lineRule="exact"/>
              <w:rPr>
                <w:sz w:val="20"/>
                <w:szCs w:val="20"/>
                <w:color w:val="auto"/>
              </w:rPr>
            </w:pPr>
            <w:r>
              <w:rPr>
                <w:rFonts w:ascii="Arial" w:cs="Arial" w:eastAsia="Arial" w:hAnsi="Arial"/>
                <w:sz w:val="12"/>
                <w:szCs w:val="12"/>
                <w:b w:val="1"/>
                <w:bCs w:val="1"/>
                <w:color w:val="auto"/>
                <w:w w:val="90"/>
              </w:rPr>
              <w:t>deficit</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131"/>
        </w:trPr>
        <w:tc>
          <w:tcPr>
            <w:tcW w:w="4800" w:type="dxa"/>
            <w:vAlign w:val="bottom"/>
            <w:tcBorders>
              <w:top w:val="single" w:sz="8" w:color="CFF0FC"/>
            </w:tcBorders>
            <w:shd w:val="clear" w:color="auto" w:fill="CFF0FC"/>
          </w:tcPr>
          <w:p>
            <w:pPr>
              <w:ind w:left="200"/>
              <w:spacing w:after="0" w:line="131" w:lineRule="exact"/>
              <w:rPr>
                <w:sz w:val="20"/>
                <w:szCs w:val="20"/>
                <w:color w:val="auto"/>
              </w:rPr>
            </w:pPr>
            <w:r>
              <w:rPr>
                <w:rFonts w:ascii="Arial" w:cs="Arial" w:eastAsia="Arial" w:hAnsi="Arial"/>
                <w:sz w:val="12"/>
                <w:szCs w:val="12"/>
                <w:color w:val="auto"/>
              </w:rPr>
              <w:t>Balance at December 31, 2017</w:t>
            </w:r>
          </w:p>
        </w:tc>
        <w:tc>
          <w:tcPr>
            <w:tcW w:w="900" w:type="dxa"/>
            <w:vAlign w:val="bottom"/>
            <w:tcBorders>
              <w:top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36,452,893</w:t>
            </w:r>
          </w:p>
        </w:tc>
        <w:tc>
          <w:tcPr>
            <w:tcW w:w="220" w:type="dxa"/>
            <w:vAlign w:val="bottom"/>
            <w:tcBorders>
              <w:top w:val="single" w:sz="8" w:color="CFF0FC"/>
            </w:tcBorders>
            <w:gridSpan w:val="2"/>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36,453</w:t>
            </w: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380,156,510</w:t>
            </w: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(94,623)</w:t>
            </w: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gridSpan w:val="2"/>
            <w:shd w:val="clear" w:color="auto" w:fill="CFF0FC"/>
          </w:tcPr>
          <w:p>
            <w:pPr>
              <w:jc w:val="right"/>
              <w:spacing w:after="0" w:line="131" w:lineRule="exact"/>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(341,456,200)</w:t>
            </w: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38,642,140</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6,330,305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6,330,305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Issuance of shares under an employee stock purchase plan (ESPP)</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7,094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51,002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20"/>
                <w:szCs w:val="20"/>
                <w:color w:val="auto"/>
              </w:rPr>
            </w:pPr>
            <w:r>
              <w:rPr>
                <w:rFonts w:ascii="Arial" w:cs="Arial" w:eastAsia="Arial" w:hAnsi="Arial"/>
                <w:sz w:val="12"/>
                <w:szCs w:val="12"/>
                <w:color w:val="auto"/>
              </w:rPr>
              <w:t>Issuance of common stock under public offering, net of offering costs</w:t>
            </w:r>
          </w:p>
        </w:tc>
        <w:tc>
          <w:tcPr>
            <w:tcW w:w="900" w:type="dxa"/>
            <w:vAlign w:val="bottom"/>
          </w:tcPr>
          <w:p>
            <w:pPr>
              <w:jc w:val="right"/>
              <w:spacing w:after="0"/>
              <w:rPr>
                <w:sz w:val="20"/>
                <w:szCs w:val="20"/>
                <w:color w:val="auto"/>
              </w:rPr>
            </w:pPr>
            <w:r>
              <w:rPr>
                <w:rFonts w:ascii="Arial" w:cs="Arial" w:eastAsia="Arial" w:hAnsi="Arial"/>
                <w:sz w:val="12"/>
                <w:szCs w:val="12"/>
                <w:color w:val="auto"/>
              </w:rPr>
              <w:t>4,545,928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38,468,425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38,472,971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800" w:type="dxa"/>
            <w:vAlign w:val="bottom"/>
            <w:shd w:val="clear" w:color="auto" w:fill="CFF0FC"/>
          </w:tcPr>
          <w:p>
            <w:pPr>
              <w:spacing w:after="0" w:line="124" w:lineRule="exact"/>
              <w:rPr>
                <w:sz w:val="20"/>
                <w:szCs w:val="20"/>
                <w:color w:val="auto"/>
              </w:rPr>
            </w:pPr>
            <w:r>
              <w:rPr>
                <w:rFonts w:ascii="Arial" w:cs="Arial" w:eastAsia="Arial" w:hAnsi="Arial"/>
                <w:sz w:val="12"/>
                <w:szCs w:val="12"/>
                <w:color w:val="auto"/>
              </w:rPr>
              <w:t>Issuance of common stock under at-the-market equity distribution</w:t>
            </w: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8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and sales agreements, net of offering costs</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1,514,905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1,515,105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20"/>
                <w:szCs w:val="20"/>
                <w:color w:val="auto"/>
              </w:rPr>
            </w:pPr>
            <w:r>
              <w:rPr>
                <w:rFonts w:ascii="Arial" w:cs="Arial" w:eastAsia="Arial" w:hAnsi="Arial"/>
                <w:sz w:val="12"/>
                <w:szCs w:val="12"/>
                <w:color w:val="auto"/>
              </w:rPr>
              <w:t>Issuance of common stock for option exercises</w:t>
            </w:r>
          </w:p>
        </w:tc>
        <w:tc>
          <w:tcPr>
            <w:tcW w:w="900" w:type="dxa"/>
            <w:vAlign w:val="bottom"/>
          </w:tcPr>
          <w:p>
            <w:pPr>
              <w:jc w:val="right"/>
              <w:spacing w:after="0"/>
              <w:rPr>
                <w:sz w:val="20"/>
                <w:szCs w:val="20"/>
                <w:color w:val="auto"/>
              </w:rPr>
            </w:pPr>
            <w:r>
              <w:rPr>
                <w:rFonts w:ascii="Arial" w:cs="Arial" w:eastAsia="Arial" w:hAnsi="Arial"/>
                <w:sz w:val="12"/>
                <w:szCs w:val="12"/>
                <w:color w:val="auto"/>
              </w:rPr>
              <w:t>125,391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407,071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407,196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Exercise of warrants</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2,361,750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2,362,500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20"/>
                <w:szCs w:val="20"/>
                <w:color w:val="auto"/>
              </w:rPr>
            </w:pPr>
            <w:r>
              <w:rPr>
                <w:rFonts w:ascii="Arial" w:cs="Arial" w:eastAsia="Arial" w:hAnsi="Arial"/>
                <w:sz w:val="12"/>
                <w:szCs w:val="12"/>
                <w:color w:val="auto"/>
              </w:rPr>
              <w:t>Net loss</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2"/>
                <w:szCs w:val="12"/>
                <w:color w:val="auto"/>
              </w:rPr>
              <w:t>(14,675,087)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(14,675,087)</w:t>
            </w:r>
          </w:p>
        </w:tc>
        <w:tc>
          <w:tcPr>
            <w:tcW w:w="0" w:type="dxa"/>
            <w:vAlign w:val="bottom"/>
          </w:tcPr>
          <w:p>
            <w:pPr>
              <w:spacing w:after="0"/>
              <w:rPr>
                <w:sz w:val="1"/>
                <w:szCs w:val="1"/>
                <w:color w:val="auto"/>
              </w:rPr>
            </w:pPr>
          </w:p>
        </w:tc>
      </w:tr>
      <w:tr>
        <w:trPr>
          <w:trHeight w:val="139"/>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 adjustments</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00" w:type="dxa"/>
            <w:vAlign w:val="bottom"/>
          </w:tcPr>
          <w:p>
            <w:pPr>
              <w:ind w:left="200"/>
              <w:spacing w:after="0" w:line="131" w:lineRule="exact"/>
              <w:rPr>
                <w:sz w:val="20"/>
                <w:szCs w:val="20"/>
                <w:color w:val="auto"/>
              </w:rPr>
            </w:pPr>
            <w:r>
              <w:rPr>
                <w:rFonts w:ascii="Arial" w:cs="Arial" w:eastAsia="Arial" w:hAnsi="Arial"/>
                <w:sz w:val="12"/>
                <w:szCs w:val="12"/>
                <w:color w:val="auto"/>
              </w:rPr>
              <w:t>Balance at December 31, 2018</w:t>
            </w:r>
          </w:p>
        </w:tc>
        <w:tc>
          <w:tcPr>
            <w:tcW w:w="9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42,081,306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42,081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429,289,968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(93,150)</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(356,131,287)</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73,107,612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Share-based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4,112,649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4,112,649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20"/>
                <w:szCs w:val="20"/>
                <w:color w:val="auto"/>
              </w:rPr>
            </w:pPr>
            <w:r>
              <w:rPr>
                <w:rFonts w:ascii="Arial" w:cs="Arial" w:eastAsia="Arial" w:hAnsi="Arial"/>
                <w:sz w:val="12"/>
                <w:szCs w:val="12"/>
                <w:color w:val="auto"/>
              </w:rPr>
              <w:t>Issuance of shares under an employee stock purchase plan (ESPP)</w:t>
            </w:r>
          </w:p>
        </w:tc>
        <w:tc>
          <w:tcPr>
            <w:tcW w:w="900" w:type="dxa"/>
            <w:vAlign w:val="bottom"/>
          </w:tcPr>
          <w:p>
            <w:pPr>
              <w:jc w:val="right"/>
              <w:spacing w:after="0"/>
              <w:rPr>
                <w:sz w:val="20"/>
                <w:szCs w:val="20"/>
                <w:color w:val="auto"/>
              </w:rPr>
            </w:pPr>
            <w:r>
              <w:rPr>
                <w:rFonts w:ascii="Arial" w:cs="Arial" w:eastAsia="Arial" w:hAnsi="Arial"/>
                <w:sz w:val="12"/>
                <w:szCs w:val="12"/>
                <w:color w:val="auto"/>
              </w:rPr>
              <w:t>3,942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27,316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800" w:type="dxa"/>
            <w:vAlign w:val="bottom"/>
            <w:shd w:val="clear" w:color="auto" w:fill="CFF0FC"/>
          </w:tcPr>
          <w:p>
            <w:pPr>
              <w:spacing w:after="0" w:line="124" w:lineRule="exact"/>
              <w:rPr>
                <w:sz w:val="20"/>
                <w:szCs w:val="20"/>
                <w:color w:val="auto"/>
              </w:rPr>
            </w:pPr>
            <w:r>
              <w:rPr>
                <w:rFonts w:ascii="Arial" w:cs="Arial" w:eastAsia="Arial" w:hAnsi="Arial"/>
                <w:sz w:val="12"/>
                <w:szCs w:val="12"/>
                <w:color w:val="auto"/>
              </w:rPr>
              <w:t>Issuance of common stock under at-the-market equity distribution</w:t>
            </w: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8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and sales agreements, net of offering costs</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804,963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6,468,705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6,469,510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20"/>
                <w:szCs w:val="20"/>
                <w:color w:val="auto"/>
              </w:rPr>
            </w:pPr>
            <w:r>
              <w:rPr>
                <w:rFonts w:ascii="Arial" w:cs="Arial" w:eastAsia="Arial" w:hAnsi="Arial"/>
                <w:sz w:val="12"/>
                <w:szCs w:val="12"/>
                <w:color w:val="auto"/>
              </w:rPr>
              <w:t>Issuance of common stock for option exercises</w:t>
            </w:r>
          </w:p>
        </w:tc>
        <w:tc>
          <w:tcPr>
            <w:tcW w:w="900" w:type="dxa"/>
            <w:vAlign w:val="bottom"/>
          </w:tcPr>
          <w:p>
            <w:pPr>
              <w:jc w:val="right"/>
              <w:spacing w:after="0"/>
              <w:rPr>
                <w:sz w:val="20"/>
                <w:szCs w:val="20"/>
                <w:color w:val="auto"/>
              </w:rPr>
            </w:pPr>
            <w:r>
              <w:rPr>
                <w:rFonts w:ascii="Arial" w:cs="Arial" w:eastAsia="Arial" w:hAnsi="Arial"/>
                <w:sz w:val="12"/>
                <w:szCs w:val="12"/>
                <w:color w:val="auto"/>
              </w:rPr>
              <w:t>1,017,854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4,117,703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4,118,721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9"/>
              <w:spacing w:after="0"/>
              <w:rPr>
                <w:sz w:val="20"/>
                <w:szCs w:val="20"/>
                <w:color w:val="auto"/>
              </w:rPr>
            </w:pPr>
            <w:r>
              <w:rPr>
                <w:rFonts w:ascii="Arial" w:cs="Arial" w:eastAsia="Arial" w:hAnsi="Arial"/>
                <w:sz w:val="12"/>
                <w:szCs w:val="12"/>
                <w:color w:val="auto"/>
              </w:rPr>
              <w:t>(12,941,658)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(12,941,658)</w:t>
            </w:r>
          </w:p>
        </w:tc>
        <w:tc>
          <w:tcPr>
            <w:tcW w:w="0" w:type="dxa"/>
            <w:vAlign w:val="bottom"/>
          </w:tcPr>
          <w:p>
            <w:pPr>
              <w:spacing w:after="0"/>
              <w:rPr>
                <w:sz w:val="1"/>
                <w:szCs w:val="1"/>
                <w:color w:val="auto"/>
              </w:rPr>
            </w:pPr>
          </w:p>
        </w:tc>
      </w:tr>
      <w:tr>
        <w:trPr>
          <w:trHeight w:val="139"/>
        </w:trPr>
        <w:tc>
          <w:tcPr>
            <w:tcW w:w="4800" w:type="dxa"/>
            <w:vAlign w:val="bottom"/>
          </w:tcPr>
          <w:p>
            <w:pPr>
              <w:spacing w:after="0"/>
              <w:rPr>
                <w:sz w:val="20"/>
                <w:szCs w:val="20"/>
                <w:color w:val="auto"/>
              </w:rPr>
            </w:pPr>
            <w:r>
              <w:rPr>
                <w:rFonts w:ascii="Arial" w:cs="Arial" w:eastAsia="Arial" w:hAnsi="Arial"/>
                <w:sz w:val="12"/>
                <w:szCs w:val="12"/>
                <w:color w:val="auto"/>
              </w:rPr>
              <w:t>Foreign currency translation adjustments</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00" w:type="dxa"/>
            <w:vAlign w:val="bottom"/>
            <w:tcBorders>
              <w:top w:val="single" w:sz="8" w:color="CFF0FC"/>
              <w:bottom w:val="single" w:sz="8" w:color="CFF0FC"/>
            </w:tcBorders>
            <w:shd w:val="clear" w:color="auto" w:fill="CFF0FC"/>
          </w:tcPr>
          <w:p>
            <w:pPr>
              <w:ind w:left="200"/>
              <w:spacing w:after="0" w:line="131" w:lineRule="exact"/>
              <w:rPr>
                <w:sz w:val="20"/>
                <w:szCs w:val="20"/>
                <w:color w:val="auto"/>
              </w:rPr>
            </w:pPr>
            <w:r>
              <w:rPr>
                <w:rFonts w:ascii="Arial" w:cs="Arial" w:eastAsia="Arial" w:hAnsi="Arial"/>
                <w:sz w:val="12"/>
                <w:szCs w:val="12"/>
                <w:color w:val="auto"/>
              </w:rPr>
              <w:t>Balance at December 31, 2019</w:t>
            </w:r>
          </w:p>
        </w:tc>
        <w:tc>
          <w:tcPr>
            <w:tcW w:w="900" w:type="dxa"/>
            <w:vAlign w:val="bottom"/>
            <w:tcBorders>
              <w:top w:val="single" w:sz="8" w:color="auto"/>
              <w:bottom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43,908,065</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43,908</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444,016,341</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(92,681)</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(369,072,945</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31" w:lineRule="exact"/>
              <w:rPr>
                <w:sz w:val="20"/>
                <w:szCs w:val="20"/>
                <w:color w:val="auto"/>
              </w:rPr>
            </w:pPr>
            <w:r>
              <w:rPr>
                <w:rFonts w:ascii="Arial" w:cs="Arial" w:eastAsia="Arial" w:hAnsi="Arial"/>
                <w:sz w:val="12"/>
                <w:szCs w:val="12"/>
                <w:color w:val="auto"/>
              </w:rPr>
              <w:t>74,894,623</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61595</wp:posOffset>
            </wp:positionV>
            <wp:extent cx="730631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5"/>
          <w:szCs w:val="15"/>
          <w:b w:val="1"/>
          <w:bCs w:val="1"/>
          <w:color w:val="auto"/>
        </w:rPr>
        <w:t>MEDICINOVA, INC.</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Years ended December 31,</w:t>
            </w: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180" w:type="dxa"/>
            <w:vAlign w:val="bottom"/>
            <w:tcBorders>
              <w:bottom w:val="single" w:sz="8" w:color="CFF0FC"/>
            </w:tcBorders>
          </w:tcPr>
          <w:p>
            <w:pPr>
              <w:spacing w:after="0"/>
              <w:rPr>
                <w:sz w:val="11"/>
                <w:szCs w:val="11"/>
                <w:color w:val="auto"/>
              </w:rPr>
            </w:pPr>
          </w:p>
        </w:tc>
        <w:tc>
          <w:tcPr>
            <w:tcW w:w="170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4"/>
              <w:spacing w:after="0" w:line="131"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03"/>
              <w:spacing w:after="0" w:line="131"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5"/>
                <w:szCs w:val="15"/>
                <w:color w:val="auto"/>
              </w:rPr>
              <w:t>Operating activities:</w:t>
            </w:r>
          </w:p>
        </w:tc>
        <w:tc>
          <w:tcPr>
            <w:tcW w:w="1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80" w:type="dxa"/>
            <w:vAlign w:val="bottom"/>
          </w:tcPr>
          <w:p>
            <w:pPr>
              <w:spacing w:after="0"/>
              <w:rPr>
                <w:sz w:val="20"/>
                <w:szCs w:val="20"/>
                <w:color w:val="auto"/>
              </w:rPr>
            </w:pPr>
            <w:r>
              <w:rPr>
                <w:rFonts w:ascii="Arial" w:cs="Arial" w:eastAsia="Arial" w:hAnsi="Arial"/>
                <w:sz w:val="15"/>
                <w:szCs w:val="15"/>
                <w:color w:val="auto"/>
              </w:rPr>
              <w:t>Net loss</w:t>
            </w:r>
          </w:p>
        </w:tc>
        <w:tc>
          <w:tcPr>
            <w:tcW w:w="20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(12,941,658)</w:t>
            </w:r>
          </w:p>
        </w:tc>
        <w:tc>
          <w:tcPr>
            <w:tcW w:w="7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(14,675,087)</w:t>
            </w:r>
          </w:p>
        </w:tc>
        <w:tc>
          <w:tcPr>
            <w:tcW w:w="0" w:type="dxa"/>
            <w:vAlign w:val="bottom"/>
          </w:tcPr>
          <w:p>
            <w:pPr>
              <w:spacing w:after="0"/>
              <w:rPr>
                <w:sz w:val="1"/>
                <w:szCs w:val="1"/>
                <w:color w:val="auto"/>
              </w:rPr>
            </w:pPr>
          </w:p>
        </w:tc>
      </w:tr>
      <w:tr>
        <w:trPr>
          <w:trHeight w:val="197"/>
        </w:trPr>
        <w:tc>
          <w:tcPr>
            <w:tcW w:w="61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200"/>
              <w:spacing w:after="0"/>
              <w:rPr>
                <w:sz w:val="20"/>
                <w:szCs w:val="20"/>
                <w:color w:val="auto"/>
              </w:rPr>
            </w:pPr>
            <w:r>
              <w:rPr>
                <w:rFonts w:ascii="Arial" w:cs="Arial" w:eastAsia="Arial" w:hAnsi="Arial"/>
                <w:sz w:val="15"/>
                <w:szCs w:val="15"/>
                <w:color w:val="auto"/>
              </w:rPr>
              <w:t>Non-cash share-based compensation</w:t>
            </w: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4,112,649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6,330,305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Depreciation and amortization</w:t>
            </w: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25,881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200"/>
              <w:spacing w:after="0"/>
              <w:rPr>
                <w:sz w:val="20"/>
                <w:szCs w:val="20"/>
                <w:color w:val="auto"/>
              </w:rPr>
            </w:pPr>
            <w:r>
              <w:rPr>
                <w:rFonts w:ascii="Arial" w:cs="Arial" w:eastAsia="Arial" w:hAnsi="Arial"/>
                <w:sz w:val="15"/>
                <w:szCs w:val="15"/>
                <w:color w:val="auto"/>
              </w:rPr>
              <w:t>Change in joint venture investment</w:t>
            </w: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(19,867)</w:t>
            </w:r>
          </w:p>
        </w:tc>
        <w:tc>
          <w:tcPr>
            <w:tcW w:w="0" w:type="dxa"/>
            <w:vAlign w:val="bottom"/>
          </w:tcPr>
          <w:p>
            <w:pPr>
              <w:spacing w:after="0"/>
              <w:rPr>
                <w:sz w:val="1"/>
                <w:szCs w:val="1"/>
                <w:color w:val="auto"/>
              </w:rPr>
            </w:pPr>
          </w:p>
        </w:tc>
      </w:tr>
      <w:tr>
        <w:trPr>
          <w:trHeight w:val="197"/>
        </w:trPr>
        <w:tc>
          <w:tcPr>
            <w:tcW w:w="6180" w:type="dxa"/>
            <w:vAlign w:val="bottom"/>
            <w:shd w:val="clear" w:color="auto" w:fill="CFF0FC"/>
          </w:tcPr>
          <w:p>
            <w:pPr>
              <w:spacing w:after="0"/>
              <w:rPr>
                <w:sz w:val="20"/>
                <w:szCs w:val="20"/>
                <w:color w:val="auto"/>
              </w:rPr>
            </w:pPr>
            <w:r>
              <w:rPr>
                <w:rFonts w:ascii="Arial" w:cs="Arial" w:eastAsia="Arial" w:hAnsi="Arial"/>
                <w:sz w:val="15"/>
                <w:szCs w:val="15"/>
                <w:color w:val="auto"/>
              </w:rPr>
              <w:t>Changes in assets and liabilities:</w:t>
            </w: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200"/>
              <w:spacing w:after="0"/>
              <w:rPr>
                <w:sz w:val="20"/>
                <w:szCs w:val="20"/>
                <w:color w:val="auto"/>
              </w:rPr>
            </w:pPr>
            <w:r>
              <w:rPr>
                <w:rFonts w:ascii="Arial" w:cs="Arial" w:eastAsia="Arial" w:hAnsi="Arial"/>
                <w:sz w:val="15"/>
                <w:szCs w:val="15"/>
                <w:color w:val="auto"/>
              </w:rPr>
              <w:t>Receivables, prepaid expenses and other current and long-term assets</w:t>
            </w: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(514,021)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(111,682)</w:t>
            </w:r>
          </w:p>
        </w:tc>
        <w:tc>
          <w:tcPr>
            <w:tcW w:w="0" w:type="dxa"/>
            <w:vAlign w:val="bottom"/>
          </w:tcPr>
          <w:p>
            <w:pPr>
              <w:spacing w:after="0"/>
              <w:rPr>
                <w:sz w:val="1"/>
                <w:szCs w:val="1"/>
                <w:color w:val="auto"/>
              </w:rPr>
            </w:pPr>
          </w:p>
        </w:tc>
      </w:tr>
      <w:tr>
        <w:trPr>
          <w:trHeight w:val="187"/>
        </w:trPr>
        <w:tc>
          <w:tcPr>
            <w:tcW w:w="61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Accounts payable, accrued liabilities and other current</w:t>
            </w:r>
          </w:p>
        </w:tc>
        <w:tc>
          <w:tcPr>
            <w:tcW w:w="1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ind w:left="280"/>
              <w:spacing w:after="0"/>
              <w:rPr>
                <w:sz w:val="20"/>
                <w:szCs w:val="20"/>
                <w:color w:val="auto"/>
              </w:rPr>
            </w:pPr>
            <w:r>
              <w:rPr>
                <w:rFonts w:ascii="Arial" w:cs="Arial" w:eastAsia="Arial" w:hAnsi="Arial"/>
                <w:sz w:val="15"/>
                <w:szCs w:val="15"/>
                <w:color w:val="auto"/>
              </w:rPr>
              <w:t>liabilities</w:t>
            </w: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194,099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(663,671)</w:t>
            </w:r>
          </w:p>
        </w:tc>
        <w:tc>
          <w:tcPr>
            <w:tcW w:w="0" w:type="dxa"/>
            <w:vAlign w:val="bottom"/>
          </w:tcPr>
          <w:p>
            <w:pPr>
              <w:spacing w:after="0"/>
              <w:rPr>
                <w:sz w:val="1"/>
                <w:szCs w:val="1"/>
                <w:color w:val="auto"/>
              </w:rPr>
            </w:pPr>
          </w:p>
        </w:tc>
      </w:tr>
      <w:tr>
        <w:trPr>
          <w:trHeight w:val="197"/>
        </w:trPr>
        <w:tc>
          <w:tcPr>
            <w:tcW w:w="618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Deferred tax liability, deferred revenue and other long-term liabilities</w:t>
            </w:r>
          </w:p>
        </w:tc>
        <w:tc>
          <w:tcPr>
            <w:tcW w:w="1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5"/>
                <w:szCs w:val="15"/>
                <w:color w:val="auto"/>
              </w:rPr>
              <w:t>Net cash used in operating activities</w:t>
            </w:r>
          </w:p>
        </w:tc>
        <w:tc>
          <w:tcPr>
            <w:tcW w:w="1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(9,124,987)</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(9,114,121)</w:t>
            </w: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Arial" w:cs="Arial" w:eastAsia="Arial" w:hAnsi="Arial"/>
                <w:sz w:val="15"/>
                <w:szCs w:val="15"/>
                <w:color w:val="auto"/>
              </w:rPr>
              <w:t>Investing activities:</w:t>
            </w:r>
          </w:p>
        </w:tc>
        <w:tc>
          <w:tcPr>
            <w:tcW w:w="17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dissolution of joint venture</w:t>
            </w: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636,524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200"/>
              <w:spacing w:after="0"/>
              <w:rPr>
                <w:sz w:val="20"/>
                <w:szCs w:val="20"/>
                <w:color w:val="auto"/>
              </w:rPr>
            </w:pPr>
            <w:r>
              <w:rPr>
                <w:rFonts w:ascii="Arial" w:cs="Arial" w:eastAsia="Arial" w:hAnsi="Arial"/>
                <w:sz w:val="15"/>
                <w:szCs w:val="15"/>
                <w:color w:val="auto"/>
              </w:rPr>
              <w:t>Acquisitions of property and equipment</w:t>
            </w: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(11,272)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(10,200)</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cash (used in) provided by investing activities</w:t>
            </w:r>
          </w:p>
        </w:tc>
        <w:tc>
          <w:tcPr>
            <w:tcW w:w="1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80" w:type="dxa"/>
            <w:vAlign w:val="bottom"/>
            <w:vMerge w:val="continue"/>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(11,272)</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626,324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Arial" w:cs="Arial" w:eastAsia="Arial" w:hAnsi="Arial"/>
                <w:sz w:val="15"/>
                <w:szCs w:val="15"/>
                <w:color w:val="auto"/>
              </w:rPr>
              <w:t>Financing activities:</w:t>
            </w:r>
          </w:p>
        </w:tc>
        <w:tc>
          <w:tcPr>
            <w:tcW w:w="17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common stock, exercise of common</w:t>
            </w:r>
          </w:p>
        </w:tc>
        <w:tc>
          <w:tcPr>
            <w:tcW w:w="1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ind w:left="280"/>
              <w:spacing w:after="0"/>
              <w:rPr>
                <w:sz w:val="20"/>
                <w:szCs w:val="20"/>
                <w:color w:val="auto"/>
              </w:rPr>
            </w:pPr>
            <w:r>
              <w:rPr>
                <w:rFonts w:ascii="Arial" w:cs="Arial" w:eastAsia="Arial" w:hAnsi="Arial"/>
                <w:sz w:val="15"/>
                <w:szCs w:val="15"/>
                <w:color w:val="auto"/>
              </w:rPr>
              <w:t>stock options and warrants, net of issuance costs</w:t>
            </w: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10,588,231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42,757,772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Proceeds from issuance of equity under ESPP</w:t>
            </w:r>
          </w:p>
        </w:tc>
        <w:tc>
          <w:tcPr>
            <w:tcW w:w="1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27,320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51,009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financing activities</w:t>
            </w:r>
          </w:p>
        </w:tc>
        <w:tc>
          <w:tcPr>
            <w:tcW w:w="170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10,615,551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42,808,781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Pr>
          <w:p>
            <w:pPr>
              <w:spacing w:after="0"/>
              <w:rPr>
                <w:sz w:val="20"/>
                <w:szCs w:val="20"/>
                <w:color w:val="auto"/>
              </w:rPr>
            </w:pPr>
            <w:r>
              <w:rPr>
                <w:rFonts w:ascii="Arial" w:cs="Arial" w:eastAsia="Arial" w:hAnsi="Arial"/>
                <w:sz w:val="15"/>
                <w:szCs w:val="15"/>
                <w:color w:val="auto"/>
              </w:rPr>
              <w:t>Effects of foreign exchange rates on cash</w:t>
            </w: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FF0FC"/>
          </w:tcPr>
          <w:p>
            <w:pPr>
              <w:spacing w:after="0"/>
              <w:rPr>
                <w:sz w:val="20"/>
                <w:szCs w:val="20"/>
                <w:color w:val="auto"/>
              </w:rPr>
            </w:pPr>
            <w:r>
              <w:rPr>
                <w:rFonts w:ascii="Arial" w:cs="Arial" w:eastAsia="Arial" w:hAnsi="Arial"/>
                <w:sz w:val="15"/>
                <w:szCs w:val="15"/>
                <w:color w:val="auto"/>
              </w:rPr>
              <w:t>Net increase in cash and cash equivalents</w:t>
            </w:r>
          </w:p>
        </w:tc>
        <w:tc>
          <w:tcPr>
            <w:tcW w:w="1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1,479,239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34,321,675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and cash equivalents, beginning of period</w:t>
            </w:r>
          </w:p>
        </w:tc>
        <w:tc>
          <w:tcPr>
            <w:tcW w:w="1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62,313,418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27,991,743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8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end of period</w:t>
            </w:r>
          </w:p>
        </w:tc>
        <w:tc>
          <w:tcPr>
            <w:tcW w:w="20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63,792,657</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62,313,418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Supplemental disclosure of cash flow information:</w:t>
            </w:r>
          </w:p>
        </w:tc>
        <w:tc>
          <w:tcPr>
            <w:tcW w:w="17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Income taxes paid</w:t>
            </w:r>
          </w:p>
        </w:tc>
        <w:tc>
          <w:tcPr>
            <w:tcW w:w="20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11,265</w:t>
            </w: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5"/>
          <w:szCs w:val="15"/>
          <w:b w:val="1"/>
          <w:bCs w:val="1"/>
          <w:color w:val="auto"/>
        </w:rPr>
        <w:t>MEDICINOVA, INC.</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Organization and Business</w:t>
      </w:r>
    </w:p>
    <w:p>
      <w:pPr>
        <w:spacing w:after="0" w:line="106" w:lineRule="exact"/>
        <w:rPr>
          <w:sz w:val="20"/>
          <w:szCs w:val="20"/>
          <w:color w:val="auto"/>
        </w:rPr>
      </w:pPr>
    </w:p>
    <w:p>
      <w:pPr>
        <w:ind w:firstLine="440"/>
        <w:spacing w:after="0" w:line="285" w:lineRule="auto"/>
        <w:rPr>
          <w:sz w:val="20"/>
          <w:szCs w:val="20"/>
          <w:color w:val="auto"/>
        </w:rPr>
      </w:pPr>
      <w:r>
        <w:rPr>
          <w:rFonts w:ascii="Arial" w:cs="Arial" w:eastAsia="Arial" w:hAnsi="Arial"/>
          <w:sz w:val="14"/>
          <w:szCs w:val="14"/>
          <w:color w:val="auto"/>
        </w:rPr>
        <w:t>The Company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developing novel, small molecule therapeutics for the treatment of serious diseases with unmet medical needs with a commercial focus on the United States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w:t>
      </w:r>
      <w:r>
        <w:rPr>
          <w:rFonts w:ascii="Arial" w:cs="Arial" w:eastAsia="Arial" w:hAnsi="Arial"/>
          <w:sz w:val="14"/>
          <w:szCs w:val="14"/>
          <w:i w:val="1"/>
          <w:iCs w:val="1"/>
          <w:color w:val="auto"/>
        </w:rPr>
        <w:t>g.,</w:t>
      </w:r>
      <w:r>
        <w:rPr>
          <w:rFonts w:ascii="Arial" w:cs="Arial" w:eastAsia="Arial" w:hAnsi="Arial"/>
          <w:sz w:val="14"/>
          <w:szCs w:val="14"/>
          <w:color w:val="auto"/>
        </w:rPr>
        <w:t xml:space="preserve">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06" w:lineRule="exact"/>
        <w:rPr>
          <w:sz w:val="20"/>
          <w:szCs w:val="20"/>
          <w:color w:val="auto"/>
        </w:rPr>
      </w:pPr>
    </w:p>
    <w:p>
      <w:pPr>
        <w:ind w:right="60" w:firstLine="440"/>
        <w:spacing w:after="0" w:line="290" w:lineRule="auto"/>
        <w:rPr>
          <w:sz w:val="20"/>
          <w:szCs w:val="20"/>
          <w:color w:val="auto"/>
        </w:rPr>
      </w:pPr>
      <w:r>
        <w:rPr>
          <w:rFonts w:ascii="Arial" w:cs="Arial" w:eastAsia="Arial" w:hAnsi="Arial"/>
          <w:sz w:val="15"/>
          <w:szCs w:val="15"/>
          <w:color w:val="auto"/>
        </w:rPr>
        <w:t>The consolidated financial statements include the accounts of MediciNova, Inc. and its wholly owned subsidiaries. All intercompany transactions and balances are eliminated in consolidation.</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 Reporting</w:t>
      </w:r>
    </w:p>
    <w:p>
      <w:pPr>
        <w:spacing w:after="0" w:line="106" w:lineRule="exact"/>
        <w:rPr>
          <w:sz w:val="20"/>
          <w:szCs w:val="20"/>
          <w:color w:val="auto"/>
        </w:rPr>
      </w:pPr>
    </w:p>
    <w:p>
      <w:pPr>
        <w:ind w:right="80" w:firstLine="440"/>
        <w:spacing w:after="0" w:line="274" w:lineRule="auto"/>
        <w:rPr>
          <w:sz w:val="20"/>
          <w:szCs w:val="20"/>
          <w:color w:val="auto"/>
        </w:rPr>
      </w:pPr>
      <w:r>
        <w:rPr>
          <w:rFonts w:ascii="Arial" w:cs="Arial" w:eastAsia="Arial" w:hAnsi="Arial"/>
          <w:sz w:val="15"/>
          <w:szCs w:val="15"/>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 – the acquisition and development of small molecule therapeutics for the treatment of serious diseases with unmet medical needs.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6" w:lineRule="exact"/>
        <w:rPr>
          <w:sz w:val="20"/>
          <w:szCs w:val="20"/>
          <w:color w:val="auto"/>
        </w:rPr>
      </w:pPr>
    </w:p>
    <w:p>
      <w:pPr>
        <w:ind w:right="40" w:firstLine="440"/>
        <w:spacing w:after="0" w:line="269"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(“GAAP”). 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6" w:lineRule="exact"/>
        <w:rPr>
          <w:sz w:val="20"/>
          <w:szCs w:val="20"/>
          <w:color w:val="auto"/>
        </w:rPr>
      </w:pPr>
    </w:p>
    <w:p>
      <w:pPr>
        <w:ind w:right="320" w:firstLine="440"/>
        <w:spacing w:after="0" w:line="290" w:lineRule="auto"/>
        <w:rPr>
          <w:sz w:val="20"/>
          <w:szCs w:val="20"/>
          <w:color w:val="auto"/>
        </w:rPr>
      </w:pPr>
      <w:r>
        <w:rPr>
          <w:rFonts w:ascii="Arial" w:cs="Arial" w:eastAsia="Arial" w:hAnsi="Arial"/>
          <w:sz w:val="15"/>
          <w:szCs w:val="15"/>
          <w:color w:val="auto"/>
        </w:rPr>
        <w:t>Cash and cash equivalents consist of cash and other highly liquid investments with original maturities of three months or less from the date of purchase. Cash equivalents at December 31, 2019 and 2018 consisted of money market funds.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Concentrations and Credit Risk</w:t>
      </w:r>
    </w:p>
    <w:p>
      <w:pPr>
        <w:spacing w:after="0" w:line="106" w:lineRule="exact"/>
        <w:rPr>
          <w:sz w:val="20"/>
          <w:szCs w:val="20"/>
          <w:color w:val="auto"/>
        </w:rPr>
      </w:pPr>
    </w:p>
    <w:p>
      <w:pPr>
        <w:ind w:firstLine="440"/>
        <w:spacing w:after="0" w:line="269" w:lineRule="auto"/>
        <w:rPr>
          <w:sz w:val="20"/>
          <w:szCs w:val="20"/>
          <w:color w:val="auto"/>
        </w:rPr>
      </w:pPr>
      <w:r>
        <w:rPr>
          <w:rFonts w:ascii="Arial" w:cs="Arial" w:eastAsia="Arial" w:hAnsi="Arial"/>
          <w:sz w:val="15"/>
          <w:szCs w:val="15"/>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309" w:right="25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06" w:lineRule="exact"/>
        <w:rPr>
          <w:sz w:val="20"/>
          <w:szCs w:val="20"/>
          <w:color w:val="auto"/>
        </w:rPr>
      </w:pPr>
    </w:p>
    <w:p>
      <w:pPr>
        <w:ind w:right="20" w:firstLine="440"/>
        <w:spacing w:after="0" w:line="290" w:lineRule="auto"/>
        <w:rPr>
          <w:sz w:val="20"/>
          <w:szCs w:val="20"/>
          <w:color w:val="auto"/>
        </w:rPr>
      </w:pPr>
      <w:r>
        <w:rPr>
          <w:rFonts w:ascii="Arial" w:cs="Arial" w:eastAsia="Arial" w:hAnsi="Arial"/>
          <w:sz w:val="15"/>
          <w:szCs w:val="15"/>
          <w:color w:val="auto"/>
        </w:rPr>
        <w:t>Financial instruments, including cash equivalents and accounts payable, are carried at cost, which management believes approximates fair value because of the short-term nature of these instruments.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IPR&amp;D, Long-Lived Assets and Goodwill</w:t>
      </w:r>
    </w:p>
    <w:p>
      <w:pPr>
        <w:spacing w:after="0" w:line="106" w:lineRule="exact"/>
        <w:rPr>
          <w:sz w:val="20"/>
          <w:szCs w:val="20"/>
          <w:color w:val="auto"/>
        </w:rPr>
      </w:pPr>
    </w:p>
    <w:p>
      <w:pPr>
        <w:ind w:firstLine="440"/>
        <w:spacing w:after="0" w:line="282" w:lineRule="auto"/>
        <w:rPr>
          <w:sz w:val="20"/>
          <w:szCs w:val="20"/>
          <w:color w:val="auto"/>
        </w:rPr>
      </w:pPr>
      <w:r>
        <w:rPr>
          <w:rFonts w:ascii="Arial" w:cs="Arial" w:eastAsia="Arial" w:hAnsi="Arial"/>
          <w:sz w:val="14"/>
          <w:szCs w:val="14"/>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reporting unit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58" w:lineRule="exact"/>
        <w:rPr>
          <w:sz w:val="20"/>
          <w:szCs w:val="20"/>
          <w:color w:val="auto"/>
        </w:rPr>
      </w:pPr>
    </w:p>
    <w:p>
      <w:pPr>
        <w:ind w:right="40" w:firstLine="440"/>
        <w:spacing w:after="0" w:line="266" w:lineRule="auto"/>
        <w:rPr>
          <w:sz w:val="20"/>
          <w:szCs w:val="20"/>
          <w:color w:val="auto"/>
        </w:rPr>
      </w:pPr>
      <w:r>
        <w:rPr>
          <w:rFonts w:ascii="Arial" w:cs="Arial" w:eastAsia="Arial" w:hAnsi="Arial"/>
          <w:sz w:val="15"/>
          <w:szCs w:val="15"/>
          <w:color w:val="auto"/>
        </w:rPr>
        <w:t>The Company’s long-lived assets are reviewed for impairment whenever events or changes in circumstances indicate that the carrying value of an asset (or asset group) may not be recoverable, and the Company will perform an impairment analysis. Long-lived assets are deemed to be impaired when the undiscounted cash flows expected to be generated by the asset (or asset group) are less than the asset’s carrying amount. Any required impairment loss would be measured as the amount by which the asset’s (or asset group’s) carrying value exceeds its fair value and would be recorded as a reduction in the carrying value of the related asset and a charge to operating expense. The Company’s long-lived assets were deemed to be recoverable for all periods presented.</w:t>
      </w:r>
    </w:p>
    <w:p>
      <w:pPr>
        <w:spacing w:after="0" w:line="65" w:lineRule="exact"/>
        <w:rPr>
          <w:sz w:val="20"/>
          <w:szCs w:val="20"/>
          <w:color w:val="auto"/>
        </w:rPr>
      </w:pPr>
    </w:p>
    <w:p>
      <w:pPr>
        <w:ind w:right="20" w:firstLine="440"/>
        <w:spacing w:after="0" w:line="289" w:lineRule="auto"/>
        <w:rPr>
          <w:sz w:val="20"/>
          <w:szCs w:val="20"/>
          <w:color w:val="auto"/>
        </w:rPr>
      </w:pPr>
      <w:r>
        <w:rPr>
          <w:rFonts w:ascii="Arial" w:cs="Arial" w:eastAsia="Arial" w:hAnsi="Arial"/>
          <w:sz w:val="14"/>
          <w:szCs w:val="14"/>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 the fair value exceeds the carrying value as a result of either the qualitative or quantitative test, goodwill is not considered impaired. Based on the results of the Company’s annual qualitative assessment, the Company concluded that it is not more likely than not that goodwill was impaired for any of the periods presented.</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Development and Patents</w:t>
      </w:r>
    </w:p>
    <w:p>
      <w:pPr>
        <w:spacing w:after="0" w:line="106" w:lineRule="exact"/>
        <w:rPr>
          <w:sz w:val="20"/>
          <w:szCs w:val="20"/>
          <w:color w:val="auto"/>
        </w:rPr>
      </w:pPr>
    </w:p>
    <w:p>
      <w:pPr>
        <w:ind w:right="100" w:firstLine="440"/>
        <w:spacing w:after="0" w:line="274" w:lineRule="auto"/>
        <w:rPr>
          <w:sz w:val="20"/>
          <w:szCs w:val="20"/>
          <w:color w:val="auto"/>
        </w:rPr>
      </w:pPr>
      <w:r>
        <w:rPr>
          <w:rFonts w:ascii="Arial" w:cs="Arial" w:eastAsia="Arial" w:hAnsi="Arial"/>
          <w:sz w:val="15"/>
          <w:szCs w:val="15"/>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$5.7 million and $5.3 million for the years ended December 31, 2019 and 2018, respectively.</w:t>
      </w:r>
    </w:p>
    <w:p>
      <w:pPr>
        <w:spacing w:after="0" w:line="152" w:lineRule="exact"/>
        <w:rPr>
          <w:sz w:val="20"/>
          <w:szCs w:val="20"/>
          <w:color w:val="auto"/>
        </w:rPr>
      </w:pPr>
    </w:p>
    <w:p>
      <w:pPr>
        <w:jc w:val="both"/>
        <w:ind w:right="220" w:firstLine="440"/>
        <w:spacing w:after="0" w:line="274" w:lineRule="auto"/>
        <w:rPr>
          <w:sz w:val="20"/>
          <w:szCs w:val="20"/>
          <w:color w:val="auto"/>
        </w:rPr>
      </w:pPr>
      <w:r>
        <w:rPr>
          <w:rFonts w:ascii="Arial" w:cs="Arial" w:eastAsia="Arial" w:hAnsi="Arial"/>
          <w:sz w:val="15"/>
          <w:szCs w:val="15"/>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$0.3 million for the years ended December 31, 2019 and 2018, respectively.</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Share-Based Compensation</w:t>
      </w:r>
    </w:p>
    <w:p>
      <w:pPr>
        <w:spacing w:after="0" w:line="106" w:lineRule="exact"/>
        <w:rPr>
          <w:sz w:val="20"/>
          <w:szCs w:val="20"/>
          <w:color w:val="auto"/>
        </w:rPr>
      </w:pPr>
    </w:p>
    <w:p>
      <w:pPr>
        <w:ind w:right="140" w:firstLine="440"/>
        <w:spacing w:after="0" w:line="290" w:lineRule="auto"/>
        <w:rPr>
          <w:sz w:val="20"/>
          <w:szCs w:val="20"/>
          <w:color w:val="auto"/>
        </w:rPr>
      </w:pPr>
      <w:r>
        <w:rPr>
          <w:rFonts w:ascii="Arial" w:cs="Arial" w:eastAsia="Arial" w:hAnsi="Arial"/>
          <w:sz w:val="15"/>
          <w:szCs w:val="15"/>
          <w:color w:val="auto"/>
        </w:rPr>
        <w:t>The Company estimates the fair value of stock options using the Black-Scholes option pricing model on the date of grant. The fair value of equity instruments expected to vest are recognized and amortized on a straight-line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593" w:right="259" w:bottom="1440" w:gutter="0" w:footer="0" w:header="0"/>
        </w:sectPr>
      </w:pPr>
    </w:p>
    <w:bookmarkStart w:id="63" w:name="page64"/>
    <w:bookmarkEnd w:id="63"/>
    <w:p>
      <w:pPr>
        <w:ind w:left="7" w:right="140"/>
        <w:spacing w:after="0" w:line="290" w:lineRule="auto"/>
        <w:rPr>
          <w:sz w:val="20"/>
          <w:szCs w:val="20"/>
          <w:color w:val="auto"/>
        </w:rPr>
      </w:pPr>
      <w:r>
        <w:rPr>
          <w:rFonts w:ascii="Arial" w:cs="Arial" w:eastAsia="Arial" w:hAnsi="Arial"/>
          <w:sz w:val="15"/>
          <w:szCs w:val="15"/>
          <w:color w:val="auto"/>
        </w:rPr>
        <w:t>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Net Loss Per Share</w:t>
      </w:r>
    </w:p>
    <w:p>
      <w:pPr>
        <w:spacing w:after="0" w:line="106" w:lineRule="exact"/>
        <w:rPr>
          <w:sz w:val="20"/>
          <w:szCs w:val="20"/>
          <w:color w:val="auto"/>
        </w:rPr>
      </w:pPr>
    </w:p>
    <w:p>
      <w:pPr>
        <w:ind w:left="7" w:firstLine="440"/>
        <w:spacing w:after="0" w:line="269" w:lineRule="auto"/>
        <w:rPr>
          <w:sz w:val="20"/>
          <w:szCs w:val="20"/>
          <w:color w:val="auto"/>
        </w:rPr>
      </w:pPr>
      <w:r>
        <w:rPr>
          <w:rFonts w:ascii="Arial" w:cs="Arial" w:eastAsia="Arial" w:hAnsi="Arial"/>
          <w:sz w:val="15"/>
          <w:szCs w:val="15"/>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outstanding stock options. Common share equivalents were excluded from the diluted net loss per share calculation because of their anti-dilutive effect for all periods presented.</w:t>
      </w:r>
    </w:p>
    <w:p>
      <w:pPr>
        <w:spacing w:after="0" w:line="62" w:lineRule="exact"/>
        <w:rPr>
          <w:sz w:val="20"/>
          <w:szCs w:val="20"/>
          <w:color w:val="auto"/>
        </w:rPr>
      </w:pPr>
    </w:p>
    <w:p>
      <w:pPr>
        <w:ind w:left="7" w:right="260" w:firstLine="440"/>
        <w:spacing w:after="0" w:line="290" w:lineRule="auto"/>
        <w:rPr>
          <w:sz w:val="20"/>
          <w:szCs w:val="20"/>
          <w:color w:val="auto"/>
        </w:rPr>
      </w:pPr>
      <w:r>
        <w:rPr>
          <w:rFonts w:ascii="Arial" w:cs="Arial" w:eastAsia="Arial" w:hAnsi="Arial"/>
          <w:sz w:val="15"/>
          <w:szCs w:val="15"/>
          <w:color w:val="auto"/>
        </w:rPr>
        <w:t>Potentially dilutive outstanding securities of 6,802,093 and 6,609,647 for the years ended December 31, 2019 and 2018, respectively, were excluded from diluted net loss per common share because of their anti-dilutive effect.</w:t>
      </w:r>
    </w:p>
    <w:p>
      <w:pPr>
        <w:spacing w:after="0" w:line="326"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6" w:lineRule="exact"/>
        <w:rPr>
          <w:sz w:val="20"/>
          <w:szCs w:val="20"/>
          <w:color w:val="auto"/>
        </w:rPr>
      </w:pPr>
    </w:p>
    <w:p>
      <w:pPr>
        <w:ind w:left="7" w:right="80" w:firstLine="645"/>
        <w:spacing w:after="0" w:line="300" w:lineRule="auto"/>
        <w:rPr>
          <w:sz w:val="20"/>
          <w:szCs w:val="20"/>
          <w:color w:val="auto"/>
        </w:rPr>
      </w:pPr>
      <w:r>
        <w:rPr>
          <w:rFonts w:ascii="Arial" w:cs="Arial" w:eastAsia="Arial" w:hAnsi="Arial"/>
          <w:sz w:val="13"/>
          <w:szCs w:val="13"/>
          <w:color w:val="auto"/>
        </w:rPr>
        <w:t>In February 2016, the Financial Accounting Standards Board (“FASB”) issued ASU 2016-02, Leases, which introduces the recognition of lease assets and lease liabilities by lessees for those leases classified as operating leases under previous guidance. The new standard establishes a right-of-use (ROU) model that requires a lessee to record a ROU asset and a lease liability on the balance sheet for all leases with terms longer than 12 months. The new standard is effective for fiscal years beginning after December 15, 2018 and interim periods within those fiscal years with early adoption permitted. The Company adopted ASU 2016-02 in the first quarter of 2019 utilizing the modified retrospective transition method through a cumulative-effect adjustment at the beginning of the first quarter of 2019. The Company has elected the package of practical expedients, which allows the Company not to reassess (1) whether any expired or existing contracts as of the adoption date are or contain a lease, (2) lease classification for any expired or existing leases as of the adoption date and</w:t>
      </w:r>
    </w:p>
    <w:p>
      <w:pPr>
        <w:spacing w:after="0" w:line="3" w:lineRule="exact"/>
        <w:rPr>
          <w:sz w:val="20"/>
          <w:szCs w:val="20"/>
          <w:color w:val="auto"/>
        </w:rPr>
      </w:pPr>
    </w:p>
    <w:p>
      <w:pPr>
        <w:ind w:left="7" w:hanging="7"/>
        <w:spacing w:after="0" w:line="262" w:lineRule="auto"/>
        <w:tabs>
          <w:tab w:leader="none" w:pos="226"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initial direct costs for any existing leases as of the adoption date. The Company did not elect to apply the hindsight practical expedient when determining lease term and assessing impairment of right-of-use assets. The Company elected to not recognize right-of-use assets and lease liabilities for leases with a term of 12 months or less and to not separate non-lease components from lease. The adoption of ASU 2016-02 on January 1, 2019 resulted in the recognition of right-of-use assets of approximately $0.4 million, lease liabilities for operating leases of approximately $0.4 million and a zero cumulative-effect adjustment to accumulated deficit, with no material impact to its consolidated statements of operations. See Note 5 for further information regarding the impact of the adoption of ASU 2016-02 on the Company's financial statements.</w:t>
      </w:r>
    </w:p>
    <w:p>
      <w:pPr>
        <w:spacing w:after="0" w:line="174" w:lineRule="exact"/>
        <w:rPr>
          <w:sz w:val="20"/>
          <w:szCs w:val="20"/>
          <w:color w:val="auto"/>
        </w:rPr>
      </w:pPr>
    </w:p>
    <w:p>
      <w:pPr>
        <w:ind w:left="7" w:right="80" w:firstLine="592"/>
        <w:spacing w:after="0" w:line="302" w:lineRule="auto"/>
        <w:rPr>
          <w:sz w:val="20"/>
          <w:szCs w:val="20"/>
          <w:color w:val="auto"/>
        </w:rPr>
      </w:pPr>
      <w:r>
        <w:rPr>
          <w:rFonts w:ascii="Arial" w:cs="Arial" w:eastAsia="Arial" w:hAnsi="Arial"/>
          <w:sz w:val="13"/>
          <w:szCs w:val="13"/>
          <w:color w:val="auto"/>
        </w:rPr>
        <w:t xml:space="preserve">In August 2018, the FASB issued ASU No. 2018-13, </w:t>
      </w:r>
      <w:r>
        <w:rPr>
          <w:rFonts w:ascii="Arial" w:cs="Arial" w:eastAsia="Arial" w:hAnsi="Arial"/>
          <w:sz w:val="13"/>
          <w:szCs w:val="13"/>
          <w:i w:val="1"/>
          <w:iCs w:val="1"/>
          <w:color w:val="auto"/>
        </w:rPr>
        <w:t>Fair Value Measurement (Topic 820)</w:t>
      </w:r>
      <w:r>
        <w:rPr>
          <w:rFonts w:ascii="Arial" w:cs="Arial" w:eastAsia="Arial" w:hAnsi="Arial"/>
          <w:sz w:val="13"/>
          <w:szCs w:val="13"/>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w:t>
      </w:r>
    </w:p>
    <w:p>
      <w:pPr>
        <w:ind w:left="7"/>
        <w:spacing w:after="0" w:line="276" w:lineRule="auto"/>
        <w:rPr>
          <w:sz w:val="20"/>
          <w:szCs w:val="20"/>
          <w:color w:val="auto"/>
        </w:rPr>
      </w:pPr>
      <w:r>
        <w:rPr>
          <w:rFonts w:ascii="Arial" w:cs="Arial" w:eastAsia="Arial" w:hAnsi="Arial"/>
          <w:sz w:val="15"/>
          <w:szCs w:val="15"/>
          <w:color w:val="auto"/>
        </w:rPr>
        <w:t>3 fair value measurements. The amendment is effective for fiscal years beginning after December 15, 2019 and interim periods within that fiscal year with early adoption permitted. The Company does not expect the standard to have a material impact on its consolidated financial statements.</w:t>
      </w:r>
    </w:p>
    <w:p>
      <w:pPr>
        <w:spacing w:after="0" w:line="31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 Revenue Recognition</w:t>
      </w:r>
    </w:p>
    <w:p>
      <w:pPr>
        <w:spacing w:after="0" w:line="11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Revenue Recognition Policy</w:t>
      </w:r>
    </w:p>
    <w:p>
      <w:pPr>
        <w:spacing w:after="0" w:line="199" w:lineRule="exact"/>
        <w:rPr>
          <w:sz w:val="20"/>
          <w:szCs w:val="20"/>
          <w:color w:val="auto"/>
        </w:rPr>
      </w:pPr>
    </w:p>
    <w:p>
      <w:pPr>
        <w:ind w:left="7" w:right="100" w:firstLine="550"/>
        <w:spacing w:after="0" w:line="269" w:lineRule="auto"/>
        <w:rPr>
          <w:sz w:val="20"/>
          <w:szCs w:val="20"/>
          <w:color w:val="auto"/>
        </w:rPr>
      </w:pPr>
      <w:r>
        <w:rPr>
          <w:rFonts w:ascii="Arial" w:cs="Arial" w:eastAsia="Arial" w:hAnsi="Arial"/>
          <w:sz w:val="15"/>
          <w:szCs w:val="15"/>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w:t>
      </w:r>
    </w:p>
    <w:p>
      <w:pPr>
        <w:spacing w:after="0" w:line="15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297180</wp:posOffset>
            </wp:positionV>
            <wp:extent cx="73063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7"/>
          </w:cols>
          <w:pgMar w:left="233" w:top="407" w:right="239" w:bottom="1440" w:gutter="0" w:footer="0" w:header="0"/>
        </w:sectPr>
      </w:pPr>
    </w:p>
    <w:bookmarkStart w:id="64" w:name="page65"/>
    <w:bookmarkEnd w:id="64"/>
    <w:p>
      <w:pPr>
        <w:ind w:right="400"/>
        <w:spacing w:after="0" w:line="290" w:lineRule="auto"/>
        <w:rPr>
          <w:sz w:val="20"/>
          <w:szCs w:val="20"/>
          <w:color w:val="auto"/>
        </w:rPr>
      </w:pPr>
      <w:r>
        <w:rPr>
          <w:rFonts w:ascii="Arial" w:cs="Arial" w:eastAsia="Arial" w:hAnsi="Arial"/>
          <w:sz w:val="15"/>
          <w:szCs w:val="15"/>
          <w:color w:val="auto"/>
        </w:rPr>
        <w:t>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Kissei Pharmaceutical Co., Ltd</w:t>
      </w:r>
    </w:p>
    <w:p>
      <w:pPr>
        <w:spacing w:after="0" w:line="106" w:lineRule="exact"/>
        <w:rPr>
          <w:sz w:val="20"/>
          <w:szCs w:val="20"/>
          <w:color w:val="auto"/>
        </w:rPr>
      </w:pPr>
    </w:p>
    <w:p>
      <w:pPr>
        <w:ind w:right="60" w:firstLine="440"/>
        <w:spacing w:after="0" w:line="266" w:lineRule="auto"/>
        <w:rPr>
          <w:sz w:val="20"/>
          <w:szCs w:val="20"/>
          <w:color w:val="auto"/>
        </w:rPr>
      </w:pPr>
      <w:r>
        <w:rPr>
          <w:rFonts w:ascii="Arial" w:cs="Arial" w:eastAsia="Arial" w:hAnsi="Arial"/>
          <w:sz w:val="15"/>
          <w:szCs w:val="15"/>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its meets the definition of a collaborative arrangement per ASC 808 which is outside of the scope of ASC 606. Since ASC 808 does not provide recognition and measurement guidance for collaborative arrangements, the Company analogized to ASC 606.</w:t>
      </w:r>
    </w:p>
    <w:p>
      <w:pPr>
        <w:spacing w:after="0" w:line="65" w:lineRule="exact"/>
        <w:rPr>
          <w:sz w:val="20"/>
          <w:szCs w:val="20"/>
          <w:color w:val="auto"/>
        </w:rPr>
      </w:pPr>
    </w:p>
    <w:p>
      <w:pPr>
        <w:ind w:firstLine="440"/>
        <w:spacing w:after="0" w:line="285" w:lineRule="auto"/>
        <w:rPr>
          <w:sz w:val="20"/>
          <w:szCs w:val="20"/>
          <w:color w:val="auto"/>
        </w:rPr>
      </w:pPr>
      <w:r>
        <w:rPr>
          <w:rFonts w:ascii="Arial" w:cs="Arial" w:eastAsia="Arial" w:hAnsi="Arial"/>
          <w:sz w:val="14"/>
          <w:szCs w:val="14"/>
          <w:color w:val="auto"/>
        </w:rPr>
        <w:t>The Company concluded the two studies to be performed under the agreement represented two separate performance obligations. The transaction price was allocated between the two studies that were deemed separate performance obligations based on the expected costs to be incurred for each obligation. While amounts were received in advance for the studies, at contract inception, both parties anticipated the contract would be completed within 1 year, so no significant financing component existed at contract inception. Revenue is recognized proportional to the total costs expected for each performance obligation as incurred over the service period. The first study was completed in 2013 and the timing of the second study is undetermined as of December 31, 2019. The amount received from Kissei and allocated, net of the amount recorded as revenue, is included on the balance sheet as long-term deferred revenue since it is non-refundable and not expected to be started within the next year and will be recognized as revenue as the remaining performance obligation is satisfied. No revenue was recognized for the years ended December 31, 2019 and 2018 in connection with the collaboration agreement with Kissei.</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Fair Value Measurements</w:t>
      </w:r>
    </w:p>
    <w:p>
      <w:pPr>
        <w:spacing w:after="0" w:line="112" w:lineRule="exact"/>
        <w:rPr>
          <w:sz w:val="20"/>
          <w:szCs w:val="20"/>
          <w:color w:val="auto"/>
        </w:rPr>
      </w:pPr>
    </w:p>
    <w:p>
      <w:pPr>
        <w:ind w:right="140" w:firstLine="440"/>
        <w:spacing w:after="0" w:line="302" w:lineRule="auto"/>
        <w:rPr>
          <w:sz w:val="20"/>
          <w:szCs w:val="20"/>
          <w:color w:val="auto"/>
        </w:rPr>
      </w:pPr>
      <w:r>
        <w:rPr>
          <w:rFonts w:ascii="Arial" w:cs="Arial" w:eastAsia="Arial" w:hAnsi="Arial"/>
          <w:sz w:val="14"/>
          <w:szCs w:val="14"/>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54" w:lineRule="exact"/>
        <w:rPr>
          <w:sz w:val="20"/>
          <w:szCs w:val="20"/>
          <w:color w:val="auto"/>
        </w:rPr>
      </w:pPr>
    </w:p>
    <w:p>
      <w:pPr>
        <w:ind w:left="500"/>
        <w:spacing w:after="0"/>
        <w:tabs>
          <w:tab w:leader="none" w:pos="154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3"/>
          <w:szCs w:val="13"/>
          <w:color w:val="auto"/>
        </w:rPr>
        <w:t>Observable inputs such as quoted prices in active markets;</w:t>
      </w:r>
    </w:p>
    <w:p>
      <w:pPr>
        <w:spacing w:after="0" w:line="118" w:lineRule="exact"/>
        <w:rPr>
          <w:sz w:val="20"/>
          <w:szCs w:val="20"/>
          <w:color w:val="auto"/>
        </w:rPr>
      </w:pPr>
    </w:p>
    <w:p>
      <w:pPr>
        <w:ind w:left="1560" w:right="640" w:hanging="1043"/>
        <w:spacing w:after="0" w:line="290" w:lineRule="auto"/>
        <w:tabs>
          <w:tab w:leader="none" w:pos="154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5"/>
          <w:szCs w:val="15"/>
          <w:color w:val="auto"/>
        </w:rPr>
        <w:t>Inputs are quoted prices for similar items in active markets or inputs are quoted prices for identical or similar items in markets that are not active near the measurement date; and</w:t>
      </w:r>
    </w:p>
    <w:p>
      <w:pPr>
        <w:spacing w:after="0" w:line="59" w:lineRule="exact"/>
        <w:rPr>
          <w:sz w:val="20"/>
          <w:szCs w:val="20"/>
          <w:color w:val="auto"/>
        </w:rPr>
      </w:pPr>
    </w:p>
    <w:p>
      <w:pPr>
        <w:ind w:left="500"/>
        <w:spacing w:after="0"/>
        <w:tabs>
          <w:tab w:leader="none" w:pos="154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4"/>
          <w:szCs w:val="14"/>
          <w:color w:val="auto"/>
        </w:rPr>
        <w:t>Unobservable inputs due to little or no market data, which require the reporting entity to develop its own assumptions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Cash equivalents including money market accounts of $691,649 and $677,594 measured at fair value as of December 31, 2019 and 2018, respectively, are classified within Level</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500" w:right="21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color w:val="auto"/>
        </w:rPr>
        <w:t>4. Balance Sheet Details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Property and equipment, net, consist of the following:</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47"/>
        </w:trPr>
        <w:tc>
          <w:tcPr>
            <w:tcW w:w="4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40" w:type="dxa"/>
            <w:vAlign w:val="bottom"/>
            <w:tcBorders>
              <w:bottom w:val="single" w:sz="8" w:color="CFF0FC"/>
            </w:tcBorders>
          </w:tcPr>
          <w:p>
            <w:pPr>
              <w:spacing w:after="0"/>
              <w:rPr>
                <w:sz w:val="11"/>
                <w:szCs w:val="11"/>
                <w:color w:val="auto"/>
              </w:rPr>
            </w:pPr>
          </w:p>
        </w:tc>
        <w:tc>
          <w:tcPr>
            <w:tcW w:w="12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67"/>
              <w:spacing w:after="0" w:line="131"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65"/>
              <w:spacing w:after="0" w:line="131"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Leasehold improvements</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16,326</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40" w:type="dxa"/>
            <w:vAlign w:val="bottom"/>
          </w:tcPr>
          <w:p>
            <w:pPr>
              <w:spacing w:after="0"/>
              <w:rPr>
                <w:sz w:val="20"/>
                <w:szCs w:val="20"/>
                <w:color w:val="auto"/>
              </w:rPr>
            </w:pPr>
            <w:r>
              <w:rPr>
                <w:rFonts w:ascii="Arial" w:cs="Arial" w:eastAsia="Arial" w:hAnsi="Arial"/>
                <w:sz w:val="15"/>
                <w:szCs w:val="15"/>
                <w:color w:val="auto"/>
              </w:rPr>
              <w:t>Furniture and equipment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236,622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235,095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Software</w:t>
            </w:r>
          </w:p>
        </w:tc>
        <w:tc>
          <w:tcPr>
            <w:tcW w:w="12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285,461</w:t>
            </w:r>
          </w:p>
        </w:tc>
        <w:tc>
          <w:tcPr>
            <w:tcW w:w="20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285,446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538,409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536,662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Less accumulated depreciation and amortization</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(497,859)</w:t>
            </w: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(483,528)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5"/>
                <w:szCs w:val="15"/>
                <w:color w:val="auto"/>
              </w:rPr>
              <w:t>Property and equipment, net</w:t>
            </w:r>
          </w:p>
        </w:tc>
        <w:tc>
          <w:tcPr>
            <w:tcW w:w="1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40,550</w:t>
            </w:r>
          </w:p>
        </w:tc>
        <w:tc>
          <w:tcPr>
            <w:tcW w:w="200" w:type="dxa"/>
            <w:vAlign w:val="bottom"/>
          </w:tcPr>
          <w:p>
            <w:pPr>
              <w:spacing w:after="0"/>
              <w:rPr>
                <w:sz w:val="16"/>
                <w:szCs w:val="16"/>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53,134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60" w:firstLine="440"/>
        <w:spacing w:after="0" w:line="290" w:lineRule="auto"/>
        <w:rPr>
          <w:sz w:val="20"/>
          <w:szCs w:val="20"/>
          <w:color w:val="auto"/>
        </w:rPr>
      </w:pPr>
      <w:r>
        <w:rPr>
          <w:rFonts w:ascii="Arial" w:cs="Arial" w:eastAsia="Arial" w:hAnsi="Arial"/>
          <w:sz w:val="15"/>
          <w:szCs w:val="15"/>
          <w:color w:val="auto"/>
        </w:rPr>
        <w:t>The Company uses the straight-line method to record depreciation expense with useful lives of three to five years. Depreciation and amortization of property and equipment of $23,944, and $25,881was recorded for the years ended December 31, 2019 and 2018,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Accrued Liabilities and Other Current Liabilities</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5440" w:type="dxa"/>
            <w:vAlign w:val="bottom"/>
            <w:gridSpan w:val="2"/>
          </w:tcPr>
          <w:p>
            <w:pPr>
              <w:ind w:left="440"/>
              <w:spacing w:after="0"/>
              <w:rPr>
                <w:sz w:val="20"/>
                <w:szCs w:val="20"/>
                <w:color w:val="auto"/>
              </w:rPr>
            </w:pPr>
            <w:r>
              <w:rPr>
                <w:rFonts w:ascii="Arial" w:cs="Arial" w:eastAsia="Arial" w:hAnsi="Arial"/>
                <w:sz w:val="15"/>
                <w:szCs w:val="15"/>
                <w:color w:val="auto"/>
              </w:rPr>
              <w:t>Accrued liabilities consist of the following:</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4320" w:type="dxa"/>
            <w:vAlign w:val="bottom"/>
            <w:tcBorders>
              <w:bottom w:val="single" w:sz="8" w:color="CFF0FC"/>
            </w:tcBorders>
          </w:tcPr>
          <w:p>
            <w:pPr>
              <w:spacing w:after="0"/>
              <w:rPr>
                <w:sz w:val="11"/>
                <w:szCs w:val="11"/>
                <w:color w:val="auto"/>
              </w:rPr>
            </w:pPr>
          </w:p>
        </w:tc>
        <w:tc>
          <w:tcPr>
            <w:tcW w:w="1200" w:type="dxa"/>
            <w:vAlign w:val="bottom"/>
            <w:tcBorders>
              <w:bottom w:val="single" w:sz="8" w:color="CFF0FC"/>
            </w:tcBorders>
          </w:tcPr>
          <w:p>
            <w:pPr>
              <w:spacing w:after="0"/>
              <w:rPr>
                <w:sz w:val="11"/>
                <w:szCs w:val="11"/>
                <w:color w:val="auto"/>
              </w:rPr>
            </w:pPr>
          </w:p>
        </w:tc>
        <w:tc>
          <w:tcPr>
            <w:tcW w:w="1120" w:type="dxa"/>
            <w:vAlign w:val="bottom"/>
            <w:tcBorders>
              <w:bottom w:val="single" w:sz="8" w:color="auto"/>
            </w:tcBorders>
          </w:tcPr>
          <w:p>
            <w:pPr>
              <w:jc w:val="right"/>
              <w:ind w:right="38"/>
              <w:spacing w:after="0" w:line="131" w:lineRule="exact"/>
              <w:rPr>
                <w:sz w:val="20"/>
                <w:szCs w:val="20"/>
                <w:color w:val="auto"/>
              </w:rPr>
            </w:pPr>
            <w:r>
              <w:rPr>
                <w:rFonts w:ascii="Arial" w:cs="Arial" w:eastAsia="Arial" w:hAnsi="Arial"/>
                <w:sz w:val="12"/>
                <w:szCs w:val="12"/>
                <w:b w:val="1"/>
                <w:bCs w:val="1"/>
                <w:color w:val="auto"/>
              </w:rPr>
              <w:t>2019</w:t>
            </w: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45"/>
              <w:spacing w:after="0" w:line="131" w:lineRule="exact"/>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Accrued compensation</w:t>
            </w:r>
          </w:p>
        </w:tc>
        <w:tc>
          <w:tcPr>
            <w:tcW w:w="2320" w:type="dxa"/>
            <w:vAlign w:val="bottom"/>
            <w:gridSpan w:val="2"/>
            <w:shd w:val="clear" w:color="auto" w:fill="CFF0FC"/>
          </w:tcPr>
          <w:p>
            <w:pPr>
              <w:jc w:val="right"/>
              <w:ind w:right="998"/>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768,498</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4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1,137,869</w:t>
            </w:r>
          </w:p>
        </w:tc>
        <w:tc>
          <w:tcPr>
            <w:tcW w:w="0" w:type="dxa"/>
            <w:vAlign w:val="bottom"/>
          </w:tcPr>
          <w:p>
            <w:pPr>
              <w:spacing w:after="0"/>
              <w:rPr>
                <w:sz w:val="1"/>
                <w:szCs w:val="1"/>
                <w:color w:val="auto"/>
              </w:rPr>
            </w:pPr>
          </w:p>
        </w:tc>
      </w:tr>
      <w:tr>
        <w:trPr>
          <w:trHeight w:val="197"/>
        </w:trPr>
        <w:tc>
          <w:tcPr>
            <w:tcW w:w="5440" w:type="dxa"/>
            <w:vAlign w:val="bottom"/>
            <w:gridSpan w:val="2"/>
          </w:tcPr>
          <w:p>
            <w:pPr>
              <w:ind w:left="1120"/>
              <w:spacing w:after="0"/>
              <w:rPr>
                <w:sz w:val="20"/>
                <w:szCs w:val="20"/>
                <w:color w:val="auto"/>
              </w:rPr>
            </w:pPr>
            <w:r>
              <w:rPr>
                <w:rFonts w:ascii="Arial" w:cs="Arial" w:eastAsia="Arial" w:hAnsi="Arial"/>
                <w:sz w:val="15"/>
                <w:szCs w:val="15"/>
                <w:color w:val="auto"/>
              </w:rPr>
              <w:t>Research and development costs</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572,880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226,597</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Professional services fees</w:t>
            </w:r>
          </w:p>
        </w:tc>
        <w:tc>
          <w:tcPr>
            <w:tcW w:w="1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80,827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18,763</w:t>
            </w:r>
          </w:p>
        </w:tc>
        <w:tc>
          <w:tcPr>
            <w:tcW w:w="0" w:type="dxa"/>
            <w:vAlign w:val="bottom"/>
          </w:tcPr>
          <w:p>
            <w:pPr>
              <w:spacing w:after="0"/>
              <w:rPr>
                <w:sz w:val="1"/>
                <w:szCs w:val="1"/>
                <w:color w:val="auto"/>
              </w:rPr>
            </w:pPr>
          </w:p>
        </w:tc>
      </w:tr>
      <w:tr>
        <w:trPr>
          <w:trHeight w:val="197"/>
        </w:trPr>
        <w:tc>
          <w:tcPr>
            <w:tcW w:w="5440" w:type="dxa"/>
            <w:vAlign w:val="bottom"/>
            <w:gridSpan w:val="2"/>
          </w:tcPr>
          <w:p>
            <w:pPr>
              <w:ind w:left="1120"/>
              <w:spacing w:after="0"/>
              <w:rPr>
                <w:sz w:val="20"/>
                <w:szCs w:val="20"/>
                <w:color w:val="auto"/>
              </w:rPr>
            </w:pPr>
            <w:r>
              <w:rPr>
                <w:rFonts w:ascii="Arial" w:cs="Arial" w:eastAsia="Arial" w:hAnsi="Arial"/>
                <w:sz w:val="15"/>
                <w:szCs w:val="15"/>
                <w:color w:val="auto"/>
              </w:rPr>
              <w:t>Other</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354,707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191,932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3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Total accrued liabilities and other current liabilities</w:t>
            </w:r>
          </w:p>
        </w:tc>
        <w:tc>
          <w:tcPr>
            <w:tcW w:w="1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spacing w:after="0"/>
              <w:rPr>
                <w:sz w:val="16"/>
                <w:szCs w:val="16"/>
                <w:color w:val="auto"/>
              </w:rPr>
            </w:pPr>
          </w:p>
        </w:tc>
        <w:tc>
          <w:tcPr>
            <w:tcW w:w="4320" w:type="dxa"/>
            <w:vAlign w:val="bottom"/>
            <w:vMerge w:val="continue"/>
            <w:shd w:val="clear" w:color="auto" w:fill="CFF0FC"/>
          </w:tcPr>
          <w:p>
            <w:pPr>
              <w:spacing w:after="0"/>
              <w:rPr>
                <w:sz w:val="16"/>
                <w:szCs w:val="16"/>
                <w:color w:val="auto"/>
              </w:rPr>
            </w:pPr>
          </w:p>
        </w:tc>
        <w:tc>
          <w:tcPr>
            <w:tcW w:w="2320" w:type="dxa"/>
            <w:vAlign w:val="bottom"/>
            <w:gridSpan w:val="2"/>
            <w:shd w:val="clear" w:color="auto" w:fill="CFF0FC"/>
          </w:tcPr>
          <w:p>
            <w:pPr>
              <w:jc w:val="right"/>
              <w:ind w:right="998"/>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1,776,912</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4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rPr>
              <w:t>1,575,161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Commitments and Contingencies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Lease Commitments</w:t>
      </w:r>
    </w:p>
    <w:p>
      <w:pPr>
        <w:spacing w:after="0" w:line="292" w:lineRule="exact"/>
        <w:rPr>
          <w:sz w:val="20"/>
          <w:szCs w:val="20"/>
          <w:color w:val="auto"/>
        </w:rPr>
      </w:pPr>
    </w:p>
    <w:p>
      <w:pPr>
        <w:ind w:firstLine="592"/>
        <w:spacing w:after="0" w:line="262" w:lineRule="auto"/>
        <w:rPr>
          <w:sz w:val="20"/>
          <w:szCs w:val="20"/>
          <w:color w:val="auto"/>
        </w:rPr>
      </w:pPr>
      <w:r>
        <w:rPr>
          <w:rFonts w:ascii="Arial" w:cs="Arial" w:eastAsia="Arial" w:hAnsi="Arial"/>
          <w:sz w:val="15"/>
          <w:szCs w:val="15"/>
          <w:color w:val="auto"/>
        </w:rPr>
        <w:t>The Company has operating leases primarily for real estate in the United States and Japan. The United States lease is for the Company’s headquarters in San Diego and is for a term of four years and one month with a term date of December 31, 2021. The Company’s lease in Tokyo, Japan was renewed in May 2019 and has a term of two years with an auto-renewal, two-year extension. The real estate operating leases are included in "Other long-term assets" on the Company's balance sheet and represents the Company’s right to use the underlying assets for the lease term. The Company’s obligation to make lease payments are included in "Accrued liabilities and other current liabilities" and "Other long-term liabilities" on the Company's balance sheet. Operating lease right-of-use assets and liabilities commencing after January 1, 2019 are recognized at commencement date based on the present value of lease payments over the lease term. As of December 31, 2019, total right-of-use assets and operating lease liabilities were approximately $0.4 million, respectively. Operating lease expense is recognized on a straight-line basis over the lease term and is included in general and administrative expenses. The Company’s finance lease was deemed immaterial to the consolidated financial statements.</w:t>
      </w:r>
    </w:p>
    <w:p>
      <w:pPr>
        <w:spacing w:after="0" w:line="165" w:lineRule="exact"/>
        <w:rPr>
          <w:sz w:val="20"/>
          <w:szCs w:val="20"/>
          <w:color w:val="auto"/>
        </w:rPr>
      </w:pPr>
    </w:p>
    <w:p>
      <w:pPr>
        <w:ind w:right="260" w:firstLine="592"/>
        <w:spacing w:after="0" w:line="274" w:lineRule="auto"/>
        <w:rPr>
          <w:sz w:val="20"/>
          <w:szCs w:val="20"/>
          <w:color w:val="auto"/>
        </w:rPr>
      </w:pPr>
      <w:r>
        <w:rPr>
          <w:rFonts w:ascii="Arial" w:cs="Arial" w:eastAsia="Arial" w:hAnsi="Arial"/>
          <w:sz w:val="15"/>
          <w:szCs w:val="15"/>
          <w:color w:val="auto"/>
        </w:rPr>
        <w:t>As most of the Company’s operating leases do not provide an implicit rate, the Company uses its incremental borrowing rate based on the information available at commencement date in determining the present value of lease payments. The incremental borrowing rate is the rate of interest that the Company would expect to pay to borrow on a collateralized and fully amortizing basis over a similar term an amount equal to the lease payments in a similar economic environment.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Information related to the Company's right-of-use assets and related lease liabilities are as follows: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39"/>
        </w:trPr>
        <w:tc>
          <w:tcPr>
            <w:tcW w:w="9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gridSpan w:val="2"/>
          </w:tcPr>
          <w:p>
            <w:pPr>
              <w:jc w:val="right"/>
              <w:ind w:right="980"/>
              <w:spacing w:after="0"/>
              <w:rPr>
                <w:sz w:val="20"/>
                <w:szCs w:val="20"/>
                <w:color w:val="auto"/>
              </w:rPr>
            </w:pPr>
            <w:r>
              <w:rPr>
                <w:rFonts w:ascii="Arial" w:cs="Arial" w:eastAsia="Arial" w:hAnsi="Arial"/>
                <w:sz w:val="12"/>
                <w:szCs w:val="12"/>
                <w:b w:val="1"/>
                <w:bCs w:val="1"/>
                <w:color w:val="auto"/>
              </w:rPr>
              <w:t>Year Ended</w:t>
            </w:r>
          </w:p>
        </w:tc>
      </w:tr>
      <w:tr>
        <w:trPr>
          <w:trHeight w:val="147"/>
        </w:trPr>
        <w:tc>
          <w:tcPr>
            <w:tcW w:w="9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December 31, 2019</w:t>
            </w:r>
          </w:p>
        </w:tc>
      </w:tr>
      <w:tr>
        <w:trPr>
          <w:trHeight w:val="131"/>
        </w:trPr>
        <w:tc>
          <w:tcPr>
            <w:tcW w:w="90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97"/>
        </w:trPr>
        <w:tc>
          <w:tcPr>
            <w:tcW w:w="9020" w:type="dxa"/>
            <w:vAlign w:val="bottom"/>
            <w:shd w:val="clear" w:color="auto" w:fill="CFF0FC"/>
          </w:tcPr>
          <w:p>
            <w:pPr>
              <w:spacing w:after="0"/>
              <w:rPr>
                <w:sz w:val="20"/>
                <w:szCs w:val="20"/>
                <w:color w:val="auto"/>
              </w:rPr>
            </w:pPr>
            <w:r>
              <w:rPr>
                <w:rFonts w:ascii="Arial" w:cs="Arial" w:eastAsia="Arial" w:hAnsi="Arial"/>
                <w:sz w:val="15"/>
                <w:szCs w:val="15"/>
                <w:color w:val="auto"/>
              </w:rPr>
              <w:t>Cash paid for operating lease liabilities</w:t>
            </w: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229,450</w:t>
            </w:r>
          </w:p>
        </w:tc>
        <w:tc>
          <w:tcPr>
            <w:tcW w:w="160" w:type="dxa"/>
            <w:vAlign w:val="bottom"/>
            <w:shd w:val="clear" w:color="auto" w:fill="CFF0FC"/>
          </w:tcPr>
          <w:p>
            <w:pPr>
              <w:spacing w:after="0"/>
              <w:rPr>
                <w:sz w:val="17"/>
                <w:szCs w:val="17"/>
                <w:color w:val="auto"/>
              </w:rPr>
            </w:pPr>
          </w:p>
        </w:tc>
      </w:tr>
      <w:tr>
        <w:trPr>
          <w:trHeight w:val="197"/>
        </w:trPr>
        <w:tc>
          <w:tcPr>
            <w:tcW w:w="9020" w:type="dxa"/>
            <w:vAlign w:val="bottom"/>
          </w:tcPr>
          <w:p>
            <w:pPr>
              <w:spacing w:after="0"/>
              <w:rPr>
                <w:sz w:val="20"/>
                <w:szCs w:val="20"/>
                <w:color w:val="auto"/>
              </w:rPr>
            </w:pPr>
            <w:r>
              <w:rPr>
                <w:rFonts w:ascii="Arial" w:cs="Arial" w:eastAsia="Arial" w:hAnsi="Arial"/>
                <w:sz w:val="15"/>
                <w:szCs w:val="15"/>
                <w:color w:val="auto"/>
              </w:rPr>
              <w:t>Operating lease costs</w:t>
            </w:r>
          </w:p>
        </w:tc>
        <w:tc>
          <w:tcPr>
            <w:tcW w:w="3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226,766</w:t>
            </w:r>
          </w:p>
        </w:tc>
        <w:tc>
          <w:tcPr>
            <w:tcW w:w="160" w:type="dxa"/>
            <w:vAlign w:val="bottom"/>
          </w:tcPr>
          <w:p>
            <w:pPr>
              <w:spacing w:after="0"/>
              <w:rPr>
                <w:sz w:val="17"/>
                <w:szCs w:val="17"/>
                <w:color w:val="auto"/>
              </w:rPr>
            </w:pPr>
          </w:p>
        </w:tc>
      </w:tr>
      <w:tr>
        <w:trPr>
          <w:trHeight w:val="197"/>
        </w:trPr>
        <w:tc>
          <w:tcPr>
            <w:tcW w:w="9020" w:type="dxa"/>
            <w:vAlign w:val="bottom"/>
            <w:shd w:val="clear" w:color="auto" w:fill="CFF0FC"/>
          </w:tcPr>
          <w:p>
            <w:pPr>
              <w:spacing w:after="0"/>
              <w:rPr>
                <w:sz w:val="20"/>
                <w:szCs w:val="20"/>
                <w:color w:val="auto"/>
              </w:rPr>
            </w:pPr>
            <w:r>
              <w:rPr>
                <w:rFonts w:ascii="Arial" w:cs="Arial" w:eastAsia="Arial" w:hAnsi="Arial"/>
                <w:sz w:val="15"/>
                <w:szCs w:val="15"/>
                <w:color w:val="auto"/>
              </w:rPr>
              <w:t>Right-of-use assets obtained in exchange for new operating lease obligations</w:t>
            </w:r>
          </w:p>
        </w:tc>
        <w:tc>
          <w:tcPr>
            <w:tcW w:w="36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534,605</w:t>
            </w:r>
          </w:p>
        </w:tc>
        <w:tc>
          <w:tcPr>
            <w:tcW w:w="160" w:type="dxa"/>
            <w:vAlign w:val="bottom"/>
            <w:shd w:val="clear" w:color="auto" w:fill="CFF0FC"/>
          </w:tcPr>
          <w:p>
            <w:pPr>
              <w:spacing w:after="0"/>
              <w:rPr>
                <w:sz w:val="17"/>
                <w:szCs w:val="17"/>
                <w:color w:val="auto"/>
              </w:rPr>
            </w:pPr>
          </w:p>
        </w:tc>
      </w:tr>
      <w:tr>
        <w:trPr>
          <w:trHeight w:val="197"/>
        </w:trPr>
        <w:tc>
          <w:tcPr>
            <w:tcW w:w="9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9020" w:type="dxa"/>
            <w:vAlign w:val="bottom"/>
            <w:shd w:val="clear" w:color="auto" w:fill="CFF0FC"/>
          </w:tcPr>
          <w:p>
            <w:pPr>
              <w:spacing w:after="0"/>
              <w:rPr>
                <w:sz w:val="20"/>
                <w:szCs w:val="20"/>
                <w:color w:val="auto"/>
              </w:rPr>
            </w:pPr>
            <w:r>
              <w:rPr>
                <w:rFonts w:ascii="Arial" w:cs="Arial" w:eastAsia="Arial" w:hAnsi="Arial"/>
                <w:sz w:val="15"/>
                <w:szCs w:val="15"/>
                <w:color w:val="auto"/>
              </w:rPr>
              <w:t>Maturities of operating lease liabilities as of December 31, 2019 were as follows:</w:t>
            </w:r>
          </w:p>
        </w:tc>
        <w:tc>
          <w:tcPr>
            <w:tcW w:w="36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197"/>
        </w:trPr>
        <w:tc>
          <w:tcPr>
            <w:tcW w:w="9020" w:type="dxa"/>
            <w:vAlign w:val="bottom"/>
          </w:tcPr>
          <w:p>
            <w:pPr>
              <w:spacing w:after="0"/>
              <w:rPr>
                <w:sz w:val="20"/>
                <w:szCs w:val="20"/>
                <w:color w:val="auto"/>
              </w:rPr>
            </w:pPr>
            <w:r>
              <w:rPr>
                <w:rFonts w:ascii="Arial" w:cs="Arial" w:eastAsia="Arial" w:hAnsi="Arial"/>
                <w:sz w:val="15"/>
                <w:szCs w:val="15"/>
                <w:color w:val="auto"/>
              </w:rPr>
              <w:t>2020</w:t>
            </w:r>
          </w:p>
        </w:tc>
        <w:tc>
          <w:tcPr>
            <w:tcW w:w="3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243,313</w:t>
            </w:r>
          </w:p>
        </w:tc>
        <w:tc>
          <w:tcPr>
            <w:tcW w:w="160" w:type="dxa"/>
            <w:vAlign w:val="bottom"/>
          </w:tcPr>
          <w:p>
            <w:pPr>
              <w:spacing w:after="0"/>
              <w:rPr>
                <w:sz w:val="17"/>
                <w:szCs w:val="17"/>
                <w:color w:val="auto"/>
              </w:rPr>
            </w:pPr>
          </w:p>
        </w:tc>
      </w:tr>
      <w:tr>
        <w:trPr>
          <w:trHeight w:val="197"/>
        </w:trPr>
        <w:tc>
          <w:tcPr>
            <w:tcW w:w="9020" w:type="dxa"/>
            <w:vAlign w:val="bottom"/>
            <w:shd w:val="clear" w:color="auto" w:fill="CFF0FC"/>
          </w:tcPr>
          <w:p>
            <w:pPr>
              <w:spacing w:after="0"/>
              <w:rPr>
                <w:sz w:val="20"/>
                <w:szCs w:val="20"/>
                <w:color w:val="auto"/>
              </w:rPr>
            </w:pPr>
            <w:r>
              <w:rPr>
                <w:rFonts w:ascii="Arial" w:cs="Arial" w:eastAsia="Arial" w:hAnsi="Arial"/>
                <w:sz w:val="15"/>
                <w:szCs w:val="15"/>
                <w:color w:val="auto"/>
              </w:rPr>
              <w:t>2021</w:t>
            </w:r>
          </w:p>
        </w:tc>
        <w:tc>
          <w:tcPr>
            <w:tcW w:w="36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190,340</w:t>
            </w:r>
          </w:p>
        </w:tc>
        <w:tc>
          <w:tcPr>
            <w:tcW w:w="160" w:type="dxa"/>
            <w:vAlign w:val="bottom"/>
            <w:shd w:val="clear" w:color="auto" w:fill="CFF0FC"/>
          </w:tcPr>
          <w:p>
            <w:pPr>
              <w:spacing w:after="0"/>
              <w:rPr>
                <w:sz w:val="17"/>
                <w:szCs w:val="17"/>
                <w:color w:val="auto"/>
              </w:rPr>
            </w:pPr>
          </w:p>
        </w:tc>
      </w:tr>
      <w:tr>
        <w:trPr>
          <w:trHeight w:val="189"/>
        </w:trPr>
        <w:tc>
          <w:tcPr>
            <w:tcW w:w="9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433,653</w:t>
            </w:r>
          </w:p>
        </w:tc>
        <w:tc>
          <w:tcPr>
            <w:tcW w:w="160" w:type="dxa"/>
            <w:vAlign w:val="bottom"/>
          </w:tcPr>
          <w:p>
            <w:pPr>
              <w:spacing w:after="0"/>
              <w:rPr>
                <w:sz w:val="16"/>
                <w:szCs w:val="16"/>
                <w:color w:val="auto"/>
              </w:rPr>
            </w:pPr>
          </w:p>
        </w:tc>
      </w:tr>
      <w:tr>
        <w:trPr>
          <w:trHeight w:val="197"/>
        </w:trPr>
        <w:tc>
          <w:tcPr>
            <w:tcW w:w="9020" w:type="dxa"/>
            <w:vAlign w:val="bottom"/>
            <w:shd w:val="clear" w:color="auto" w:fill="CFF0FC"/>
          </w:tcPr>
          <w:p>
            <w:pPr>
              <w:spacing w:after="0"/>
              <w:rPr>
                <w:sz w:val="20"/>
                <w:szCs w:val="20"/>
                <w:color w:val="auto"/>
              </w:rPr>
            </w:pPr>
            <w:r>
              <w:rPr>
                <w:rFonts w:ascii="Arial" w:cs="Arial" w:eastAsia="Arial" w:hAnsi="Arial"/>
                <w:sz w:val="15"/>
                <w:szCs w:val="15"/>
                <w:color w:val="auto"/>
              </w:rPr>
              <w:t>Less imputed interest</w:t>
            </w:r>
          </w:p>
        </w:tc>
        <w:tc>
          <w:tcPr>
            <w:tcW w:w="36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(34,306)</w:t>
            </w:r>
          </w:p>
        </w:tc>
      </w:tr>
      <w:tr>
        <w:trPr>
          <w:trHeight w:val="229"/>
        </w:trPr>
        <w:tc>
          <w:tcPr>
            <w:tcW w:w="90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Total lease liabilities</w:t>
            </w: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399,347</w:t>
            </w:r>
          </w:p>
        </w:tc>
        <w:tc>
          <w:tcPr>
            <w:tcW w:w="160" w:type="dxa"/>
            <w:vAlign w:val="bottom"/>
            <w:tcBorders>
              <w:bottom w:val="single" w:sz="8" w:color="CFF0FC"/>
            </w:tcBorders>
          </w:tcPr>
          <w:p>
            <w:pPr>
              <w:spacing w:after="0"/>
              <w:rPr>
                <w:sz w:val="19"/>
                <w:szCs w:val="19"/>
                <w:color w:val="auto"/>
              </w:rPr>
            </w:pPr>
          </w:p>
        </w:tc>
      </w:tr>
      <w:tr>
        <w:trPr>
          <w:trHeight w:val="172"/>
        </w:trPr>
        <w:tc>
          <w:tcPr>
            <w:tcW w:w="90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440"/>
          </w:cols>
          <w:pgMar w:left="240" w:top="375" w:right="219" w:bottom="1440" w:gutter="0" w:footer="0" w:header="0"/>
        </w:sectPr>
      </w:pPr>
    </w:p>
    <w:p>
      <w:pPr>
        <w:spacing w:after="0"/>
        <w:rPr>
          <w:sz w:val="20"/>
          <w:szCs w:val="20"/>
          <w:color w:val="auto"/>
        </w:rPr>
      </w:pPr>
      <w:r>
        <w:rPr>
          <w:rFonts w:ascii="Arial" w:cs="Arial" w:eastAsia="Arial" w:hAnsi="Arial"/>
          <w:sz w:val="15"/>
          <w:szCs w:val="15"/>
          <w:color w:val="auto"/>
        </w:rPr>
        <w:t>Current operating lease liabilities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Long-term operating lease liabilities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216,768</w:t>
            </w:r>
          </w:p>
        </w:tc>
      </w:tr>
      <w:tr>
        <w:trPr>
          <w:trHeight w:val="197"/>
        </w:trPr>
        <w:tc>
          <w:tcPr>
            <w:tcW w:w="9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182,579</w:t>
            </w:r>
          </w:p>
        </w:tc>
      </w:tr>
      <w:tr>
        <w:trPr>
          <w:trHeight w:val="189"/>
        </w:trPr>
        <w:tc>
          <w:tcPr>
            <w:tcW w:w="90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399,347</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-279400</wp:posOffset>
            </wp:positionV>
            <wp:extent cx="7265670" cy="125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5670" cy="1250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8300" w:space="720"/>
            <w:col w:w="2420"/>
          </w:cols>
          <w:pgMar w:left="240" w:top="375" w:right="21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6720" w:type="dxa"/>
            <w:vAlign w:val="bottom"/>
            <w:shd w:val="clear" w:color="auto" w:fill="CFF0FC"/>
          </w:tcPr>
          <w:p>
            <w:pPr>
              <w:spacing w:after="0"/>
              <w:rPr>
                <w:sz w:val="15"/>
                <w:szCs w:val="15"/>
                <w:color w:val="auto"/>
              </w:rPr>
            </w:pPr>
          </w:p>
        </w:tc>
        <w:tc>
          <w:tcPr>
            <w:tcW w:w="4720" w:type="dxa"/>
            <w:vAlign w:val="bottom"/>
            <w:shd w:val="clear" w:color="auto" w:fill="CFF0FC"/>
          </w:tcPr>
          <w:p>
            <w:pPr>
              <w:spacing w:after="0"/>
              <w:rPr>
                <w:sz w:val="15"/>
                <w:szCs w:val="15"/>
                <w:color w:val="auto"/>
              </w:rPr>
            </w:pPr>
          </w:p>
        </w:tc>
      </w:tr>
      <w:tr>
        <w:trPr>
          <w:trHeight w:val="197"/>
        </w:trPr>
        <w:tc>
          <w:tcPr>
            <w:tcW w:w="6720" w:type="dxa"/>
            <w:vAlign w:val="bottom"/>
          </w:tcPr>
          <w:p>
            <w:pPr>
              <w:spacing w:after="0"/>
              <w:rPr>
                <w:sz w:val="20"/>
                <w:szCs w:val="20"/>
                <w:color w:val="auto"/>
              </w:rPr>
            </w:pPr>
            <w:r>
              <w:rPr>
                <w:rFonts w:ascii="Arial" w:cs="Arial" w:eastAsia="Arial" w:hAnsi="Arial"/>
                <w:sz w:val="15"/>
                <w:szCs w:val="15"/>
                <w:color w:val="auto"/>
              </w:rPr>
              <w:t>Weighted-average remaining lease term</w:t>
            </w:r>
          </w:p>
        </w:tc>
        <w:tc>
          <w:tcPr>
            <w:tcW w:w="4720" w:type="dxa"/>
            <w:vAlign w:val="bottom"/>
          </w:tcPr>
          <w:p>
            <w:pPr>
              <w:jc w:val="right"/>
              <w:ind w:right="103"/>
              <w:spacing w:after="0"/>
              <w:rPr>
                <w:sz w:val="20"/>
                <w:szCs w:val="20"/>
                <w:color w:val="auto"/>
              </w:rPr>
            </w:pPr>
            <w:r>
              <w:rPr>
                <w:rFonts w:ascii="Arial" w:cs="Arial" w:eastAsia="Arial" w:hAnsi="Arial"/>
                <w:sz w:val="15"/>
                <w:szCs w:val="15"/>
                <w:color w:val="auto"/>
              </w:rPr>
              <w:t>1.81</w:t>
            </w:r>
          </w:p>
        </w:tc>
      </w:tr>
      <w:tr>
        <w:trPr>
          <w:trHeight w:val="197"/>
        </w:trPr>
        <w:tc>
          <w:tcPr>
            <w:tcW w:w="6720" w:type="dxa"/>
            <w:vAlign w:val="bottom"/>
            <w:shd w:val="clear" w:color="auto" w:fill="CFF0FC"/>
          </w:tcPr>
          <w:p>
            <w:pPr>
              <w:spacing w:after="0"/>
              <w:rPr>
                <w:sz w:val="20"/>
                <w:szCs w:val="20"/>
                <w:color w:val="auto"/>
              </w:rPr>
            </w:pPr>
            <w:r>
              <w:rPr>
                <w:rFonts w:ascii="Arial" w:cs="Arial" w:eastAsia="Arial" w:hAnsi="Arial"/>
                <w:sz w:val="15"/>
                <w:szCs w:val="15"/>
                <w:color w:val="auto"/>
              </w:rPr>
              <w:t>Discount rate</w:t>
            </w:r>
          </w:p>
        </w:tc>
        <w:tc>
          <w:tcPr>
            <w:tcW w:w="4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w:t>
            </w:r>
          </w:p>
        </w:tc>
      </w:tr>
    </w:tbl>
    <w:p>
      <w:pPr>
        <w:spacing w:after="0" w:line="175" w:lineRule="exact"/>
        <w:rPr>
          <w:sz w:val="20"/>
          <w:szCs w:val="20"/>
          <w:color w:val="auto"/>
        </w:rPr>
      </w:pPr>
    </w:p>
    <w:p>
      <w:pPr>
        <w:ind w:right="300"/>
        <w:spacing w:after="0" w:line="290" w:lineRule="auto"/>
        <w:rPr>
          <w:sz w:val="20"/>
          <w:szCs w:val="20"/>
          <w:color w:val="auto"/>
        </w:rPr>
      </w:pPr>
      <w:r>
        <w:rPr>
          <w:rFonts w:ascii="Arial" w:cs="Arial" w:eastAsia="Arial" w:hAnsi="Arial"/>
          <w:sz w:val="15"/>
          <w:szCs w:val="15"/>
          <w:color w:val="auto"/>
        </w:rPr>
        <w:t>The total estimated future annual minimum lease payments under the Company’s non-cancelable building and copier leases under ASC 840 for the years ending after December 31, 2018 are as follows:</w:t>
      </w:r>
    </w:p>
    <w:p>
      <w:pPr>
        <w:spacing w:after="0" w:line="157" w:lineRule="exact"/>
        <w:rPr>
          <w:sz w:val="20"/>
          <w:szCs w:val="20"/>
          <w:color w:val="auto"/>
        </w:rPr>
      </w:pPr>
    </w:p>
    <w:tbl>
      <w:tblPr>
        <w:tblLayout w:type="fixed"/>
        <w:tblInd w:w="3200" w:type="dxa"/>
        <w:tblCellMar>
          <w:top w:w="0" w:type="dxa"/>
          <w:left w:w="0" w:type="dxa"/>
          <w:bottom w:w="0" w:type="dxa"/>
          <w:right w:w="0" w:type="dxa"/>
        </w:tblCellMar>
      </w:tblPr>
      <w:tr>
        <w:trPr>
          <w:trHeight w:val="202"/>
        </w:trPr>
        <w:tc>
          <w:tcPr>
            <w:tcW w:w="4100" w:type="dxa"/>
            <w:vAlign w:val="bottom"/>
          </w:tcPr>
          <w:p>
            <w:pPr>
              <w:spacing w:after="0"/>
              <w:rPr>
                <w:sz w:val="20"/>
                <w:szCs w:val="20"/>
                <w:color w:val="auto"/>
              </w:rPr>
            </w:pPr>
            <w:r>
              <w:rPr>
                <w:rFonts w:ascii="Arial" w:cs="Arial" w:eastAsia="Arial" w:hAnsi="Arial"/>
                <w:sz w:val="15"/>
                <w:szCs w:val="15"/>
                <w:b w:val="1"/>
                <w:bCs w:val="1"/>
                <w:color w:val="auto"/>
              </w:rPr>
              <w:t>Years ending December 31:</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4100" w:type="dxa"/>
            <w:vAlign w:val="bottom"/>
            <w:shd w:val="clear" w:color="auto" w:fill="CFF0FC"/>
          </w:tcPr>
          <w:p>
            <w:pPr>
              <w:spacing w:after="0"/>
              <w:rPr>
                <w:sz w:val="20"/>
                <w:szCs w:val="20"/>
                <w:color w:val="auto"/>
              </w:rPr>
            </w:pPr>
            <w:r>
              <w:rPr>
                <w:rFonts w:ascii="Arial" w:cs="Arial" w:eastAsia="Arial" w:hAnsi="Arial"/>
                <w:sz w:val="15"/>
                <w:szCs w:val="15"/>
                <w:color w:val="auto"/>
              </w:rPr>
              <w:t>2019</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182,847</w:t>
            </w:r>
          </w:p>
        </w:tc>
        <w:tc>
          <w:tcPr>
            <w:tcW w:w="80" w:type="dxa"/>
            <w:vAlign w:val="bottom"/>
            <w:shd w:val="clear" w:color="auto" w:fill="CFF0FC"/>
          </w:tcPr>
          <w:p>
            <w:pPr>
              <w:spacing w:after="0"/>
              <w:rPr>
                <w:sz w:val="18"/>
                <w:szCs w:val="18"/>
                <w:color w:val="auto"/>
              </w:rPr>
            </w:pPr>
          </w:p>
        </w:tc>
      </w:tr>
      <w:tr>
        <w:trPr>
          <w:trHeight w:val="209"/>
        </w:trPr>
        <w:tc>
          <w:tcPr>
            <w:tcW w:w="4100" w:type="dxa"/>
            <w:vAlign w:val="bottom"/>
          </w:tcPr>
          <w:p>
            <w:pPr>
              <w:spacing w:after="0"/>
              <w:rPr>
                <w:sz w:val="20"/>
                <w:szCs w:val="20"/>
                <w:color w:val="auto"/>
              </w:rPr>
            </w:pPr>
            <w:r>
              <w:rPr>
                <w:rFonts w:ascii="Arial" w:cs="Arial" w:eastAsia="Arial" w:hAnsi="Arial"/>
                <w:sz w:val="15"/>
                <w:szCs w:val="15"/>
                <w:color w:val="auto"/>
              </w:rPr>
              <w:t>2020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144,234</w:t>
            </w:r>
          </w:p>
        </w:tc>
        <w:tc>
          <w:tcPr>
            <w:tcW w:w="80" w:type="dxa"/>
            <w:vAlign w:val="bottom"/>
          </w:tcPr>
          <w:p>
            <w:pPr>
              <w:spacing w:after="0"/>
              <w:rPr>
                <w:sz w:val="18"/>
                <w:szCs w:val="18"/>
                <w:color w:val="auto"/>
              </w:rPr>
            </w:pPr>
          </w:p>
        </w:tc>
      </w:tr>
      <w:tr>
        <w:trPr>
          <w:trHeight w:val="209"/>
        </w:trPr>
        <w:tc>
          <w:tcPr>
            <w:tcW w:w="4100" w:type="dxa"/>
            <w:vAlign w:val="bottom"/>
            <w:shd w:val="clear" w:color="auto" w:fill="CFF0FC"/>
          </w:tcPr>
          <w:p>
            <w:pPr>
              <w:spacing w:after="0"/>
              <w:rPr>
                <w:sz w:val="20"/>
                <w:szCs w:val="20"/>
                <w:color w:val="auto"/>
              </w:rPr>
            </w:pPr>
            <w:r>
              <w:rPr>
                <w:rFonts w:ascii="Arial" w:cs="Arial" w:eastAsia="Arial" w:hAnsi="Arial"/>
                <w:sz w:val="15"/>
                <w:szCs w:val="15"/>
                <w:color w:val="auto"/>
              </w:rPr>
              <w:t>2021</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149,951</w:t>
            </w:r>
          </w:p>
        </w:tc>
        <w:tc>
          <w:tcPr>
            <w:tcW w:w="80" w:type="dxa"/>
            <w:vAlign w:val="bottom"/>
            <w:shd w:val="clear" w:color="auto" w:fill="CFF0FC"/>
          </w:tcPr>
          <w:p>
            <w:pPr>
              <w:spacing w:after="0"/>
              <w:rPr>
                <w:sz w:val="18"/>
                <w:szCs w:val="18"/>
                <w:color w:val="auto"/>
              </w:rPr>
            </w:pPr>
          </w:p>
        </w:tc>
      </w:tr>
      <w:tr>
        <w:trPr>
          <w:trHeight w:val="209"/>
        </w:trPr>
        <w:tc>
          <w:tcPr>
            <w:tcW w:w="4100" w:type="dxa"/>
            <w:vAlign w:val="bottom"/>
          </w:tcPr>
          <w:p>
            <w:pPr>
              <w:spacing w:after="0"/>
              <w:rPr>
                <w:sz w:val="20"/>
                <w:szCs w:val="20"/>
                <w:color w:val="auto"/>
              </w:rPr>
            </w:pPr>
            <w:r>
              <w:rPr>
                <w:rFonts w:ascii="Arial" w:cs="Arial" w:eastAsia="Arial" w:hAnsi="Arial"/>
                <w:sz w:val="15"/>
                <w:szCs w:val="15"/>
                <w:color w:val="auto"/>
              </w:rPr>
              <w:t>2022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1,532</w:t>
            </w:r>
          </w:p>
        </w:tc>
        <w:tc>
          <w:tcPr>
            <w:tcW w:w="80" w:type="dxa"/>
            <w:vAlign w:val="bottom"/>
          </w:tcPr>
          <w:p>
            <w:pPr>
              <w:spacing w:after="0"/>
              <w:rPr>
                <w:sz w:val="18"/>
                <w:szCs w:val="18"/>
                <w:color w:val="auto"/>
              </w:rPr>
            </w:pPr>
          </w:p>
        </w:tc>
      </w:tr>
      <w:tr>
        <w:trPr>
          <w:trHeight w:val="209"/>
        </w:trPr>
        <w:tc>
          <w:tcPr>
            <w:tcW w:w="4100" w:type="dxa"/>
            <w:vAlign w:val="bottom"/>
            <w:shd w:val="clear" w:color="auto" w:fill="CFF0FC"/>
          </w:tcPr>
          <w:p>
            <w:pPr>
              <w:spacing w:after="0"/>
              <w:rPr>
                <w:sz w:val="20"/>
                <w:szCs w:val="20"/>
                <w:color w:val="auto"/>
              </w:rPr>
            </w:pPr>
            <w:r>
              <w:rPr>
                <w:rFonts w:ascii="Arial" w:cs="Arial" w:eastAsia="Arial" w:hAnsi="Arial"/>
                <w:sz w:val="15"/>
                <w:szCs w:val="15"/>
                <w:color w:val="auto"/>
              </w:rPr>
              <w:t>2023</w:t>
            </w: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1,404</w:t>
            </w:r>
          </w:p>
        </w:tc>
        <w:tc>
          <w:tcPr>
            <w:tcW w:w="80" w:type="dxa"/>
            <w:vAlign w:val="bottom"/>
            <w:shd w:val="clear" w:color="auto" w:fill="CFF0FC"/>
          </w:tcPr>
          <w:p>
            <w:pPr>
              <w:spacing w:after="0"/>
              <w:rPr>
                <w:sz w:val="18"/>
                <w:szCs w:val="18"/>
                <w:color w:val="auto"/>
              </w:rPr>
            </w:pPr>
          </w:p>
        </w:tc>
      </w:tr>
      <w:tr>
        <w:trPr>
          <w:trHeight w:val="189"/>
        </w:trPr>
        <w:tc>
          <w:tcPr>
            <w:tcW w:w="4100" w:type="dxa"/>
            <w:vAlign w:val="bottom"/>
          </w:tcPr>
          <w:p>
            <w:pPr>
              <w:ind w:left="220"/>
              <w:spacing w:after="0"/>
              <w:rPr>
                <w:sz w:val="20"/>
                <w:szCs w:val="20"/>
                <w:color w:val="auto"/>
              </w:rPr>
            </w:pPr>
            <w:r>
              <w:rPr>
                <w:rFonts w:ascii="Arial" w:cs="Arial" w:eastAsia="Arial" w:hAnsi="Arial"/>
                <w:sz w:val="15"/>
                <w:szCs w:val="15"/>
                <w:color w:val="auto"/>
              </w:rPr>
              <w:t>Total minimum payments</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479,968</w:t>
            </w:r>
          </w:p>
        </w:tc>
        <w:tc>
          <w:tcPr>
            <w:tcW w:w="80" w:type="dxa"/>
            <w:vAlign w:val="bottom"/>
          </w:tcPr>
          <w:p>
            <w:pPr>
              <w:spacing w:after="0"/>
              <w:rPr>
                <w:sz w:val="16"/>
                <w:szCs w:val="16"/>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w:t>
      </w:r>
    </w:p>
    <w:p>
      <w:pPr>
        <w:spacing w:after="0" w:line="106" w:lineRule="exact"/>
        <w:rPr>
          <w:sz w:val="20"/>
          <w:szCs w:val="20"/>
          <w:color w:val="auto"/>
        </w:rPr>
      </w:pPr>
    </w:p>
    <w:p>
      <w:pPr>
        <w:ind w:right="40" w:firstLine="440"/>
        <w:spacing w:after="0" w:line="322" w:lineRule="auto"/>
        <w:rPr>
          <w:sz w:val="20"/>
          <w:szCs w:val="20"/>
          <w:color w:val="auto"/>
        </w:rPr>
      </w:pPr>
      <w:r>
        <w:rPr>
          <w:rFonts w:ascii="Arial" w:cs="Arial" w:eastAsia="Arial" w:hAnsi="Arial"/>
          <w:sz w:val="13"/>
          <w:szCs w:val="13"/>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License and Research Agreements</w:t>
      </w:r>
    </w:p>
    <w:p>
      <w:pPr>
        <w:spacing w:after="0" w:line="106" w:lineRule="exact"/>
        <w:rPr>
          <w:sz w:val="20"/>
          <w:szCs w:val="20"/>
          <w:color w:val="auto"/>
        </w:rPr>
      </w:pPr>
    </w:p>
    <w:p>
      <w:pPr>
        <w:ind w:firstLine="440"/>
        <w:spacing w:after="0" w:line="269" w:lineRule="auto"/>
        <w:rPr>
          <w:sz w:val="20"/>
          <w:szCs w:val="20"/>
          <w:color w:val="auto"/>
        </w:rPr>
      </w:pPr>
      <w:r>
        <w:rPr>
          <w:rFonts w:ascii="Arial" w:cs="Arial" w:eastAsia="Arial" w:hAnsi="Arial"/>
          <w:sz w:val="15"/>
          <w:szCs w:val="15"/>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type w:val="continuous"/>
        </w:sectPr>
      </w:pPr>
    </w:p>
    <w:bookmarkStart w:id="67" w:name="page68"/>
    <w:bookmarkEnd w:id="67"/>
    <w:p>
      <w:pPr>
        <w:ind w:right="20" w:firstLine="440"/>
        <w:spacing w:after="0" w:line="266" w:lineRule="auto"/>
        <w:rPr>
          <w:sz w:val="20"/>
          <w:szCs w:val="20"/>
          <w:color w:val="auto"/>
        </w:rPr>
      </w:pPr>
      <w:r>
        <w:rPr>
          <w:rFonts w:ascii="Arial" w:cs="Arial" w:eastAsia="Arial" w:hAnsi="Arial"/>
          <w:sz w:val="15"/>
          <w:szCs w:val="15"/>
          <w:color w:val="auto"/>
        </w:rPr>
        <w:t>No amounts have been expended under these agreements during the years ended December 31, 2019 and 2018. For products currently in development, future potential milestone payments based on product development of MN-166 (ibudilast) and MN-001 (tipelukast) are $10.0 million as of December 31, 2019. For all other products, future potential milestone payments related to development milestones and commercialization milestones totaled $33.5 million as of December 31, 2019.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Proceedings</w:t>
      </w:r>
    </w:p>
    <w:p>
      <w:pPr>
        <w:spacing w:after="0" w:line="106" w:lineRule="exact"/>
        <w:rPr>
          <w:sz w:val="20"/>
          <w:szCs w:val="20"/>
          <w:color w:val="auto"/>
        </w:rPr>
      </w:pPr>
    </w:p>
    <w:p>
      <w:pPr>
        <w:ind w:firstLine="440"/>
        <w:spacing w:after="0" w:line="290" w:lineRule="auto"/>
        <w:rPr>
          <w:sz w:val="20"/>
          <w:szCs w:val="20"/>
          <w:color w:val="auto"/>
        </w:rPr>
      </w:pPr>
      <w:r>
        <w:rPr>
          <w:rFonts w:ascii="Arial" w:cs="Arial" w:eastAsia="Arial" w:hAnsi="Arial"/>
          <w:sz w:val="15"/>
          <w:szCs w:val="15"/>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Joint Venture</w:t>
      </w:r>
    </w:p>
    <w:p>
      <w:pPr>
        <w:spacing w:after="0" w:line="112" w:lineRule="exact"/>
        <w:rPr>
          <w:sz w:val="20"/>
          <w:szCs w:val="20"/>
          <w:color w:val="auto"/>
        </w:rPr>
      </w:pPr>
    </w:p>
    <w:p>
      <w:pPr>
        <w:ind w:right="120" w:firstLine="440"/>
        <w:spacing w:after="0" w:line="294" w:lineRule="auto"/>
        <w:rPr>
          <w:sz w:val="20"/>
          <w:szCs w:val="20"/>
          <w:color w:val="auto"/>
        </w:rPr>
      </w:pPr>
      <w:r>
        <w:rPr>
          <w:rFonts w:ascii="Arial" w:cs="Arial" w:eastAsia="Arial" w:hAnsi="Arial"/>
          <w:sz w:val="14"/>
          <w:szCs w:val="14"/>
          <w:color w:val="auto"/>
        </w:rPr>
        <w:t>The Company entered into an agreement to form a joint venture company with Zhejiang Medicine Co., Ltd. and Beijing Medfron Medical Technologies Co., Ltd. (formerly Beijing Make-Friend Medicine Technology Co., Ltd.) effective September 27, 2011. In August 2014, the Chinese government approved the amendment to the joint venture agreement to allow for the departure of Zhejiang Medicine Co., Ltd. The amended joint venture agreement provided for the joint venture company, Zhejiang Sunmy Bio-Medical Co., Ltd. (Zhejiang Sunmy), to develop and commercialize MN-221 (bedoradrine) in China and pursue additional compounds to develop, each with a 50% interest in Zhejiang Sunmy.</w:t>
      </w:r>
    </w:p>
    <w:p>
      <w:pPr>
        <w:spacing w:after="0" w:line="174" w:lineRule="exact"/>
        <w:rPr>
          <w:sz w:val="20"/>
          <w:szCs w:val="20"/>
          <w:color w:val="auto"/>
        </w:rPr>
      </w:pPr>
    </w:p>
    <w:p>
      <w:pPr>
        <w:ind w:right="140" w:firstLine="440"/>
        <w:spacing w:after="0" w:line="302" w:lineRule="auto"/>
        <w:rPr>
          <w:sz w:val="20"/>
          <w:szCs w:val="20"/>
          <w:color w:val="auto"/>
        </w:rPr>
      </w:pPr>
      <w:r>
        <w:rPr>
          <w:rFonts w:ascii="Arial" w:cs="Arial" w:eastAsia="Arial" w:hAnsi="Arial"/>
          <w:sz w:val="14"/>
          <w:szCs w:val="14"/>
          <w:color w:val="auto"/>
        </w:rPr>
        <w:t>On July 24, 2017, the Company and Beijing Medfron Medical Technologies Co., Ltd. agreed to dissolve Zhejiang Sunmy, subject to approval by applicable Chinese regulatory authorities which was granted on December 11, 2017. In 2018, the Company received proceeds of $0.6 million from the dissolution of the joint venture and liquidation of its investment, resulting in an immaterial gain recorded within other expense, net in the statement of operations and comprehensive loss for the year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Share-based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Incentive Plans</w:t>
      </w:r>
    </w:p>
    <w:p>
      <w:pPr>
        <w:spacing w:after="0" w:line="106" w:lineRule="exact"/>
        <w:rPr>
          <w:sz w:val="20"/>
          <w:szCs w:val="20"/>
          <w:color w:val="auto"/>
        </w:rPr>
      </w:pPr>
    </w:p>
    <w:p>
      <w:pPr>
        <w:ind w:firstLine="440"/>
        <w:spacing w:after="0" w:line="283" w:lineRule="auto"/>
        <w:rPr>
          <w:sz w:val="20"/>
          <w:szCs w:val="20"/>
          <w:color w:val="auto"/>
        </w:rPr>
      </w:pPr>
      <w:r>
        <w:rPr>
          <w:rFonts w:ascii="Arial" w:cs="Arial" w:eastAsia="Arial" w:hAnsi="Arial"/>
          <w:sz w:val="14"/>
          <w:szCs w:val="14"/>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At the annual meeting of stockholders held in June 2019, the Company’s stockholders approved an amendment to the 2013 Plan to increase the number of shares of common stock reserved for issuance under the plan by 2,000,000 shares.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2019, 2,284,292 shares remain available for future grant under the 2013 Plan.</w:t>
      </w:r>
    </w:p>
    <w:p>
      <w:pPr>
        <w:spacing w:after="0" w:line="55" w:lineRule="exact"/>
        <w:rPr>
          <w:sz w:val="20"/>
          <w:szCs w:val="20"/>
          <w:color w:val="auto"/>
        </w:rPr>
      </w:pPr>
    </w:p>
    <w:p>
      <w:pPr>
        <w:ind w:right="360" w:firstLine="440"/>
        <w:spacing w:after="0" w:line="294" w:lineRule="auto"/>
        <w:rPr>
          <w:sz w:val="20"/>
          <w:szCs w:val="20"/>
          <w:color w:val="auto"/>
        </w:rPr>
      </w:pPr>
      <w:r>
        <w:rPr>
          <w:rFonts w:ascii="Arial" w:cs="Arial" w:eastAsia="Arial" w:hAnsi="Arial"/>
          <w:sz w:val="14"/>
          <w:szCs w:val="14"/>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As of December 31, 2019, there were a total of 1,172,000 shares underlying performance options that were subject to vesting based on achievement of performance milestones for 2019. 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8" w:name="page69"/>
    <w:bookmarkEnd w:id="68"/>
    <w:p>
      <w:pPr>
        <w:ind w:right="260"/>
        <w:spacing w:after="0" w:line="290" w:lineRule="auto"/>
        <w:rPr>
          <w:sz w:val="20"/>
          <w:szCs w:val="20"/>
          <w:color w:val="auto"/>
        </w:rPr>
      </w:pPr>
      <w:r>
        <w:rPr>
          <w:rFonts w:ascii="Arial" w:cs="Arial" w:eastAsia="Arial" w:hAnsi="Arial"/>
          <w:sz w:val="15"/>
          <w:szCs w:val="15"/>
          <w:color w:val="auto"/>
        </w:rPr>
        <w:t>January 2020, the Board of Directors determined that the performance milestones were achieved at the 75% level and accordingly 879,000 of these options vested and the remaining shares were forfeited.</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Options granted under the 2013 Plan and 2004 Plan have terms of ten years from the date of grant unless earlier terminated and generally vest over a three or four-year period.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exercise price of all options granted during the years ended December 31, 2019 and 2018 was equal to the market value of the Company’s common stock on the date of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grant.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summary of stock option activity and related information for the years ended December 31, 2019 and 2018 is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Weighted Average</w:t>
            </w:r>
          </w:p>
        </w:tc>
        <w:tc>
          <w:tcPr>
            <w:tcW w:w="0" w:type="dxa"/>
            <w:vAlign w:val="bottom"/>
          </w:tcPr>
          <w:p>
            <w:pPr>
              <w:spacing w:after="0"/>
              <w:rPr>
                <w:sz w:val="1"/>
                <w:szCs w:val="1"/>
                <w:color w:val="auto"/>
              </w:rPr>
            </w:pPr>
          </w:p>
        </w:tc>
      </w:tr>
      <w:tr>
        <w:trPr>
          <w:trHeight w:val="147"/>
        </w:trPr>
        <w:tc>
          <w:tcPr>
            <w:tcW w:w="55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Option Shares</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Exercise Price</w:t>
            </w:r>
          </w:p>
        </w:tc>
        <w:tc>
          <w:tcPr>
            <w:tcW w:w="0" w:type="dxa"/>
            <w:vAlign w:val="bottom"/>
          </w:tcPr>
          <w:p>
            <w:pPr>
              <w:spacing w:after="0"/>
              <w:rPr>
                <w:sz w:val="1"/>
                <w:szCs w:val="1"/>
                <w:color w:val="auto"/>
              </w:rPr>
            </w:pPr>
          </w:p>
        </w:tc>
      </w:tr>
      <w:tr>
        <w:trPr>
          <w:trHeight w:val="189"/>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at December 31, 2017</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5,514,038</w:t>
            </w:r>
          </w:p>
        </w:tc>
        <w:tc>
          <w:tcPr>
            <w:tcW w:w="1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4.03</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5"/>
                <w:szCs w:val="15"/>
                <w:color w:val="auto"/>
              </w:rPr>
              <w:t>Granted</w:t>
            </w:r>
          </w:p>
        </w:tc>
        <w:tc>
          <w:tcPr>
            <w:tcW w:w="1100" w:type="dxa"/>
            <w:vAlign w:val="bottom"/>
          </w:tcPr>
          <w:p>
            <w:pPr>
              <w:jc w:val="right"/>
              <w:spacing w:after="0"/>
              <w:rPr>
                <w:sz w:val="20"/>
                <w:szCs w:val="20"/>
                <w:color w:val="auto"/>
              </w:rPr>
            </w:pPr>
            <w:r>
              <w:rPr>
                <w:rFonts w:ascii="Arial" w:cs="Arial" w:eastAsia="Arial" w:hAnsi="Arial"/>
                <w:sz w:val="15"/>
                <w:szCs w:val="15"/>
                <w:color w:val="auto"/>
              </w:rPr>
              <w:t>1,222,000</w:t>
            </w:r>
          </w:p>
        </w:tc>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20" w:type="dxa"/>
            <w:vAlign w:val="bottom"/>
            <w:shd w:val="clear" w:color="auto" w:fill="CFF0FC"/>
          </w:tcPr>
          <w:p>
            <w:pPr>
              <w:spacing w:after="0"/>
              <w:rPr>
                <w:sz w:val="20"/>
                <w:szCs w:val="20"/>
                <w:color w:val="auto"/>
              </w:rPr>
            </w:pPr>
            <w:r>
              <w:rPr>
                <w:rFonts w:ascii="Arial" w:cs="Arial" w:eastAsia="Arial" w:hAnsi="Arial"/>
                <w:sz w:val="15"/>
                <w:szCs w:val="15"/>
                <w:color w:val="auto"/>
              </w:rPr>
              <w:t>Exercised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(125,391)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20" w:type="dxa"/>
            <w:vAlign w:val="bottom"/>
          </w:tcPr>
          <w:p>
            <w:pPr>
              <w:spacing w:after="0"/>
              <w:rPr>
                <w:sz w:val="20"/>
                <w:szCs w:val="20"/>
                <w:color w:val="auto"/>
              </w:rPr>
            </w:pPr>
            <w:r>
              <w:rPr>
                <w:rFonts w:ascii="Arial" w:cs="Arial" w:eastAsia="Arial" w:hAnsi="Arial"/>
                <w:sz w:val="15"/>
                <w:szCs w:val="15"/>
                <w:color w:val="auto"/>
              </w:rPr>
              <w:t>Cancelled</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at December 31,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6,609,647</w:t>
            </w:r>
          </w:p>
        </w:tc>
        <w:tc>
          <w:tcPr>
            <w:tcW w:w="1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4.61</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5"/>
                <w:szCs w:val="15"/>
                <w:color w:val="auto"/>
              </w:rPr>
              <w:t>Granted</w:t>
            </w:r>
          </w:p>
        </w:tc>
        <w:tc>
          <w:tcPr>
            <w:tcW w:w="1100" w:type="dxa"/>
            <w:vAlign w:val="bottom"/>
          </w:tcPr>
          <w:p>
            <w:pPr>
              <w:jc w:val="right"/>
              <w:spacing w:after="0"/>
              <w:rPr>
                <w:sz w:val="20"/>
                <w:szCs w:val="20"/>
                <w:color w:val="auto"/>
              </w:rPr>
            </w:pPr>
            <w:r>
              <w:rPr>
                <w:rFonts w:ascii="Arial" w:cs="Arial" w:eastAsia="Arial" w:hAnsi="Arial"/>
                <w:sz w:val="15"/>
                <w:szCs w:val="15"/>
                <w:color w:val="auto"/>
              </w:rPr>
              <w:t>1,337,000</w:t>
            </w:r>
          </w:p>
        </w:tc>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20" w:type="dxa"/>
            <w:vAlign w:val="bottom"/>
            <w:shd w:val="clear" w:color="auto" w:fill="CFF0FC"/>
          </w:tcPr>
          <w:p>
            <w:pPr>
              <w:spacing w:after="0"/>
              <w:rPr>
                <w:sz w:val="20"/>
                <w:szCs w:val="20"/>
                <w:color w:val="auto"/>
              </w:rPr>
            </w:pPr>
            <w:r>
              <w:rPr>
                <w:rFonts w:ascii="Arial" w:cs="Arial" w:eastAsia="Arial" w:hAnsi="Arial"/>
                <w:sz w:val="15"/>
                <w:szCs w:val="15"/>
                <w:color w:val="auto"/>
              </w:rPr>
              <w:t>Exercised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(1,017,854)</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20" w:type="dxa"/>
            <w:vAlign w:val="bottom"/>
          </w:tcPr>
          <w:p>
            <w:pPr>
              <w:spacing w:after="0"/>
              <w:rPr>
                <w:sz w:val="20"/>
                <w:szCs w:val="20"/>
                <w:color w:val="auto"/>
              </w:rPr>
            </w:pPr>
            <w:r>
              <w:rPr>
                <w:rFonts w:ascii="Arial" w:cs="Arial" w:eastAsia="Arial" w:hAnsi="Arial"/>
                <w:sz w:val="15"/>
                <w:szCs w:val="15"/>
                <w:color w:val="auto"/>
              </w:rPr>
              <w:t>Cancelled</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(126,700)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at December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6,802,093</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5.61</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5"/>
                <w:szCs w:val="15"/>
                <w:color w:val="auto"/>
              </w:rPr>
              <w:t>Exercisable at December 31, 2019</w:t>
            </w: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vMerge w:val="continue"/>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5,600,093</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900" w:type="dxa"/>
            <w:vAlign w:val="bottom"/>
          </w:tcPr>
          <w:p>
            <w:pPr>
              <w:spacing w:after="0"/>
              <w:rPr>
                <w:sz w:val="12"/>
                <w:szCs w:val="12"/>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Weighted Average Grant-</w:t>
            </w:r>
          </w:p>
        </w:tc>
        <w:tc>
          <w:tcPr>
            <w:tcW w:w="0" w:type="dxa"/>
            <w:vAlign w:val="bottom"/>
          </w:tcPr>
          <w:p>
            <w:pPr>
              <w:spacing w:after="0"/>
              <w:rPr>
                <w:sz w:val="1"/>
                <w:szCs w:val="1"/>
                <w:color w:val="auto"/>
              </w:rPr>
            </w:pPr>
          </w:p>
        </w:tc>
      </w:tr>
      <w:tr>
        <w:trPr>
          <w:trHeight w:val="147"/>
        </w:trPr>
        <w:tc>
          <w:tcPr>
            <w:tcW w:w="7900" w:type="dxa"/>
            <w:vAlign w:val="bottom"/>
            <w:tcBorders>
              <w:bottom w:val="single" w:sz="8" w:color="CFF0FC"/>
            </w:tcBorders>
          </w:tcPr>
          <w:p>
            <w:pPr>
              <w:spacing w:after="0"/>
              <w:rPr>
                <w:sz w:val="12"/>
                <w:szCs w:val="12"/>
                <w:color w:val="auto"/>
              </w:rPr>
            </w:pPr>
          </w:p>
        </w:tc>
        <w:tc>
          <w:tcPr>
            <w:tcW w:w="158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Option Shares</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Date Fair Value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Non-vested at December 31, 2018</w:t>
            </w:r>
          </w:p>
        </w:tc>
        <w:tc>
          <w:tcPr>
            <w:tcW w:w="1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1,200,833</w:t>
            </w:r>
          </w:p>
        </w:tc>
        <w:tc>
          <w:tcPr>
            <w:tcW w:w="16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00" w:type="dxa"/>
            <w:vAlign w:val="bottom"/>
          </w:tcPr>
          <w:p>
            <w:pPr>
              <w:spacing w:after="0"/>
              <w:rPr>
                <w:sz w:val="20"/>
                <w:szCs w:val="20"/>
                <w:color w:val="auto"/>
              </w:rPr>
            </w:pPr>
            <w:r>
              <w:rPr>
                <w:rFonts w:ascii="Arial" w:cs="Arial" w:eastAsia="Arial" w:hAnsi="Arial"/>
                <w:sz w:val="15"/>
                <w:szCs w:val="15"/>
                <w:color w:val="auto"/>
              </w:rPr>
              <w:t>Granted</w:t>
            </w:r>
          </w:p>
        </w:tc>
        <w:tc>
          <w:tcPr>
            <w:tcW w:w="1580" w:type="dxa"/>
            <w:vAlign w:val="bottom"/>
          </w:tcPr>
          <w:p>
            <w:pPr>
              <w:jc w:val="right"/>
              <w:spacing w:after="0"/>
              <w:rPr>
                <w:sz w:val="20"/>
                <w:szCs w:val="20"/>
                <w:color w:val="auto"/>
              </w:rPr>
            </w:pPr>
            <w:r>
              <w:rPr>
                <w:rFonts w:ascii="Arial" w:cs="Arial" w:eastAsia="Arial" w:hAnsi="Arial"/>
                <w:sz w:val="15"/>
                <w:szCs w:val="15"/>
                <w:color w:val="auto"/>
              </w:rPr>
              <w:t>1,337,000</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Vested</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(1,230,833)</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900" w:type="dxa"/>
            <w:vAlign w:val="bottom"/>
          </w:tcPr>
          <w:p>
            <w:pPr>
              <w:spacing w:after="0"/>
              <w:rPr>
                <w:sz w:val="20"/>
                <w:szCs w:val="20"/>
                <w:color w:val="auto"/>
              </w:rPr>
            </w:pPr>
            <w:r>
              <w:rPr>
                <w:rFonts w:ascii="Arial" w:cs="Arial" w:eastAsia="Arial" w:hAnsi="Arial"/>
                <w:sz w:val="15"/>
                <w:szCs w:val="15"/>
                <w:color w:val="auto"/>
              </w:rPr>
              <w:t>Forfeitures</w:t>
            </w:r>
          </w:p>
        </w:tc>
        <w:tc>
          <w:tcPr>
            <w:tcW w:w="1740" w:type="dxa"/>
            <w:vAlign w:val="bottom"/>
            <w:gridSpan w:val="2"/>
          </w:tcPr>
          <w:p>
            <w:pPr>
              <w:jc w:val="right"/>
              <w:ind w:right="120"/>
              <w:spacing w:after="0"/>
              <w:rPr>
                <w:sz w:val="20"/>
                <w:szCs w:val="20"/>
                <w:color w:val="auto"/>
              </w:rPr>
            </w:pPr>
            <w:r>
              <w:rPr>
                <w:rFonts w:ascii="Arial" w:cs="Arial" w:eastAsia="Arial" w:hAnsi="Arial"/>
                <w:sz w:val="15"/>
                <w:szCs w:val="15"/>
                <w:color w:val="auto"/>
              </w:rPr>
              <w:t>(105,000)</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Non-vested at December 31, 2019</w:t>
            </w: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00" w:type="dxa"/>
            <w:vAlign w:val="bottom"/>
            <w:vMerge w:val="continue"/>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1,202,000</w:t>
            </w:r>
          </w:p>
        </w:tc>
        <w:tc>
          <w:tcPr>
            <w:tcW w:w="16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both"/>
        <w:ind w:right="480" w:firstLine="440"/>
        <w:spacing w:after="0" w:line="290" w:lineRule="auto"/>
        <w:rPr>
          <w:sz w:val="20"/>
          <w:szCs w:val="20"/>
          <w:color w:val="auto"/>
        </w:rPr>
      </w:pPr>
      <w:r>
        <w:rPr>
          <w:rFonts w:ascii="Arial" w:cs="Arial" w:eastAsia="Arial" w:hAnsi="Arial"/>
          <w:sz w:val="15"/>
          <w:szCs w:val="15"/>
          <w:color w:val="auto"/>
        </w:rPr>
        <w:t>The aggregate intrinsic value of options exercised was $5.2 million and $788,423 for the years ended December 31, 2019 and 2018, respectively. Options outstanding and exercisable at December 31, 2019 had a weighted average contractual life of 6.10 years, respectively.</w:t>
      </w:r>
    </w:p>
    <w:p>
      <w:pPr>
        <w:spacing w:after="0" w:line="140" w:lineRule="exact"/>
        <w:rPr>
          <w:sz w:val="20"/>
          <w:szCs w:val="20"/>
          <w:color w:val="auto"/>
        </w:rPr>
      </w:pPr>
    </w:p>
    <w:p>
      <w:pPr>
        <w:ind w:right="80" w:firstLine="440"/>
        <w:spacing w:after="0" w:line="290" w:lineRule="auto"/>
        <w:rPr>
          <w:sz w:val="20"/>
          <w:szCs w:val="20"/>
          <w:color w:val="auto"/>
        </w:rPr>
      </w:pPr>
      <w:r>
        <w:rPr>
          <w:rFonts w:ascii="Arial" w:cs="Arial" w:eastAsia="Arial" w:hAnsi="Arial"/>
          <w:sz w:val="15"/>
          <w:szCs w:val="15"/>
          <w:color w:val="auto"/>
        </w:rPr>
        <w:t>As of December 31, 2019 and 2018, the total intrinsic value of options outstanding was $11.8 million and $23.6 million, respectively. Total intrinsic value of options exercisable was $11.8 million and $22.2 million as of December 31, 2019 and 2018,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i w:val="1"/>
          <w:iCs w:val="1"/>
          <w:color w:val="auto"/>
        </w:rPr>
        <w:t>Employee Stock Purchase Plan</w:t>
      </w:r>
    </w:p>
    <w:p>
      <w:pPr>
        <w:spacing w:after="0" w:line="106" w:lineRule="exact"/>
        <w:rPr>
          <w:sz w:val="20"/>
          <w:szCs w:val="20"/>
          <w:color w:val="auto"/>
        </w:rPr>
      </w:pPr>
    </w:p>
    <w:p>
      <w:pPr>
        <w:ind w:right="80" w:firstLine="440"/>
        <w:spacing w:after="0" w:line="266" w:lineRule="auto"/>
        <w:rPr>
          <w:sz w:val="20"/>
          <w:szCs w:val="20"/>
          <w:color w:val="auto"/>
        </w:rPr>
      </w:pPr>
      <w:r>
        <w:rPr>
          <w:rFonts w:ascii="Arial" w:cs="Arial" w:eastAsia="Arial" w:hAnsi="Arial"/>
          <w:sz w:val="15"/>
          <w:szCs w:val="15"/>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the year ended December 31, 2019, an aggregate of 3,942 shares were issued under the ESPP, leaving 202,936 shares available for future issuance.</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Expense</w:t>
      </w:r>
    </w:p>
    <w:p>
      <w:pPr>
        <w:spacing w:after="0" w:line="106" w:lineRule="exact"/>
        <w:rPr>
          <w:sz w:val="20"/>
          <w:szCs w:val="20"/>
          <w:color w:val="auto"/>
        </w:rPr>
      </w:pPr>
    </w:p>
    <w:p>
      <w:pPr>
        <w:ind w:right="200" w:firstLine="440"/>
        <w:spacing w:after="0" w:line="290" w:lineRule="auto"/>
        <w:rPr>
          <w:sz w:val="20"/>
          <w:szCs w:val="20"/>
          <w:color w:val="auto"/>
        </w:rPr>
      </w:pPr>
      <w:r>
        <w:rPr>
          <w:rFonts w:ascii="Arial" w:cs="Arial" w:eastAsia="Arial" w:hAnsi="Arial"/>
          <w:sz w:val="15"/>
          <w:szCs w:val="15"/>
          <w:color w:val="auto"/>
        </w:rPr>
        <w:t>The estimated fair value of each stock option award was determined on the date of grant using the Black-Scholes option valuation model with the following weighted-average assumptions for stock option grants:</w:t>
      </w:r>
    </w:p>
    <w:p>
      <w:pPr>
        <w:spacing w:after="0" w:line="143" w:lineRule="exact"/>
        <w:rPr>
          <w:sz w:val="20"/>
          <w:szCs w:val="20"/>
          <w:color w:val="auto"/>
        </w:rPr>
      </w:pPr>
    </w:p>
    <w:p>
      <w:pPr>
        <w:jc w:val="center"/>
        <w:ind w:left="3840"/>
        <w:spacing w:after="0"/>
        <w:rPr>
          <w:sz w:val="20"/>
          <w:szCs w:val="20"/>
          <w:color w:val="auto"/>
        </w:rPr>
      </w:pPr>
      <w:r>
        <w:rPr>
          <w:rFonts w:ascii="Arial" w:cs="Arial" w:eastAsia="Arial" w:hAnsi="Arial"/>
          <w:sz w:val="12"/>
          <w:szCs w:val="12"/>
          <w:b w:val="1"/>
          <w:bCs w:val="1"/>
          <w:color w:val="auto"/>
        </w:rPr>
        <w:t>Year Ended</w:t>
      </w:r>
    </w:p>
    <w:p>
      <w:pPr>
        <w:jc w:val="center"/>
        <w:ind w:left="3840"/>
        <w:spacing w:after="0"/>
        <w:rPr>
          <w:sz w:val="20"/>
          <w:szCs w:val="20"/>
          <w:color w:val="auto"/>
        </w:rPr>
      </w:pPr>
      <w:r>
        <w:rPr>
          <w:rFonts w:ascii="Arial" w:cs="Arial" w:eastAsia="Arial" w:hAnsi="Arial"/>
          <w:sz w:val="12"/>
          <w:szCs w:val="12"/>
          <w:b w:val="1"/>
          <w:bCs w:val="1"/>
          <w:color w:val="auto"/>
        </w:rPr>
        <w:t>December 31,</w:t>
      </w:r>
    </w:p>
    <w:tbl>
      <w:tblPr>
        <w:tblLayout w:type="fixed"/>
        <w:tblInd w:w="2020" w:type="dxa"/>
        <w:tblCellMar>
          <w:top w:w="0" w:type="dxa"/>
          <w:left w:w="0" w:type="dxa"/>
          <w:bottom w:w="0" w:type="dxa"/>
          <w:right w:w="0" w:type="dxa"/>
        </w:tblCellMar>
      </w:tblPr>
      <w:tr>
        <w:trPr>
          <w:trHeight w:val="130"/>
        </w:trPr>
        <w:tc>
          <w:tcPr>
            <w:tcW w:w="4060" w:type="dxa"/>
            <w:vAlign w:val="bottom"/>
            <w:tcBorders>
              <w:bottom w:val="single" w:sz="8" w:color="CFF0FC"/>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
              <w:spacing w:after="0" w:line="130" w:lineRule="exact"/>
              <w:rPr>
                <w:sz w:val="20"/>
                <w:szCs w:val="20"/>
                <w:color w:val="auto"/>
              </w:rPr>
            </w:pPr>
            <w:r>
              <w:rPr>
                <w:rFonts w:ascii="Arial" w:cs="Arial" w:eastAsia="Arial" w:hAnsi="Arial"/>
                <w:sz w:val="12"/>
                <w:szCs w:val="12"/>
                <w:b w:val="1"/>
                <w:bCs w:val="1"/>
                <w:color w:val="auto"/>
              </w:rPr>
              <w:t>2019</w:t>
            </w:r>
          </w:p>
        </w:tc>
        <w:tc>
          <w:tcPr>
            <w:tcW w:w="4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CFF0FC"/>
            </w:tcBorders>
          </w:tcPr>
          <w:p>
            <w:pPr>
              <w:spacing w:after="0"/>
              <w:rPr>
                <w:sz w:val="11"/>
                <w:szCs w:val="11"/>
                <w:color w:val="auto"/>
              </w:rPr>
            </w:pPr>
          </w:p>
        </w:tc>
        <w:tc>
          <w:tcPr>
            <w:tcW w:w="1380" w:type="dxa"/>
            <w:vAlign w:val="bottom"/>
            <w:tcBorders>
              <w:top w:val="single" w:sz="8" w:color="auto"/>
              <w:bottom w:val="single" w:sz="8" w:color="auto"/>
            </w:tcBorders>
          </w:tcPr>
          <w:p>
            <w:pPr>
              <w:jc w:val="right"/>
              <w:ind w:right="486"/>
              <w:spacing w:after="0" w:line="130"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FF0FC"/>
            </w:tcBorders>
          </w:tcPr>
          <w:p>
            <w:pPr>
              <w:spacing w:after="0"/>
              <w:rPr>
                <w:sz w:val="11"/>
                <w:szCs w:val="1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Stock Options</w:t>
            </w:r>
          </w:p>
        </w:tc>
        <w:tc>
          <w:tcPr>
            <w:tcW w:w="8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197"/>
        </w:trPr>
        <w:tc>
          <w:tcPr>
            <w:tcW w:w="4940" w:type="dxa"/>
            <w:vAlign w:val="bottom"/>
            <w:gridSpan w:val="2"/>
          </w:tcPr>
          <w:p>
            <w:pPr>
              <w:spacing w:after="0"/>
              <w:rPr>
                <w:sz w:val="20"/>
                <w:szCs w:val="20"/>
                <w:color w:val="auto"/>
              </w:rPr>
            </w:pPr>
            <w:r>
              <w:rPr>
                <w:rFonts w:ascii="Arial" w:cs="Arial" w:eastAsia="Arial" w:hAnsi="Arial"/>
                <w:sz w:val="15"/>
                <w:szCs w:val="15"/>
                <w:color w:val="auto"/>
              </w:rPr>
              <w:t>Risk-free interest rate</w:t>
            </w: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1.72%</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2.52%</w:t>
            </w:r>
          </w:p>
        </w:tc>
      </w:tr>
      <w:tr>
        <w:trPr>
          <w:trHeight w:val="197"/>
        </w:trPr>
        <w:tc>
          <w:tcPr>
            <w:tcW w:w="49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Expected volatility of common stock</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57.78%</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61.56%</w:t>
            </w:r>
          </w:p>
        </w:tc>
      </w:tr>
      <w:tr>
        <w:trPr>
          <w:trHeight w:val="197"/>
        </w:trPr>
        <w:tc>
          <w:tcPr>
            <w:tcW w:w="4940" w:type="dxa"/>
            <w:vAlign w:val="bottom"/>
            <w:gridSpan w:val="2"/>
          </w:tcPr>
          <w:p>
            <w:pPr>
              <w:spacing w:after="0"/>
              <w:rPr>
                <w:sz w:val="20"/>
                <w:szCs w:val="20"/>
                <w:color w:val="auto"/>
              </w:rPr>
            </w:pPr>
            <w:r>
              <w:rPr>
                <w:rFonts w:ascii="Arial" w:cs="Arial" w:eastAsia="Arial" w:hAnsi="Arial"/>
                <w:sz w:val="15"/>
                <w:szCs w:val="15"/>
                <w:color w:val="auto"/>
              </w:rPr>
              <w:t>Dividend yield</w:t>
            </w: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0.00%</w:t>
            </w:r>
          </w:p>
        </w:tc>
        <w:tc>
          <w:tcPr>
            <w:tcW w:w="1600" w:type="dxa"/>
            <w:vAlign w:val="bottom"/>
            <w:gridSpan w:val="2"/>
          </w:tcPr>
          <w:p>
            <w:pPr>
              <w:jc w:val="right"/>
              <w:ind w:right="80"/>
              <w:spacing w:after="0"/>
              <w:rPr>
                <w:sz w:val="20"/>
                <w:szCs w:val="20"/>
                <w:color w:val="auto"/>
              </w:rPr>
            </w:pPr>
            <w:r>
              <w:rPr>
                <w:rFonts w:ascii="Arial" w:cs="Arial" w:eastAsia="Arial" w:hAnsi="Arial"/>
                <w:sz w:val="15"/>
                <w:szCs w:val="15"/>
                <w:color w:val="auto"/>
              </w:rPr>
              <w:t>0.00%</w:t>
            </w:r>
          </w:p>
        </w:tc>
      </w:tr>
      <w:tr>
        <w:trPr>
          <w:trHeight w:val="197"/>
        </w:trPr>
        <w:tc>
          <w:tcPr>
            <w:tcW w:w="49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Expected option term (in years)</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4.56</w:t>
            </w:r>
          </w:p>
        </w:tc>
        <w:tc>
          <w:tcPr>
            <w:tcW w:w="220" w:type="dxa"/>
            <w:vAlign w:val="bottom"/>
            <w:shd w:val="clear" w:color="auto" w:fill="CFF0FC"/>
          </w:tcPr>
          <w:p>
            <w:pPr>
              <w:spacing w:after="0"/>
              <w:rPr>
                <w:sz w:val="17"/>
                <w:szCs w:val="17"/>
                <w:color w:val="auto"/>
              </w:rPr>
            </w:pPr>
          </w:p>
        </w:tc>
      </w:tr>
    </w:tbl>
    <w:p>
      <w:pPr>
        <w:spacing w:after="0" w:line="210" w:lineRule="exact"/>
        <w:rPr>
          <w:sz w:val="20"/>
          <w:szCs w:val="20"/>
          <w:color w:val="auto"/>
        </w:rPr>
      </w:pPr>
    </w:p>
    <w:p>
      <w:pPr>
        <w:ind w:firstLine="440"/>
        <w:spacing w:after="0" w:line="290" w:lineRule="auto"/>
        <w:rPr>
          <w:sz w:val="20"/>
          <w:szCs w:val="20"/>
          <w:color w:val="auto"/>
        </w:rPr>
      </w:pPr>
      <w:r>
        <w:rPr>
          <w:rFonts w:ascii="Arial" w:cs="Arial" w:eastAsia="Arial" w:hAnsi="Arial"/>
          <w:sz w:val="15"/>
          <w:szCs w:val="15"/>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32" w:lineRule="exact"/>
        <w:rPr>
          <w:sz w:val="20"/>
          <w:szCs w:val="20"/>
          <w:color w:val="auto"/>
        </w:rPr>
      </w:pPr>
    </w:p>
    <w:tbl>
      <w:tblPr>
        <w:tblLayout w:type="fixed"/>
        <w:tblInd w:w="198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Year Ended</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7"/>
        </w:trPr>
        <w:tc>
          <w:tcPr>
            <w:tcW w:w="40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December 31,</w:t>
            </w: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31"/>
        </w:trPr>
        <w:tc>
          <w:tcPr>
            <w:tcW w:w="4060" w:type="dxa"/>
            <w:vAlign w:val="bottom"/>
            <w:tcBorders>
              <w:bottom w:val="single" w:sz="8" w:color="CFF0FC"/>
            </w:tcBorders>
          </w:tcPr>
          <w:p>
            <w:pPr>
              <w:spacing w:after="0"/>
              <w:rPr>
                <w:sz w:val="11"/>
                <w:szCs w:val="11"/>
                <w:color w:val="auto"/>
              </w:rPr>
            </w:pPr>
          </w:p>
        </w:tc>
        <w:tc>
          <w:tcPr>
            <w:tcW w:w="980" w:type="dxa"/>
            <w:vAlign w:val="bottom"/>
            <w:tcBorders>
              <w:bottom w:val="single" w:sz="8" w:color="auto"/>
            </w:tcBorders>
          </w:tcPr>
          <w:p>
            <w:pPr>
              <w:jc w:val="right"/>
              <w:ind w:right="78"/>
              <w:spacing w:after="0" w:line="131" w:lineRule="exact"/>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1"/>
                <w:szCs w:val="11"/>
                <w:color w:val="auto"/>
              </w:rPr>
            </w:pPr>
          </w:p>
        </w:tc>
        <w:tc>
          <w:tcPr>
            <w:tcW w:w="3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6"/>
              <w:spacing w:after="0" w:line="131"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FF0FC"/>
            </w:tcBorders>
          </w:tcPr>
          <w:p>
            <w:pPr>
              <w:spacing w:after="0"/>
              <w:rPr>
                <w:sz w:val="11"/>
                <w:szCs w:val="11"/>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Employee Stock Purchase Plan</w:t>
            </w:r>
          </w:p>
        </w:tc>
        <w:tc>
          <w:tcPr>
            <w:tcW w:w="9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197"/>
        </w:trPr>
        <w:tc>
          <w:tcPr>
            <w:tcW w:w="5040" w:type="dxa"/>
            <w:vAlign w:val="bottom"/>
            <w:gridSpan w:val="2"/>
          </w:tcPr>
          <w:p>
            <w:pPr>
              <w:spacing w:after="0"/>
              <w:rPr>
                <w:sz w:val="20"/>
                <w:szCs w:val="20"/>
                <w:color w:val="auto"/>
              </w:rPr>
            </w:pPr>
            <w:r>
              <w:rPr>
                <w:rFonts w:ascii="Arial" w:cs="Arial" w:eastAsia="Arial" w:hAnsi="Arial"/>
                <w:sz w:val="15"/>
                <w:szCs w:val="15"/>
                <w:color w:val="auto"/>
              </w:rPr>
              <w:t>Risk-free interest rate</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2.20%</w:t>
            </w:r>
          </w:p>
        </w:tc>
        <w:tc>
          <w:tcPr>
            <w:tcW w:w="3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2.07%</w:t>
            </w:r>
          </w:p>
        </w:tc>
      </w:tr>
      <w:tr>
        <w:trPr>
          <w:trHeight w:val="197"/>
        </w:trPr>
        <w:tc>
          <w:tcPr>
            <w:tcW w:w="50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Expected volatility of common stock</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67.56%</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70.41%</w:t>
            </w:r>
          </w:p>
        </w:tc>
      </w:tr>
      <w:tr>
        <w:trPr>
          <w:trHeight w:val="197"/>
        </w:trPr>
        <w:tc>
          <w:tcPr>
            <w:tcW w:w="5040" w:type="dxa"/>
            <w:vAlign w:val="bottom"/>
            <w:gridSpan w:val="2"/>
          </w:tcPr>
          <w:p>
            <w:pPr>
              <w:spacing w:after="0"/>
              <w:rPr>
                <w:sz w:val="20"/>
                <w:szCs w:val="20"/>
                <w:color w:val="auto"/>
              </w:rPr>
            </w:pPr>
            <w:r>
              <w:rPr>
                <w:rFonts w:ascii="Arial" w:cs="Arial" w:eastAsia="Arial" w:hAnsi="Arial"/>
                <w:sz w:val="15"/>
                <w:szCs w:val="15"/>
                <w:color w:val="auto"/>
              </w:rPr>
              <w:t>Dividend yield</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0.00%</w:t>
            </w:r>
          </w:p>
        </w:tc>
        <w:tc>
          <w:tcPr>
            <w:tcW w:w="3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0.00%</w:t>
            </w:r>
          </w:p>
        </w:tc>
      </w:tr>
      <w:tr>
        <w:trPr>
          <w:trHeight w:val="197"/>
        </w:trPr>
        <w:tc>
          <w:tcPr>
            <w:tcW w:w="50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Expected option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0.5</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0.5</w:t>
            </w:r>
          </w:p>
        </w:tc>
        <w:tc>
          <w:tcPr>
            <w:tcW w:w="22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ind w:right="80" w:firstLine="440"/>
        <w:spacing w:after="0" w:line="269" w:lineRule="auto"/>
        <w:rPr>
          <w:sz w:val="20"/>
          <w:szCs w:val="20"/>
          <w:color w:val="auto"/>
        </w:rPr>
      </w:pPr>
      <w:r>
        <w:rPr>
          <w:rFonts w:ascii="Arial" w:cs="Arial" w:eastAsia="Arial" w:hAnsi="Arial"/>
          <w:sz w:val="15"/>
          <w:szCs w:val="15"/>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55" w:lineRule="exact"/>
        <w:rPr>
          <w:sz w:val="20"/>
          <w:szCs w:val="20"/>
          <w:color w:val="auto"/>
        </w:rPr>
      </w:pPr>
    </w:p>
    <w:p>
      <w:pPr>
        <w:ind w:right="40" w:firstLine="440"/>
        <w:spacing w:after="0" w:line="290" w:lineRule="auto"/>
        <w:rPr>
          <w:sz w:val="20"/>
          <w:szCs w:val="20"/>
          <w:color w:val="auto"/>
        </w:rPr>
      </w:pPr>
      <w:r>
        <w:rPr>
          <w:rFonts w:ascii="Arial" w:cs="Arial" w:eastAsia="Arial" w:hAnsi="Arial"/>
          <w:sz w:val="15"/>
          <w:szCs w:val="15"/>
          <w:color w:val="auto"/>
        </w:rPr>
        <w:t>The weighted-average fair value of each stock option granted during the years ended December 31, 2019 and 2018, estimated as of the grant date using the Black-Scholes option valuation model, was $2.76 per option and $4.57 per option, respectively.</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Stock-based compensation expense for stock option awards and ESPP shares are reflected in total operating expenses for each respective year.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The following table summarizes stock-based compensation expenses for the years ended December 31, 2019 and 2018:</w:t>
      </w:r>
    </w:p>
    <w:p>
      <w:pPr>
        <w:spacing w:after="0" w:line="74" w:lineRule="exact"/>
        <w:rPr>
          <w:sz w:val="20"/>
          <w:szCs w:val="20"/>
          <w:color w:val="auto"/>
        </w:rPr>
      </w:pPr>
    </w:p>
    <w:tbl>
      <w:tblPr>
        <w:tblLayout w:type="fixed"/>
        <w:tblInd w:w="1580" w:type="dxa"/>
        <w:tblCellMar>
          <w:top w:w="0" w:type="dxa"/>
          <w:left w:w="0" w:type="dxa"/>
          <w:bottom w:w="0" w:type="dxa"/>
          <w:right w:w="0" w:type="dxa"/>
        </w:tblCellMar>
      </w:tblPr>
      <w:tr>
        <w:trPr>
          <w:trHeight w:val="147"/>
        </w:trPr>
        <w:tc>
          <w:tcPr>
            <w:tcW w:w="45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2"/>
                <w:szCs w:val="12"/>
                <w:b w:val="1"/>
                <w:bCs w:val="1"/>
                <w:color w:val="auto"/>
              </w:rPr>
              <w:t>December 31,</w:t>
            </w: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580" w:type="dxa"/>
            <w:vAlign w:val="bottom"/>
            <w:vMerge w:val="restart"/>
          </w:tcPr>
          <w:p>
            <w:pPr>
              <w:spacing w:after="0"/>
              <w:rPr>
                <w:sz w:val="20"/>
                <w:szCs w:val="20"/>
                <w:color w:val="auto"/>
              </w:rPr>
            </w:pPr>
            <w:r>
              <w:rPr>
                <w:rFonts w:ascii="Arial" w:cs="Arial" w:eastAsia="Arial" w:hAnsi="Arial"/>
                <w:sz w:val="15"/>
                <w:szCs w:val="15"/>
                <w:color w:val="auto"/>
              </w:rPr>
              <w:t>Research, development and patents</w:t>
            </w:r>
          </w:p>
        </w:tc>
        <w:tc>
          <w:tcPr>
            <w:tcW w:w="10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2019</w:t>
            </w: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7"/>
              <w:spacing w:after="0" w:line="131" w:lineRule="exact"/>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1060" w:type="dxa"/>
            <w:vAlign w:val="bottom"/>
          </w:tcPr>
          <w:p>
            <w:pPr>
              <w:jc w:val="right"/>
              <w:ind w:right="90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1,150,995</w:t>
            </w:r>
          </w:p>
        </w:tc>
        <w:tc>
          <w:tcPr>
            <w:tcW w:w="140" w:type="dxa"/>
            <w:vAlign w:val="bottom"/>
          </w:tcPr>
          <w:p>
            <w:pPr>
              <w:spacing w:after="0"/>
              <w:rPr>
                <w:sz w:val="16"/>
                <w:szCs w:val="16"/>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1,815,105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General and administrative</w:t>
            </w:r>
          </w:p>
        </w:tc>
        <w:tc>
          <w:tcPr>
            <w:tcW w:w="10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8"/>
              </w:rPr>
              <w:t>2,961,654</w:t>
            </w:r>
          </w:p>
        </w:tc>
        <w:tc>
          <w:tcPr>
            <w:tcW w:w="14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4,515,200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5"/>
                <w:szCs w:val="15"/>
                <w:color w:val="auto"/>
              </w:rPr>
              <w:t>Total stock-based compensation expense</w:t>
            </w:r>
          </w:p>
        </w:tc>
        <w:tc>
          <w:tcPr>
            <w:tcW w:w="1060" w:type="dxa"/>
            <w:vAlign w:val="bottom"/>
            <w:tcBorders>
              <w:bottom w:val="single" w:sz="8" w:color="auto"/>
            </w:tcBorders>
          </w:tcPr>
          <w:p>
            <w:pPr>
              <w:jc w:val="right"/>
              <w:ind w:right="90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4,112,649</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6,330,305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40"/>
        <w:spacing w:after="0" w:line="290" w:lineRule="auto"/>
        <w:rPr>
          <w:sz w:val="20"/>
          <w:szCs w:val="20"/>
          <w:color w:val="auto"/>
        </w:rPr>
      </w:pPr>
      <w:r>
        <w:rPr>
          <w:rFonts w:ascii="Arial" w:cs="Arial" w:eastAsia="Arial" w:hAnsi="Arial"/>
          <w:sz w:val="15"/>
          <w:szCs w:val="15"/>
          <w:color w:val="auto"/>
        </w:rPr>
        <w:t>As of December 31, 2019, there was $0.2 million of unamortized compensation cost related to unvested stock option awards which is expected to be recognized over a remaining weighted-average vesting period of 0.04 years, on a straight-line basis.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Stockholders’ Equity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Offerings</w:t>
      </w:r>
    </w:p>
    <w:p>
      <w:pPr>
        <w:spacing w:after="0" w:line="199" w:lineRule="exact"/>
        <w:rPr>
          <w:sz w:val="20"/>
          <w:szCs w:val="20"/>
          <w:color w:val="auto"/>
        </w:rPr>
      </w:pPr>
    </w:p>
    <w:p>
      <w:pPr>
        <w:ind w:right="60" w:firstLine="440"/>
        <w:spacing w:after="0" w:line="262" w:lineRule="auto"/>
        <w:rPr>
          <w:sz w:val="20"/>
          <w:szCs w:val="20"/>
          <w:color w:val="auto"/>
        </w:rPr>
      </w:pPr>
      <w:r>
        <w:rPr>
          <w:rFonts w:ascii="Arial" w:cs="Arial" w:eastAsia="Arial" w:hAnsi="Arial"/>
          <w:sz w:val="15"/>
          <w:szCs w:val="15"/>
          <w:color w:val="auto"/>
        </w:rPr>
        <w:t>On May 22, 2015, the Company entered into an at-the-market issuance sales agreement (the “2015 ATM Agreement”) with MLV &amp; Co. LLC (MLV), pursuant to which the Company could sell common stock through MLV from time to time up to an aggregate offering price of $30.0 million. Sales of the Company’s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the Company’s prior approval. The Company agreed to pay MLV an aggregate commission rate of up to 4.0% of the gross proceeds of any common stock sold under this agreement. Proceeds from sales of common stock depended on the number of shares of common stock sold to MLV and the per share purchase price of each transaction. The Company was not obligated to make any sales of common stock under the sales agreement and could terminate the sales agreement at any time upon written notice. On September 16, 2016, the Company amended the original sales agreement with MLV to also include FBR Capital Markets &amp; Co as a sales agent. The 2015 ATM Agreement was terminated on August 23, 2019.</w:t>
      </w:r>
    </w:p>
    <w:p>
      <w:pPr>
        <w:spacing w:after="0" w:line="174" w:lineRule="exact"/>
        <w:rPr>
          <w:sz w:val="20"/>
          <w:szCs w:val="20"/>
          <w:color w:val="auto"/>
        </w:rPr>
      </w:pPr>
    </w:p>
    <w:p>
      <w:pPr>
        <w:ind w:right="80" w:firstLine="645"/>
        <w:spacing w:after="0" w:line="263" w:lineRule="auto"/>
        <w:rPr>
          <w:sz w:val="20"/>
          <w:szCs w:val="20"/>
          <w:color w:val="auto"/>
        </w:rPr>
      </w:pPr>
      <w:r>
        <w:rPr>
          <w:rFonts w:ascii="Arial" w:cs="Arial" w:eastAsia="Arial" w:hAnsi="Arial"/>
          <w:sz w:val="15"/>
          <w:szCs w:val="15"/>
          <w:color w:val="auto"/>
        </w:rPr>
        <w:t>On August 23, 2019, the Company entered into an at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summarizes the activity under the ATM agreements for the following periods (in thousands except share price and shares sold):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6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580" w:type="dxa"/>
            <w:vAlign w:val="bottom"/>
            <w:gridSpan w:val="2"/>
            <w:vMerge w:val="restart"/>
          </w:tcPr>
          <w:p>
            <w:pPr>
              <w:ind w:left="2580"/>
              <w:spacing w:after="0"/>
              <w:rPr>
                <w:sz w:val="20"/>
                <w:szCs w:val="20"/>
                <w:color w:val="auto"/>
              </w:rPr>
            </w:pPr>
            <w:r>
              <w:rPr>
                <w:rFonts w:ascii="Arial" w:cs="Arial" w:eastAsia="Arial" w:hAnsi="Arial"/>
                <w:sz w:val="15"/>
                <w:szCs w:val="15"/>
                <w:color w:val="auto"/>
              </w:rPr>
              <w:t>Gross proceeds</w:t>
            </w:r>
          </w:p>
        </w:tc>
        <w:tc>
          <w:tcPr>
            <w:tcW w:w="1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gridSpan w:val="2"/>
            <w:vMerge w:val="continue"/>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6,758</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1,562</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00" w:type="dxa"/>
            <w:vAlign w:val="bottom"/>
          </w:tcPr>
          <w:p>
            <w:pPr>
              <w:spacing w:after="0"/>
              <w:rPr>
                <w:sz w:val="17"/>
                <w:szCs w:val="17"/>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Net proceeds</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6,544</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1,515</w:t>
            </w:r>
          </w:p>
        </w:tc>
        <w:tc>
          <w:tcPr>
            <w:tcW w:w="100" w:type="dxa"/>
            <w:vAlign w:val="bottom"/>
            <w:shd w:val="clear" w:color="auto" w:fill="CFF0FC"/>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gridSpan w:val="2"/>
          </w:tcPr>
          <w:p>
            <w:pPr>
              <w:ind w:left="2580"/>
              <w:spacing w:after="0"/>
              <w:rPr>
                <w:sz w:val="20"/>
                <w:szCs w:val="20"/>
                <w:color w:val="auto"/>
              </w:rPr>
            </w:pPr>
            <w:r>
              <w:rPr>
                <w:rFonts w:ascii="Arial" w:cs="Arial" w:eastAsia="Arial" w:hAnsi="Arial"/>
                <w:sz w:val="15"/>
                <w:szCs w:val="15"/>
                <w:color w:val="auto"/>
              </w:rPr>
              <w:t>Shares sold</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804,963</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00" w:type="dxa"/>
            <w:vAlign w:val="bottom"/>
          </w:tcPr>
          <w:p>
            <w:pPr>
              <w:spacing w:after="0"/>
              <w:rPr>
                <w:sz w:val="17"/>
                <w:szCs w:val="17"/>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Price range</w:t>
            </w: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$7.24 - 10.03</w:t>
            </w: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$7.81</w:t>
            </w:r>
          </w:p>
        </w:tc>
        <w:tc>
          <w:tcPr>
            <w:tcW w:w="100" w:type="dxa"/>
            <w:vAlign w:val="bottom"/>
            <w:shd w:val="clear" w:color="auto" w:fill="CFF0FC"/>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6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593" w:right="199" w:bottom="1440" w:gutter="0" w:footer="0" w:header="0"/>
        </w:sectPr>
      </w:pPr>
    </w:p>
    <w:bookmarkStart w:id="71" w:name="page72"/>
    <w:bookmarkEnd w:id="71"/>
    <w:p>
      <w:pPr>
        <w:spacing w:after="0"/>
        <w:rPr>
          <w:sz w:val="20"/>
          <w:szCs w:val="20"/>
          <w:color w:val="auto"/>
        </w:rPr>
      </w:pPr>
      <w:r>
        <w:rPr>
          <w:rFonts w:ascii="Arial" w:cs="Arial" w:eastAsia="Arial" w:hAnsi="Arial"/>
          <w:sz w:val="15"/>
          <w:szCs w:val="15"/>
          <w:i w:val="1"/>
          <w:iCs w:val="1"/>
          <w:color w:val="auto"/>
        </w:rPr>
        <w:t>Warrants</w:t>
      </w:r>
    </w:p>
    <w:p>
      <w:pPr>
        <w:spacing w:after="0" w:line="106" w:lineRule="exact"/>
        <w:rPr>
          <w:sz w:val="20"/>
          <w:szCs w:val="20"/>
          <w:color w:val="auto"/>
        </w:rPr>
      </w:pPr>
    </w:p>
    <w:p>
      <w:pPr>
        <w:ind w:right="240"/>
        <w:spacing w:after="0" w:line="290" w:lineRule="auto"/>
        <w:rPr>
          <w:sz w:val="20"/>
          <w:szCs w:val="20"/>
          <w:color w:val="auto"/>
        </w:rPr>
      </w:pPr>
      <w:r>
        <w:rPr>
          <w:rFonts w:ascii="Arial" w:cs="Arial" w:eastAsia="Arial" w:hAnsi="Arial"/>
          <w:sz w:val="15"/>
          <w:szCs w:val="15"/>
          <w:color w:val="auto"/>
        </w:rPr>
        <w:t>During the year ended December 31, 2018, 750,000 shares of the Company’s common stock were issued upon exercise of warrants for gross proceeds of $2.4 million. There were no warrants outstanding as of December 31, 2019 and 2018.</w:t>
      </w:r>
    </w:p>
    <w:p>
      <w:pPr>
        <w:sectPr>
          <w:pgSz w:w="11900" w:h="16838" w:orient="portrait"/>
          <w:cols w:equalWidth="0" w:num="1">
            <w:col w:w="11460"/>
          </w:cols>
          <w:pgMar w:left="240" w:top="593" w:right="19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Common Stock Reserved for Future Issuance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summarizes common stock reserved for future issuance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140335</wp:posOffset>
            </wp:positionV>
            <wp:extent cx="4354830" cy="1250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54830" cy="125095"/>
                    </a:xfrm>
                    <a:prstGeom prst="rect">
                      <a:avLst/>
                    </a:prstGeom>
                    <a:noFill/>
                  </pic:spPr>
                </pic:pic>
              </a:graphicData>
            </a:graphic>
          </wp:anchor>
        </w:drawing>
      </w:r>
    </w:p>
    <w:p>
      <w:pPr>
        <w:spacing w:after="0" w:line="202"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Common Stock reserved for issuance under the ESPP</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Common stock reserved for issuance upon exercise of</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options outstanding (under the 2004 Plan and</w:t>
      </w:r>
    </w:p>
    <w:p>
      <w:pPr>
        <w:spacing w:after="0" w:line="1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8890</wp:posOffset>
            </wp:positionV>
            <wp:extent cx="4354830" cy="2432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54830" cy="243205"/>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5"/>
          <w:szCs w:val="15"/>
          <w:color w:val="auto"/>
        </w:rPr>
        <w:t>Common stock reserved for future equity awards (under</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the 2013 Plan)</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Public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380"/>
        <w:spacing w:after="0"/>
        <w:rPr>
          <w:sz w:val="20"/>
          <w:szCs w:val="20"/>
          <w:color w:val="auto"/>
        </w:rPr>
      </w:pPr>
      <w:r>
        <w:rPr>
          <w:rFonts w:ascii="Arial" w:cs="Arial" w:eastAsia="Arial" w:hAnsi="Arial"/>
          <w:sz w:val="15"/>
          <w:szCs w:val="15"/>
          <w:color w:val="auto"/>
        </w:rPr>
        <w:t>202,936</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6,802,093</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2,284,292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29845</wp:posOffset>
            </wp:positionV>
            <wp:extent cx="72199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995" cy="76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9,289,321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29845</wp:posOffset>
            </wp:positionV>
            <wp:extent cx="72199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995" cy="762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44450</wp:posOffset>
            </wp:positionV>
            <wp:extent cx="72199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995" cy="762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7740" w:space="720"/>
            <w:col w:w="3000"/>
          </w:cols>
          <w:pgMar w:left="240" w:top="593" w:right="199" w:bottom="1440" w:gutter="0" w:footer="0" w:header="0"/>
          <w:type w:val="continuous"/>
        </w:sectPr>
      </w:pPr>
    </w:p>
    <w:p>
      <w:pPr>
        <w:ind w:right="100" w:firstLine="440"/>
        <w:spacing w:after="0" w:line="266" w:lineRule="auto"/>
        <w:rPr>
          <w:sz w:val="20"/>
          <w:szCs w:val="20"/>
          <w:color w:val="auto"/>
        </w:rPr>
      </w:pPr>
      <w:r>
        <w:rPr>
          <w:rFonts w:ascii="Arial" w:cs="Arial" w:eastAsia="Arial" w:hAnsi="Arial"/>
          <w:sz w:val="15"/>
          <w:szCs w:val="15"/>
          <w:color w:val="auto"/>
        </w:rPr>
        <w:t>On February 12, 2018, the Company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the Company granted the underwriters a 30-day option to purchase up to an additional 662,983 shares of common stock at the public offering price, and on February 21, 2018, the Company sold an additional 126,038 shares of Common Stock for gross proceeds of $1.1 million pursuant to the partial exercise by the underwriters of their over-allotment option.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Income Taxes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reconciliation of loss before income taxes for domestic and foreign locations for the years ended December 31, 2019 and 2018 is as follows:</w:t>
      </w:r>
    </w:p>
    <w:p>
      <w:pPr>
        <w:spacing w:after="0" w:line="201" w:lineRule="exact"/>
        <w:rPr>
          <w:sz w:val="20"/>
          <w:szCs w:val="20"/>
          <w:color w:val="auto"/>
        </w:rPr>
      </w:pPr>
    </w:p>
    <w:p>
      <w:pPr>
        <w:jc w:val="center"/>
        <w:ind w:left="5420"/>
        <w:spacing w:after="0"/>
        <w:rPr>
          <w:sz w:val="20"/>
          <w:szCs w:val="20"/>
          <w:color w:val="auto"/>
        </w:rPr>
      </w:pPr>
      <w:r>
        <w:rPr>
          <w:rFonts w:ascii="Arial" w:cs="Arial" w:eastAsia="Arial" w:hAnsi="Arial"/>
          <w:sz w:val="12"/>
          <w:szCs w:val="12"/>
          <w:b w:val="1"/>
          <w:bCs w:val="1"/>
          <w:color w:val="auto"/>
        </w:rPr>
        <w:t>Year Ended</w:t>
      </w:r>
    </w:p>
    <w:p>
      <w:pPr>
        <w:jc w:val="center"/>
        <w:ind w:left="5420"/>
        <w:spacing w:after="0"/>
        <w:rPr>
          <w:sz w:val="20"/>
          <w:szCs w:val="20"/>
          <w:color w:val="auto"/>
        </w:rPr>
      </w:pPr>
      <w:r>
        <w:rPr>
          <w:rFonts w:ascii="Arial" w:cs="Arial" w:eastAsia="Arial" w:hAnsi="Arial"/>
          <w:sz w:val="12"/>
          <w:szCs w:val="12"/>
          <w:b w:val="1"/>
          <w:bCs w:val="1"/>
          <w:color w:val="auto"/>
        </w:rPr>
        <w:t>December 31,</w:t>
      </w:r>
    </w:p>
    <w:tbl>
      <w:tblPr>
        <w:tblLayout w:type="fixed"/>
        <w:tblInd w:w="1720" w:type="dxa"/>
        <w:tblCellMar>
          <w:top w:w="0" w:type="dxa"/>
          <w:left w:w="0" w:type="dxa"/>
          <w:bottom w:w="0" w:type="dxa"/>
          <w:right w:w="0" w:type="dxa"/>
        </w:tblCellMar>
      </w:tblPr>
      <w:tr>
        <w:trPr>
          <w:trHeight w:val="130"/>
        </w:trPr>
        <w:tc>
          <w:tcPr>
            <w:tcW w:w="3560" w:type="dxa"/>
            <w:vAlign w:val="bottom"/>
            <w:tcBorders>
              <w:bottom w:val="single" w:sz="8" w:color="CFF0FC"/>
            </w:tcBorders>
          </w:tcPr>
          <w:p>
            <w:pPr>
              <w:spacing w:after="0"/>
              <w:rPr>
                <w:sz w:val="11"/>
                <w:szCs w:val="11"/>
                <w:color w:val="auto"/>
              </w:rPr>
            </w:pPr>
          </w:p>
        </w:tc>
        <w:tc>
          <w:tcPr>
            <w:tcW w:w="194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67"/>
              <w:spacing w:after="0" w:line="130"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67"/>
              <w:spacing w:after="0" w:line="130"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1"/>
                <w:szCs w:val="11"/>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5"/>
                <w:szCs w:val="15"/>
                <w:color w:val="auto"/>
              </w:rPr>
              <w:t>United States</w:t>
            </w: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(12,952,730)</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(14,689,617)</w:t>
            </w:r>
          </w:p>
        </w:tc>
      </w:tr>
      <w:tr>
        <w:trPr>
          <w:trHeight w:val="197"/>
        </w:trPr>
        <w:tc>
          <w:tcPr>
            <w:tcW w:w="35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Foreign</w:t>
            </w:r>
          </w:p>
        </w:tc>
        <w:tc>
          <w:tcPr>
            <w:tcW w:w="19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23,732</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19,806</w:t>
            </w:r>
          </w:p>
        </w:tc>
        <w:tc>
          <w:tcPr>
            <w:tcW w:w="80" w:type="dxa"/>
            <w:vAlign w:val="bottom"/>
            <w:tcBorders>
              <w:bottom w:val="single" w:sz="8" w:color="CFF0FC"/>
            </w:tcBorders>
          </w:tcPr>
          <w:p>
            <w:pPr>
              <w:spacing w:after="0"/>
              <w:rPr>
                <w:sz w:val="17"/>
                <w:szCs w:val="17"/>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Loss before income taxes</w:t>
            </w: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(12,928,998)</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(14,669,811)</w:t>
            </w: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reconciliation of income tax benefit (expense) for the years ended December 31, 2019 and 2018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ind w:right="63"/>
              <w:spacing w:after="0"/>
              <w:rPr>
                <w:sz w:val="20"/>
                <w:szCs w:val="20"/>
                <w:color w:val="auto"/>
              </w:rPr>
            </w:pPr>
            <w:r>
              <w:rPr>
                <w:rFonts w:ascii="Arial" w:cs="Arial" w:eastAsia="Arial" w:hAnsi="Arial"/>
                <w:sz w:val="12"/>
                <w:szCs w:val="12"/>
                <w:b w:val="1"/>
                <w:bCs w:val="1"/>
                <w:color w:val="auto"/>
              </w:rPr>
              <w:t>Year Ended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20" w:type="dxa"/>
            <w:vAlign w:val="bottom"/>
          </w:tcPr>
          <w:p>
            <w:pPr>
              <w:spacing w:after="0"/>
              <w:rPr>
                <w:sz w:val="12"/>
                <w:szCs w:val="12"/>
                <w:color w:val="auto"/>
              </w:rPr>
            </w:pPr>
          </w:p>
        </w:tc>
        <w:tc>
          <w:tcPr>
            <w:tcW w:w="3300" w:type="dxa"/>
            <w:vAlign w:val="bottom"/>
            <w:vMerge w:val="restart"/>
          </w:tcPr>
          <w:p>
            <w:pPr>
              <w:spacing w:after="0"/>
              <w:rPr>
                <w:sz w:val="20"/>
                <w:szCs w:val="20"/>
                <w:color w:val="auto"/>
              </w:rPr>
            </w:pPr>
            <w:r>
              <w:rPr>
                <w:rFonts w:ascii="Arial" w:cs="Arial" w:eastAsia="Arial" w:hAnsi="Arial"/>
                <w:sz w:val="15"/>
                <w:szCs w:val="15"/>
                <w:color w:val="auto"/>
              </w:rPr>
              <w:t>Current:</w:t>
            </w:r>
          </w:p>
        </w:tc>
        <w:tc>
          <w:tcPr>
            <w:tcW w:w="2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3300" w:type="dxa"/>
            <w:vAlign w:val="bottom"/>
            <w:tcBorders>
              <w:bottom w:val="single" w:sz="8" w:color="CFF0FC"/>
            </w:tcBorders>
            <w:vMerge w:val="continue"/>
          </w:tcPr>
          <w:p>
            <w:pPr>
              <w:spacing w:after="0"/>
              <w:rPr>
                <w:sz w:val="16"/>
                <w:szCs w:val="16"/>
                <w:color w:val="auto"/>
              </w:rPr>
            </w:pPr>
          </w:p>
        </w:tc>
        <w:tc>
          <w:tcPr>
            <w:tcW w:w="22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3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Federal</w:t>
            </w:r>
          </w:p>
        </w:tc>
        <w:tc>
          <w:tcPr>
            <w:tcW w:w="24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300" w:type="dxa"/>
            <w:vAlign w:val="bottom"/>
          </w:tcPr>
          <w:p>
            <w:pPr>
              <w:ind w:left="200"/>
              <w:spacing w:after="0"/>
              <w:rPr>
                <w:sz w:val="20"/>
                <w:szCs w:val="20"/>
                <w:color w:val="auto"/>
              </w:rPr>
            </w:pPr>
            <w:r>
              <w:rPr>
                <w:rFonts w:ascii="Arial" w:cs="Arial" w:eastAsia="Arial" w:hAnsi="Arial"/>
                <w:sz w:val="15"/>
                <w:szCs w:val="15"/>
                <w:color w:val="auto"/>
              </w:rPr>
              <w:t>State</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Foreign</w:t>
            </w:r>
          </w:p>
        </w:tc>
        <w:tc>
          <w:tcPr>
            <w:tcW w:w="2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(12,660)</w:t>
            </w: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(5,276)</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vMerge w:val="restart"/>
          </w:tcPr>
          <w:p>
            <w:pPr>
              <w:spacing w:after="0"/>
              <w:rPr>
                <w:sz w:val="20"/>
                <w:szCs w:val="20"/>
                <w:color w:val="auto"/>
              </w:rPr>
            </w:pPr>
            <w:r>
              <w:rPr>
                <w:rFonts w:ascii="Arial" w:cs="Arial" w:eastAsia="Arial" w:hAnsi="Arial"/>
                <w:sz w:val="15"/>
                <w:szCs w:val="15"/>
                <w:color w:val="auto"/>
              </w:rPr>
              <w:t>Total current income tax benefit (expense)</w:t>
            </w:r>
          </w:p>
        </w:tc>
        <w:tc>
          <w:tcPr>
            <w:tcW w:w="2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(12,660)</w:t>
            </w:r>
          </w:p>
        </w:tc>
        <w:tc>
          <w:tcPr>
            <w:tcW w:w="3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(5,276)</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Deferred:</w:t>
            </w:r>
          </w:p>
        </w:tc>
        <w:tc>
          <w:tcPr>
            <w:tcW w:w="22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300" w:type="dxa"/>
            <w:vAlign w:val="bottom"/>
          </w:tcPr>
          <w:p>
            <w:pPr>
              <w:ind w:left="200"/>
              <w:spacing w:after="0"/>
              <w:rPr>
                <w:sz w:val="20"/>
                <w:szCs w:val="20"/>
                <w:color w:val="auto"/>
              </w:rPr>
            </w:pPr>
            <w:r>
              <w:rPr>
                <w:rFonts w:ascii="Arial" w:cs="Arial" w:eastAsia="Arial" w:hAnsi="Arial"/>
                <w:sz w:val="15"/>
                <w:szCs w:val="15"/>
                <w:color w:val="auto"/>
              </w:rPr>
              <w:t>Federal</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3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State</w:t>
            </w:r>
          </w:p>
        </w:tc>
        <w:tc>
          <w:tcPr>
            <w:tcW w:w="2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300" w:type="dxa"/>
            <w:vAlign w:val="bottom"/>
            <w:tcBorders>
              <w:bottom w:val="single" w:sz="8" w:color="CFF0FC"/>
            </w:tcBorders>
          </w:tcPr>
          <w:p>
            <w:pPr>
              <w:ind w:left="200"/>
              <w:spacing w:after="0"/>
              <w:rPr>
                <w:sz w:val="20"/>
                <w:szCs w:val="20"/>
                <w:color w:val="auto"/>
              </w:rPr>
            </w:pPr>
            <w:r>
              <w:rPr>
                <w:rFonts w:ascii="Arial" w:cs="Arial" w:eastAsia="Arial" w:hAnsi="Arial"/>
                <w:sz w:val="15"/>
                <w:szCs w:val="15"/>
                <w:color w:val="auto"/>
              </w:rPr>
              <w:t>Foreign</w:t>
            </w:r>
          </w:p>
        </w:tc>
        <w:tc>
          <w:tcPr>
            <w:tcW w:w="22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5"/>
                <w:szCs w:val="15"/>
                <w:color w:val="auto"/>
              </w:rPr>
              <w:t>Total deferred income tax benefit (expense)</w:t>
            </w:r>
          </w:p>
        </w:tc>
        <w:tc>
          <w:tcPr>
            <w:tcW w:w="22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5"/>
                <w:szCs w:val="15"/>
                <w:b w:val="1"/>
                <w:bCs w:val="1"/>
                <w:color w:val="auto"/>
              </w:rPr>
              <w:t>Total income tax benefit (expense)</w:t>
            </w:r>
          </w:p>
        </w:tc>
        <w:tc>
          <w:tcPr>
            <w:tcW w:w="2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(12,660)</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(5,276)</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0" w:type="dxa"/>
            <w:vAlign w:val="bottom"/>
            <w:vMerge w:val="restart"/>
          </w:tcPr>
          <w:p>
            <w:pPr>
              <w:jc w:val="right"/>
              <w:ind w:right="1343"/>
              <w:spacing w:after="0"/>
              <w:rPr>
                <w:sz w:val="20"/>
                <w:szCs w:val="20"/>
                <w:color w:val="auto"/>
              </w:rPr>
            </w:pPr>
            <w:r>
              <w:rPr>
                <w:rFonts w:ascii="Arial" w:cs="Arial" w:eastAsia="Arial" w:hAnsi="Arial"/>
                <w:sz w:val="15"/>
                <w:szCs w:val="15"/>
                <w:color w:val="auto"/>
              </w:rPr>
              <w:t>72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7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593" w:right="199" w:bottom="1440" w:gutter="0" w:footer="0" w:header="0"/>
          <w:type w:val="continuous"/>
        </w:sectPr>
      </w:pPr>
    </w:p>
    <w:bookmarkStart w:id="72" w:name="page73"/>
    <w:bookmarkEnd w:id="72"/>
    <w:p>
      <w:pPr>
        <w:ind w:left="440"/>
        <w:spacing w:after="0"/>
        <w:rPr>
          <w:sz w:val="20"/>
          <w:szCs w:val="20"/>
          <w:color w:val="auto"/>
        </w:rPr>
      </w:pPr>
      <w:r>
        <w:rPr>
          <w:rFonts w:ascii="Arial" w:cs="Arial" w:eastAsia="Arial" w:hAnsi="Arial"/>
          <w:sz w:val="15"/>
          <w:szCs w:val="15"/>
          <w:color w:val="auto"/>
        </w:rPr>
        <w:t>The significant components of deferred income taxes at December 31, 2019 and 2018 are as follows (in thousands):</w:t>
      </w:r>
    </w:p>
    <w:p>
      <w:pPr>
        <w:spacing w:after="0" w:line="5"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ind w:right="63"/>
              <w:spacing w:after="0"/>
              <w:rPr>
                <w:sz w:val="20"/>
                <w:szCs w:val="20"/>
                <w:color w:val="auto"/>
              </w:rPr>
            </w:pPr>
            <w:r>
              <w:rPr>
                <w:rFonts w:ascii="Arial" w:cs="Arial" w:eastAsia="Arial" w:hAnsi="Arial"/>
                <w:sz w:val="12"/>
                <w:szCs w:val="12"/>
                <w:b w:val="1"/>
                <w:bCs w:val="1"/>
                <w:color w:val="auto"/>
              </w:rPr>
              <w:t>Year Ended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vMerge w:val="restart"/>
          </w:tcPr>
          <w:p>
            <w:pPr>
              <w:spacing w:after="0"/>
              <w:rPr>
                <w:sz w:val="20"/>
                <w:szCs w:val="20"/>
                <w:color w:val="auto"/>
              </w:rPr>
            </w:pPr>
            <w:r>
              <w:rPr>
                <w:rFonts w:ascii="Arial" w:cs="Arial" w:eastAsia="Arial" w:hAnsi="Arial"/>
                <w:sz w:val="15"/>
                <w:szCs w:val="15"/>
                <w:color w:val="auto"/>
              </w:rPr>
              <w:t>Deferred tax assets:</w:t>
            </w:r>
          </w:p>
        </w:tc>
        <w:tc>
          <w:tcPr>
            <w:tcW w:w="1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vMerge w:val="continue"/>
          </w:tcPr>
          <w:p>
            <w:pPr>
              <w:spacing w:after="0"/>
              <w:rPr>
                <w:sz w:val="16"/>
                <w:szCs w:val="16"/>
                <w:color w:val="auto"/>
              </w:rPr>
            </w:pPr>
          </w:p>
        </w:tc>
        <w:tc>
          <w:tcPr>
            <w:tcW w:w="16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Net operating loss carryforwards</w:t>
            </w: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64,601</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62,025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200"/>
              <w:spacing w:after="0"/>
              <w:rPr>
                <w:sz w:val="20"/>
                <w:szCs w:val="20"/>
                <w:color w:val="auto"/>
              </w:rPr>
            </w:pPr>
            <w:r>
              <w:rPr>
                <w:rFonts w:ascii="Arial" w:cs="Arial" w:eastAsia="Arial" w:hAnsi="Arial"/>
                <w:sz w:val="15"/>
                <w:szCs w:val="15"/>
                <w:color w:val="auto"/>
              </w:rPr>
              <w:t>Capitalized licenses</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Research tax credits</w:t>
            </w: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8,690</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200"/>
              <w:spacing w:after="0"/>
              <w:rPr>
                <w:sz w:val="20"/>
                <w:szCs w:val="20"/>
                <w:color w:val="auto"/>
              </w:rPr>
            </w:pPr>
            <w:r>
              <w:rPr>
                <w:rFonts w:ascii="Arial" w:cs="Arial" w:eastAsia="Arial" w:hAnsi="Arial"/>
                <w:sz w:val="15"/>
                <w:szCs w:val="15"/>
                <w:color w:val="auto"/>
              </w:rPr>
              <w:t>Stock options</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3,120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net</w:t>
            </w: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60" w:type="dxa"/>
            <w:vAlign w:val="bottom"/>
          </w:tcPr>
          <w:p>
            <w:pPr>
              <w:ind w:left="200"/>
              <w:spacing w:after="0"/>
              <w:rPr>
                <w:sz w:val="20"/>
                <w:szCs w:val="20"/>
                <w:color w:val="auto"/>
              </w:rPr>
            </w:pPr>
            <w:r>
              <w:rPr>
                <w:rFonts w:ascii="Arial" w:cs="Arial" w:eastAsia="Arial" w:hAnsi="Arial"/>
                <w:sz w:val="15"/>
                <w:szCs w:val="15"/>
                <w:color w:val="auto"/>
              </w:rPr>
              <w:t>Right-of-use asset</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Total deferred tax assets</w:t>
            </w:r>
          </w:p>
        </w:tc>
        <w:tc>
          <w:tcPr>
            <w:tcW w:w="16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77,262</w:t>
            </w:r>
          </w:p>
        </w:tc>
        <w:tc>
          <w:tcPr>
            <w:tcW w:w="20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75,247</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Right-of-use liability</w:t>
            </w: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(68)</w:t>
            </w: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860" w:type="dxa"/>
            <w:vAlign w:val="bottom"/>
          </w:tcPr>
          <w:p>
            <w:pPr>
              <w:ind w:left="200"/>
              <w:spacing w:after="0"/>
              <w:rPr>
                <w:sz w:val="20"/>
                <w:szCs w:val="20"/>
                <w:color w:val="auto"/>
              </w:rPr>
            </w:pPr>
            <w:r>
              <w:rPr>
                <w:rFonts w:ascii="Arial" w:cs="Arial" w:eastAsia="Arial" w:hAnsi="Arial"/>
                <w:sz w:val="15"/>
                <w:szCs w:val="15"/>
                <w:color w:val="auto"/>
              </w:rPr>
              <w:t>In process R&amp;D</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(1,343)</w:t>
            </w:r>
          </w:p>
        </w:tc>
        <w:tc>
          <w:tcPr>
            <w:tcW w:w="3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(1,343)</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Total deferred tax liabilities</w:t>
            </w:r>
          </w:p>
        </w:tc>
        <w:tc>
          <w:tcPr>
            <w:tcW w:w="1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vMerge w:val="continue"/>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(1,411)</w:t>
            </w:r>
          </w:p>
        </w:tc>
        <w:tc>
          <w:tcPr>
            <w:tcW w:w="3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(1,343)</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5"/>
                <w:szCs w:val="15"/>
                <w:color w:val="auto"/>
              </w:rPr>
              <w:t>Net deferred tax assets</w:t>
            </w:r>
          </w:p>
        </w:tc>
        <w:tc>
          <w:tcPr>
            <w:tcW w:w="16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75,851</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73,904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Valuation allowance</w:t>
            </w: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(76,053)</w:t>
            </w: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(74,106)</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5"/>
                <w:szCs w:val="15"/>
                <w:b w:val="1"/>
                <w:bCs w:val="1"/>
                <w:color w:val="auto"/>
              </w:rPr>
              <w:t>Net deferred tax liability</w:t>
            </w:r>
          </w:p>
        </w:tc>
        <w:tc>
          <w:tcPr>
            <w:tcW w:w="1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(202)</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40"/>
        <w:spacing w:after="0" w:line="274" w:lineRule="auto"/>
        <w:rPr>
          <w:sz w:val="20"/>
          <w:szCs w:val="20"/>
          <w:color w:val="auto"/>
        </w:rPr>
      </w:pPr>
      <w:r>
        <w:rPr>
          <w:rFonts w:ascii="Arial" w:cs="Arial" w:eastAsia="Arial" w:hAnsi="Arial"/>
          <w:sz w:val="15"/>
          <w:szCs w:val="15"/>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52" w:lineRule="exact"/>
        <w:rPr>
          <w:sz w:val="20"/>
          <w:szCs w:val="20"/>
          <w:color w:val="auto"/>
        </w:rPr>
      </w:pPr>
    </w:p>
    <w:p>
      <w:pPr>
        <w:ind w:firstLine="440"/>
        <w:spacing w:after="0" w:line="269" w:lineRule="auto"/>
        <w:rPr>
          <w:sz w:val="20"/>
          <w:szCs w:val="20"/>
          <w:color w:val="auto"/>
        </w:rPr>
      </w:pPr>
      <w:r>
        <w:rPr>
          <w:rFonts w:ascii="Arial" w:cs="Arial" w:eastAsia="Arial" w:hAnsi="Arial"/>
          <w:sz w:val="15"/>
          <w:szCs w:val="15"/>
          <w:color w:val="auto"/>
        </w:rPr>
        <w:t>At December 31, 2019, the Company has federal and California net operating loss (NOL), carryforwards of approximately $258.2 million and $148.7 million, respectively. The federal NOL carryforwards begin to expire in 2020, and the California NOL carryforwards begin to expire in 2028. At December 31, 2019, the Company also had federal and California research tax credit carry forwards of approximately $7.1 million and $2.0 million, respectively. The federal research tax credit carryforwards begin to expire in 2024, and the California research tax credit carryforward does not expire and can be carried forward indefinitely until utilized.</w:t>
      </w:r>
    </w:p>
    <w:p>
      <w:pPr>
        <w:spacing w:after="0" w:line="155" w:lineRule="exact"/>
        <w:rPr>
          <w:sz w:val="20"/>
          <w:szCs w:val="20"/>
          <w:color w:val="auto"/>
        </w:rPr>
      </w:pPr>
    </w:p>
    <w:p>
      <w:pPr>
        <w:ind w:right="60" w:firstLine="440"/>
        <w:spacing w:after="0" w:line="262" w:lineRule="auto"/>
        <w:rPr>
          <w:sz w:val="20"/>
          <w:szCs w:val="20"/>
          <w:color w:val="auto"/>
        </w:rPr>
      </w:pPr>
      <w:r>
        <w:rPr>
          <w:rFonts w:ascii="Arial" w:cs="Arial" w:eastAsia="Arial" w:hAnsi="Arial"/>
          <w:sz w:val="15"/>
          <w:szCs w:val="15"/>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73" w:name="page74"/>
    <w:bookmarkEnd w:id="73"/>
    <w:p>
      <w:pPr>
        <w:ind w:left="440"/>
        <w:spacing w:after="0"/>
        <w:rPr>
          <w:sz w:val="20"/>
          <w:szCs w:val="20"/>
          <w:color w:val="auto"/>
        </w:rPr>
      </w:pPr>
      <w:r>
        <w:rPr>
          <w:rFonts w:ascii="Arial" w:cs="Arial" w:eastAsia="Arial" w:hAnsi="Arial"/>
          <w:sz w:val="15"/>
          <w:szCs w:val="15"/>
          <w:color w:val="auto"/>
        </w:rPr>
        <w:t>A reconciliation of the federal statutory income tax rate to the Company’s effective income tax rate is as follows:</w:t>
      </w:r>
    </w:p>
    <w:p>
      <w:pPr>
        <w:spacing w:after="0" w:line="201" w:lineRule="exact"/>
        <w:rPr>
          <w:sz w:val="20"/>
          <w:szCs w:val="20"/>
          <w:color w:val="auto"/>
        </w:rPr>
      </w:pPr>
    </w:p>
    <w:p>
      <w:pPr>
        <w:jc w:val="center"/>
        <w:ind w:left="5860"/>
        <w:spacing w:after="0"/>
        <w:rPr>
          <w:sz w:val="20"/>
          <w:szCs w:val="20"/>
          <w:color w:val="auto"/>
        </w:rPr>
      </w:pPr>
      <w:r>
        <w:rPr>
          <w:rFonts w:ascii="Arial" w:cs="Arial" w:eastAsia="Arial" w:hAnsi="Arial"/>
          <w:sz w:val="12"/>
          <w:szCs w:val="12"/>
          <w:b w:val="1"/>
          <w:bCs w:val="1"/>
          <w:color w:val="auto"/>
        </w:rPr>
        <w:t>Year Ended</w:t>
      </w:r>
    </w:p>
    <w:p>
      <w:pPr>
        <w:jc w:val="center"/>
        <w:ind w:left="5860"/>
        <w:spacing w:after="0"/>
        <w:rPr>
          <w:sz w:val="20"/>
          <w:szCs w:val="20"/>
          <w:color w:val="auto"/>
        </w:rPr>
      </w:pPr>
      <w:r>
        <w:rPr>
          <w:rFonts w:ascii="Arial" w:cs="Arial" w:eastAsia="Arial" w:hAnsi="Arial"/>
          <w:sz w:val="12"/>
          <w:szCs w:val="12"/>
          <w:b w:val="1"/>
          <w:bCs w:val="1"/>
          <w:color w:val="auto"/>
        </w:rPr>
        <w:t>December 31,</w:t>
      </w:r>
    </w:p>
    <w:tbl>
      <w:tblPr>
        <w:tblLayout w:type="fixed"/>
        <w:tblInd w:w="1720" w:type="dxa"/>
        <w:tblCellMar>
          <w:top w:w="0" w:type="dxa"/>
          <w:left w:w="0" w:type="dxa"/>
          <w:bottom w:w="0" w:type="dxa"/>
          <w:right w:w="0" w:type="dxa"/>
        </w:tblCellMar>
      </w:tblPr>
      <w:tr>
        <w:trPr>
          <w:trHeight w:val="130"/>
        </w:trPr>
        <w:tc>
          <w:tcPr>
            <w:tcW w:w="5940" w:type="dxa"/>
            <w:vAlign w:val="bottom"/>
            <w:tcBorders>
              <w:bottom w:val="single" w:sz="8" w:color="CFF0FC"/>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44"/>
              <w:spacing w:after="0" w:line="130"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CFF0FC"/>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64"/>
              <w:spacing w:after="0" w:line="130" w:lineRule="exact"/>
              <w:rPr>
                <w:sz w:val="20"/>
                <w:szCs w:val="20"/>
                <w:color w:val="auto"/>
              </w:rPr>
            </w:pPr>
            <w:r>
              <w:rPr>
                <w:rFonts w:ascii="Arial" w:cs="Arial" w:eastAsia="Arial" w:hAnsi="Arial"/>
                <w:sz w:val="12"/>
                <w:szCs w:val="12"/>
                <w:b w:val="1"/>
                <w:bCs w:val="1"/>
                <w:color w:val="auto"/>
              </w:rPr>
              <w:t>2018</w:t>
            </w:r>
          </w:p>
        </w:tc>
        <w:tc>
          <w:tcPr>
            <w:tcW w:w="80" w:type="dxa"/>
            <w:vAlign w:val="bottom"/>
            <w:tcBorders>
              <w:bottom w:val="single" w:sz="8" w:color="CFF0FC"/>
            </w:tcBorders>
          </w:tcPr>
          <w:p>
            <w:pPr>
              <w:spacing w:after="0"/>
              <w:rPr>
                <w:sz w:val="11"/>
                <w:szCs w:val="11"/>
                <w:color w:val="auto"/>
              </w:rPr>
            </w:pPr>
          </w:p>
        </w:tc>
      </w:tr>
      <w:tr>
        <w:trPr>
          <w:trHeight w:val="189"/>
        </w:trPr>
        <w:tc>
          <w:tcPr>
            <w:tcW w:w="5940" w:type="dxa"/>
            <w:vAlign w:val="bottom"/>
            <w:shd w:val="clear" w:color="auto" w:fill="CFF0FC"/>
          </w:tcPr>
          <w:p>
            <w:pPr>
              <w:spacing w:after="0"/>
              <w:rPr>
                <w:sz w:val="20"/>
                <w:szCs w:val="20"/>
                <w:color w:val="auto"/>
              </w:rPr>
            </w:pPr>
            <w:r>
              <w:rPr>
                <w:rFonts w:ascii="Arial" w:cs="Arial" w:eastAsia="Arial" w:hAnsi="Arial"/>
                <w:sz w:val="15"/>
                <w:szCs w:val="15"/>
                <w:color w:val="auto"/>
              </w:rPr>
              <w:t>Federal statutory income tax rate</w:t>
            </w:r>
          </w:p>
        </w:tc>
        <w:tc>
          <w:tcPr>
            <w:tcW w:w="88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21.0%</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21.0%</w:t>
            </w:r>
          </w:p>
        </w:tc>
        <w:tc>
          <w:tcPr>
            <w:tcW w:w="80" w:type="dxa"/>
            <w:vAlign w:val="bottom"/>
            <w:shd w:val="clear" w:color="auto" w:fill="CFF0FC"/>
          </w:tcPr>
          <w:p>
            <w:pPr>
              <w:spacing w:after="0"/>
              <w:rPr>
                <w:sz w:val="16"/>
                <w:szCs w:val="16"/>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5"/>
                <w:szCs w:val="15"/>
                <w:color w:val="auto"/>
              </w:rPr>
              <w:t>State income taxes, net of federal benefit</w:t>
            </w:r>
          </w:p>
        </w:tc>
        <w:tc>
          <w:tcPr>
            <w:tcW w:w="880" w:type="dxa"/>
            <w:vAlign w:val="bottom"/>
          </w:tcPr>
          <w:p>
            <w:pPr>
              <w:jc w:val="center"/>
              <w:spacing w:after="0"/>
              <w:rPr>
                <w:sz w:val="20"/>
                <w:szCs w:val="20"/>
                <w:color w:val="auto"/>
              </w:rPr>
            </w:pPr>
            <w:r>
              <w:rPr>
                <w:rFonts w:ascii="Arial" w:cs="Arial" w:eastAsia="Arial" w:hAnsi="Arial"/>
                <w:sz w:val="15"/>
                <w:szCs w:val="15"/>
                <w:color w:val="auto"/>
                <w:w w:val="95"/>
              </w:rPr>
              <w:t>3.2</w:t>
            </w:r>
          </w:p>
        </w:tc>
        <w:tc>
          <w:tcPr>
            <w:tcW w:w="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5"/>
              </w:rPr>
              <w:t>6.4</w:t>
            </w:r>
          </w:p>
        </w:tc>
        <w:tc>
          <w:tcPr>
            <w:tcW w:w="80" w:type="dxa"/>
            <w:vAlign w:val="bottom"/>
          </w:tcPr>
          <w:p>
            <w:pPr>
              <w:spacing w:after="0"/>
              <w:rPr>
                <w:sz w:val="17"/>
                <w:szCs w:val="17"/>
                <w:color w:val="auto"/>
              </w:rPr>
            </w:pPr>
          </w:p>
        </w:tc>
      </w:tr>
      <w:tr>
        <w:trPr>
          <w:trHeight w:val="197"/>
        </w:trPr>
        <w:tc>
          <w:tcPr>
            <w:tcW w:w="5940" w:type="dxa"/>
            <w:vAlign w:val="bottom"/>
            <w:shd w:val="clear" w:color="auto" w:fill="CFF0FC"/>
          </w:tcPr>
          <w:p>
            <w:pPr>
              <w:spacing w:after="0"/>
              <w:rPr>
                <w:sz w:val="20"/>
                <w:szCs w:val="20"/>
                <w:color w:val="auto"/>
              </w:rPr>
            </w:pPr>
            <w:r>
              <w:rPr>
                <w:rFonts w:ascii="Arial" w:cs="Arial" w:eastAsia="Arial" w:hAnsi="Arial"/>
                <w:sz w:val="15"/>
                <w:szCs w:val="15"/>
                <w:color w:val="auto"/>
              </w:rPr>
              <w:t>Tax credits</w:t>
            </w:r>
          </w:p>
        </w:tc>
        <w:tc>
          <w:tcPr>
            <w:tcW w:w="8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5"/>
              </w:rPr>
              <w:t>2.0</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5"/>
              </w:rPr>
              <w:t>1.5</w:t>
            </w:r>
          </w:p>
        </w:tc>
        <w:tc>
          <w:tcPr>
            <w:tcW w:w="80" w:type="dxa"/>
            <w:vAlign w:val="bottom"/>
            <w:shd w:val="clear" w:color="auto" w:fill="CFF0FC"/>
          </w:tcPr>
          <w:p>
            <w:pPr>
              <w:spacing w:after="0"/>
              <w:rPr>
                <w:sz w:val="17"/>
                <w:szCs w:val="17"/>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880" w:type="dxa"/>
            <w:vAlign w:val="bottom"/>
          </w:tcPr>
          <w:p>
            <w:pPr>
              <w:jc w:val="center"/>
              <w:spacing w:after="0"/>
              <w:rPr>
                <w:sz w:val="20"/>
                <w:szCs w:val="20"/>
                <w:color w:val="auto"/>
              </w:rPr>
            </w:pPr>
            <w:r>
              <w:rPr>
                <w:rFonts w:ascii="Arial" w:cs="Arial" w:eastAsia="Arial" w:hAnsi="Arial"/>
                <w:sz w:val="15"/>
                <w:szCs w:val="15"/>
                <w:color w:val="auto"/>
                <w:w w:val="91"/>
              </w:rPr>
              <w:t>(15.0)</w:t>
            </w:r>
          </w:p>
        </w:tc>
        <w:tc>
          <w:tcPr>
            <w:tcW w:w="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(27.2)</w:t>
            </w:r>
          </w:p>
        </w:tc>
        <w:tc>
          <w:tcPr>
            <w:tcW w:w="80" w:type="dxa"/>
            <w:vAlign w:val="bottom"/>
          </w:tcPr>
          <w:p>
            <w:pPr>
              <w:spacing w:after="0"/>
              <w:rPr>
                <w:sz w:val="17"/>
                <w:szCs w:val="17"/>
                <w:color w:val="auto"/>
              </w:rPr>
            </w:pPr>
          </w:p>
        </w:tc>
      </w:tr>
      <w:tr>
        <w:trPr>
          <w:trHeight w:val="197"/>
        </w:trPr>
        <w:tc>
          <w:tcPr>
            <w:tcW w:w="5940" w:type="dxa"/>
            <w:vAlign w:val="bottom"/>
            <w:shd w:val="clear" w:color="auto" w:fill="CFF0FC"/>
          </w:tcPr>
          <w:p>
            <w:pPr>
              <w:spacing w:after="0"/>
              <w:rPr>
                <w:sz w:val="20"/>
                <w:szCs w:val="20"/>
                <w:color w:val="auto"/>
              </w:rPr>
            </w:pPr>
            <w:r>
              <w:rPr>
                <w:rFonts w:ascii="Arial" w:cs="Arial" w:eastAsia="Arial" w:hAnsi="Arial"/>
                <w:sz w:val="15"/>
                <w:szCs w:val="15"/>
                <w:color w:val="auto"/>
              </w:rPr>
              <w:t>Permanent differences</w:t>
            </w:r>
          </w:p>
        </w:tc>
        <w:tc>
          <w:tcPr>
            <w:tcW w:w="8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7"/>
              </w:rPr>
              <w:t>(0.1)</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0"/>
              </w:rPr>
              <w:t>(0.1)</w:t>
            </w:r>
          </w:p>
        </w:tc>
        <w:tc>
          <w:tcPr>
            <w:tcW w:w="80" w:type="dxa"/>
            <w:vAlign w:val="bottom"/>
            <w:shd w:val="clear" w:color="auto" w:fill="CFF0FC"/>
          </w:tcPr>
          <w:p>
            <w:pPr>
              <w:spacing w:after="0"/>
              <w:rPr>
                <w:sz w:val="17"/>
                <w:szCs w:val="17"/>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5"/>
                <w:szCs w:val="15"/>
                <w:color w:val="auto"/>
              </w:rPr>
              <w:t>Stock compensation</w:t>
            </w:r>
          </w:p>
        </w:tc>
        <w:tc>
          <w:tcPr>
            <w:tcW w:w="880" w:type="dxa"/>
            <w:vAlign w:val="bottom"/>
          </w:tcPr>
          <w:p>
            <w:pPr>
              <w:jc w:val="center"/>
              <w:spacing w:after="0"/>
              <w:rPr>
                <w:sz w:val="20"/>
                <w:szCs w:val="20"/>
                <w:color w:val="auto"/>
              </w:rPr>
            </w:pPr>
            <w:r>
              <w:rPr>
                <w:rFonts w:ascii="Arial" w:cs="Arial" w:eastAsia="Arial" w:hAnsi="Arial"/>
                <w:sz w:val="15"/>
                <w:szCs w:val="15"/>
                <w:color w:val="auto"/>
                <w:w w:val="91"/>
              </w:rPr>
              <w:t>(11.1)</w:t>
            </w:r>
          </w:p>
        </w:tc>
        <w:tc>
          <w:tcPr>
            <w:tcW w:w="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0"/>
              </w:rPr>
              <w:t>(1.7)</w:t>
            </w:r>
          </w:p>
        </w:tc>
        <w:tc>
          <w:tcPr>
            <w:tcW w:w="80" w:type="dxa"/>
            <w:vAlign w:val="bottom"/>
          </w:tcPr>
          <w:p>
            <w:pPr>
              <w:spacing w:after="0"/>
              <w:rPr>
                <w:sz w:val="17"/>
                <w:szCs w:val="17"/>
                <w:color w:val="auto"/>
              </w:rPr>
            </w:pPr>
          </w:p>
        </w:tc>
      </w:tr>
      <w:tr>
        <w:trPr>
          <w:trHeight w:val="197"/>
        </w:trPr>
        <w:tc>
          <w:tcPr>
            <w:tcW w:w="594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8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5"/>
                <w:szCs w:val="15"/>
                <w:color w:val="auto"/>
                <w:w w:val="97"/>
              </w:rPr>
              <w:t>(0.1)</w:t>
            </w:r>
          </w:p>
        </w:tc>
        <w:tc>
          <w:tcPr>
            <w:tcW w:w="200" w:type="dxa"/>
            <w:vAlign w:val="bottom"/>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5"/>
                <w:szCs w:val="15"/>
                <w:color w:val="auto"/>
                <w:w w:val="95"/>
              </w:rPr>
              <w:t>0.1</w:t>
            </w:r>
          </w:p>
        </w:tc>
        <w:tc>
          <w:tcPr>
            <w:tcW w:w="80" w:type="dxa"/>
            <w:vAlign w:val="bottom"/>
            <w:shd w:val="clear" w:color="auto" w:fill="CFF0FC"/>
          </w:tcPr>
          <w:p>
            <w:pPr>
              <w:spacing w:after="0"/>
              <w:rPr>
                <w:sz w:val="17"/>
                <w:szCs w:val="17"/>
                <w:color w:val="auto"/>
              </w:rPr>
            </w:pPr>
          </w:p>
        </w:tc>
      </w:tr>
      <w:tr>
        <w:trPr>
          <w:trHeight w:val="189"/>
        </w:trPr>
        <w:tc>
          <w:tcPr>
            <w:tcW w:w="59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(0.1)%</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0.0%</w:t>
            </w:r>
          </w:p>
        </w:tc>
        <w:tc>
          <w:tcPr>
            <w:tcW w:w="8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2" w:lineRule="exact"/>
        <w:rPr>
          <w:sz w:val="20"/>
          <w:szCs w:val="20"/>
          <w:color w:val="auto"/>
        </w:rPr>
      </w:pPr>
    </w:p>
    <w:p>
      <w:pPr>
        <w:ind w:right="60" w:firstLine="476"/>
        <w:spacing w:after="0" w:line="302" w:lineRule="auto"/>
        <w:rPr>
          <w:sz w:val="20"/>
          <w:szCs w:val="20"/>
          <w:color w:val="auto"/>
        </w:rPr>
      </w:pPr>
      <w:r>
        <w:rPr>
          <w:rFonts w:ascii="Arial" w:cs="Arial" w:eastAsia="Arial" w:hAnsi="Arial"/>
          <w:sz w:val="14"/>
          <w:szCs w:val="14"/>
          <w:color w:val="auto"/>
        </w:rPr>
        <w:t>The Company files income tax returns in the United States, California and foreign jurisdictions. Due to the Company’s losses incurred, the Company is potentially subject to income tax examination by tax authorities from inception to date. The Company’s policy is to recognize interest expense and penalties related to income tax matters as tax expense. At December 31, 2019, there are no unrecognized tax benefits nor any significant accruals for interest related to unrecognized tax benefits or tax penalties.</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Employee Savings Plan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Company has an employee savings plan available to substantially all employees. Under the plan, an employee may elect salary reductions which are contributed to the plan.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plan provides for discretionary contributions by the Company, which totaled $78,412 and $76,903 for the years ended December 31, 2019 and 2018, respectively.</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Subsequent Events</w:t>
      </w:r>
    </w:p>
    <w:p>
      <w:pPr>
        <w:spacing w:after="0" w:line="112" w:lineRule="exact"/>
        <w:rPr>
          <w:sz w:val="20"/>
          <w:szCs w:val="20"/>
          <w:color w:val="auto"/>
        </w:rPr>
      </w:pPr>
    </w:p>
    <w:p>
      <w:pPr>
        <w:ind w:right="440" w:firstLine="440"/>
        <w:spacing w:after="0" w:line="290" w:lineRule="auto"/>
        <w:rPr>
          <w:sz w:val="20"/>
          <w:szCs w:val="20"/>
          <w:color w:val="auto"/>
        </w:rPr>
      </w:pPr>
      <w:r>
        <w:rPr>
          <w:rFonts w:ascii="Arial" w:cs="Arial" w:eastAsia="Arial" w:hAnsi="Arial"/>
          <w:sz w:val="15"/>
          <w:szCs w:val="15"/>
          <w:color w:val="auto"/>
        </w:rPr>
        <w:t>The Company has evaluated all subsequent events that have occurred after the date of the accompanying financial statements and determined that there were no events or transactions occurring which require recognition or disclosure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60"/>
          </w:cols>
          <w:pgMar w:left="240" w:top="500" w:right="29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None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12" w:lineRule="exact"/>
        <w:rPr>
          <w:sz w:val="20"/>
          <w:szCs w:val="20"/>
          <w:color w:val="auto"/>
        </w:rPr>
      </w:pPr>
    </w:p>
    <w:p>
      <w:pPr>
        <w:ind w:right="140" w:firstLine="440"/>
        <w:spacing w:after="0" w:line="287" w:lineRule="auto"/>
        <w:rPr>
          <w:sz w:val="20"/>
          <w:szCs w:val="20"/>
          <w:color w:val="auto"/>
        </w:rPr>
      </w:pPr>
      <w:r>
        <w:rPr>
          <w:rFonts w:ascii="Arial" w:cs="Arial" w:eastAsia="Arial" w:hAnsi="Arial"/>
          <w:sz w:val="14"/>
          <w:szCs w:val="14"/>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2019, our disclosure controls and procedures were effective.</w:t>
      </w:r>
    </w:p>
    <w:p>
      <w:pPr>
        <w:spacing w:after="0" w:line="145" w:lineRule="exact"/>
        <w:rPr>
          <w:sz w:val="20"/>
          <w:szCs w:val="20"/>
          <w:color w:val="auto"/>
        </w:rPr>
      </w:pPr>
    </w:p>
    <w:p>
      <w:pPr>
        <w:ind w:right="60" w:firstLine="440"/>
        <w:spacing w:after="0" w:line="269"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12" w:lineRule="exact"/>
        <w:rPr>
          <w:sz w:val="20"/>
          <w:szCs w:val="20"/>
          <w:color w:val="auto"/>
        </w:rPr>
      </w:pPr>
    </w:p>
    <w:p>
      <w:pPr>
        <w:ind w:firstLine="440"/>
        <w:spacing w:after="0" w:line="290" w:lineRule="auto"/>
        <w:rPr>
          <w:sz w:val="20"/>
          <w:szCs w:val="20"/>
          <w:color w:val="auto"/>
        </w:rPr>
      </w:pPr>
      <w:r>
        <w:rPr>
          <w:rFonts w:ascii="Arial" w:cs="Arial" w:eastAsia="Arial" w:hAnsi="Arial"/>
          <w:sz w:val="15"/>
          <w:szCs w:val="15"/>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12" w:lineRule="exact"/>
        <w:rPr>
          <w:sz w:val="20"/>
          <w:szCs w:val="20"/>
          <w:color w:val="auto"/>
        </w:rPr>
      </w:pPr>
    </w:p>
    <w:p>
      <w:pPr>
        <w:jc w:val="both"/>
        <w:ind w:right="140" w:firstLine="440"/>
        <w:spacing w:after="0" w:line="274" w:lineRule="auto"/>
        <w:rPr>
          <w:sz w:val="20"/>
          <w:szCs w:val="20"/>
          <w:color w:val="auto"/>
        </w:rPr>
      </w:pPr>
      <w:r>
        <w:rPr>
          <w:rFonts w:ascii="Arial" w:cs="Arial" w:eastAsia="Arial" w:hAnsi="Arial"/>
          <w:sz w:val="15"/>
          <w:szCs w:val="15"/>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9" w:lineRule="exact"/>
        <w:rPr>
          <w:sz w:val="20"/>
          <w:szCs w:val="20"/>
          <w:color w:val="auto"/>
        </w:rPr>
      </w:pPr>
    </w:p>
    <w:p>
      <w:pPr>
        <w:ind w:left="680" w:hanging="225"/>
        <w:spacing w:after="0"/>
        <w:tabs>
          <w:tab w:leader="none" w:pos="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our assets;</w:t>
      </w:r>
    </w:p>
    <w:p>
      <w:pPr>
        <w:spacing w:after="0" w:line="106" w:lineRule="exact"/>
        <w:rPr>
          <w:rFonts w:ascii="Arial" w:cs="Arial" w:eastAsia="Arial" w:hAnsi="Arial"/>
          <w:sz w:val="15"/>
          <w:szCs w:val="15"/>
          <w:color w:val="auto"/>
        </w:rPr>
      </w:pPr>
    </w:p>
    <w:p>
      <w:pPr>
        <w:ind w:left="760" w:right="340" w:hanging="305"/>
        <w:spacing w:after="0" w:line="328" w:lineRule="auto"/>
        <w:tabs>
          <w:tab w:leader="none" w:pos="672"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24" w:lineRule="exact"/>
        <w:rPr>
          <w:rFonts w:ascii="Arial" w:cs="Arial" w:eastAsia="Arial" w:hAnsi="Arial"/>
          <w:sz w:val="14"/>
          <w:szCs w:val="14"/>
          <w:color w:val="auto"/>
        </w:rPr>
      </w:pPr>
    </w:p>
    <w:p>
      <w:pPr>
        <w:ind w:left="760" w:right="200" w:hanging="305"/>
        <w:spacing w:after="0" w:line="290" w:lineRule="auto"/>
        <w:tabs>
          <w:tab w:leader="none" w:pos="672"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 reasonable assurance regarding prevention or timely detection of unauthorized acquisition, use or disposition of our assets that could have a material effect on the financial statements.</w:t>
      </w:r>
    </w:p>
    <w:p>
      <w:pPr>
        <w:spacing w:after="0" w:line="140" w:lineRule="exact"/>
        <w:rPr>
          <w:sz w:val="20"/>
          <w:szCs w:val="20"/>
          <w:color w:val="auto"/>
        </w:rPr>
      </w:pPr>
    </w:p>
    <w:p>
      <w:pPr>
        <w:ind w:right="20" w:firstLine="440"/>
        <w:spacing w:after="0" w:line="266" w:lineRule="auto"/>
        <w:rPr>
          <w:sz w:val="20"/>
          <w:szCs w:val="20"/>
          <w:color w:val="auto"/>
        </w:rPr>
      </w:pPr>
      <w:r>
        <w:rPr>
          <w:rFonts w:ascii="Arial" w:cs="Arial" w:eastAsia="Arial" w:hAnsi="Arial"/>
          <w:sz w:val="15"/>
          <w:szCs w:val="15"/>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75" w:name="page76"/>
    <w:bookmarkEnd w:id="75"/>
    <w:p>
      <w:pPr>
        <w:spacing w:after="0"/>
        <w:rPr>
          <w:sz w:val="20"/>
          <w:szCs w:val="20"/>
          <w:color w:val="auto"/>
        </w:rPr>
      </w:pPr>
      <w:r>
        <w:rPr>
          <w:rFonts w:ascii="Arial" w:cs="Arial" w:eastAsia="Arial" w:hAnsi="Arial"/>
          <w:sz w:val="15"/>
          <w:szCs w:val="15"/>
          <w:color w:val="auto"/>
        </w:rPr>
        <w:t>eliminate, this risk. Management is responsible for establishing and maintaining adequate internal control over financial reporting for the company.</w:t>
      </w:r>
    </w:p>
    <w:p>
      <w:pPr>
        <w:spacing w:after="0" w:line="199" w:lineRule="exact"/>
        <w:rPr>
          <w:sz w:val="20"/>
          <w:szCs w:val="20"/>
          <w:color w:val="auto"/>
        </w:rPr>
      </w:pPr>
    </w:p>
    <w:p>
      <w:pPr>
        <w:ind w:firstLine="440"/>
        <w:spacing w:after="0" w:line="274" w:lineRule="auto"/>
        <w:rPr>
          <w:sz w:val="20"/>
          <w:szCs w:val="20"/>
          <w:color w:val="auto"/>
        </w:rPr>
      </w:pPr>
      <w:r>
        <w:rPr>
          <w:rFonts w:ascii="Arial" w:cs="Arial" w:eastAsia="Arial" w:hAnsi="Arial"/>
          <w:sz w:val="15"/>
          <w:szCs w:val="15"/>
          <w:color w:val="auto"/>
        </w:rPr>
        <w:t>Management has used the framework set forth in the report entitled Internal Control-Integrated Framework (2013 framework) published by the Committee of Sponsoring Organizations of the Treadway Commission (2013 framework), known as COSO, to evaluate the effectiveness of our internal control over financial reporting. Based on this assessment, management has concluded that our internal control over financial reporting was effective as of December 31, 2019.</w:t>
      </w:r>
    </w:p>
    <w:p>
      <w:pPr>
        <w:spacing w:after="0" w:line="152" w:lineRule="exact"/>
        <w:rPr>
          <w:sz w:val="20"/>
          <w:szCs w:val="20"/>
          <w:color w:val="auto"/>
        </w:rPr>
      </w:pPr>
    </w:p>
    <w:p>
      <w:pPr>
        <w:ind w:right="360" w:firstLine="440"/>
        <w:spacing w:after="0" w:line="290" w:lineRule="auto"/>
        <w:rPr>
          <w:sz w:val="20"/>
          <w:szCs w:val="20"/>
          <w:color w:val="auto"/>
        </w:rPr>
      </w:pPr>
      <w:r>
        <w:rPr>
          <w:rFonts w:ascii="Arial" w:cs="Arial" w:eastAsia="Arial" w:hAnsi="Arial"/>
          <w:sz w:val="15"/>
          <w:szCs w:val="15"/>
          <w:color w:val="auto"/>
        </w:rPr>
        <w:t>BDO USA, LLP, an independent registered public accounting firm, has audited our consolidated financial statements included in this Annual Report on Form 10-K and has issued an attestation report, included herein, on the effectiveness of our internal control over financial reporting as of December 31, 2019.</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76" w:name="page77"/>
    <w:bookmarkEnd w:id="76"/>
    <w:p>
      <w:pPr>
        <w:ind w:left="16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MediciNova,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La Jolla, California</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228"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 xml:space="preserve">We have audited MediciNova, Inc.’s (the “Company’s”) internal control over financial reporting as of December 31, 2019, based on criteria established in </w:t>
      </w:r>
      <w:r>
        <w:rPr>
          <w:rFonts w:ascii="Arial" w:cs="Arial" w:eastAsia="Arial" w:hAnsi="Arial"/>
          <w:sz w:val="15"/>
          <w:szCs w:val="15"/>
          <w:i w:val="1"/>
          <w:iCs w:val="1"/>
          <w:color w:val="auto"/>
        </w:rPr>
        <w:t>Internal Control – 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(2013) </w:t>
      </w:r>
      <w:r>
        <w:rPr>
          <w:rFonts w:ascii="Arial" w:cs="Arial" w:eastAsia="Arial" w:hAnsi="Arial"/>
          <w:sz w:val="15"/>
          <w:szCs w:val="15"/>
          <w:color w:val="auto"/>
        </w:rPr>
        <w:t>issued by the Committee of Sponsoring Organizations of the Treadway Commission (the “COSO criteria”). In our opinion, the Company maintained, in all material</w:t>
      </w:r>
      <w:r>
        <w:rPr>
          <w:rFonts w:ascii="Arial" w:cs="Arial" w:eastAsia="Arial" w:hAnsi="Arial"/>
          <w:sz w:val="15"/>
          <w:szCs w:val="15"/>
          <w:i w:val="1"/>
          <w:iCs w:val="1"/>
          <w:color w:val="auto"/>
        </w:rPr>
        <w:t xml:space="preserve"> </w:t>
      </w:r>
      <w:r>
        <w:rPr>
          <w:rFonts w:ascii="Arial" w:cs="Arial" w:eastAsia="Arial" w:hAnsi="Arial"/>
          <w:sz w:val="15"/>
          <w:szCs w:val="15"/>
          <w:color w:val="auto"/>
        </w:rPr>
        <w:t>respects, effective internal control over financial reporting as of December 31, 2019, based on the COSO criteria</w:t>
      </w:r>
      <w:r>
        <w:rPr>
          <w:rFonts w:ascii="Arial" w:cs="Arial" w:eastAsia="Arial" w:hAnsi="Arial"/>
          <w:sz w:val="15"/>
          <w:szCs w:val="15"/>
          <w:i w:val="1"/>
          <w:iCs w:val="1"/>
          <w:color w:val="auto"/>
        </w:rPr>
        <w:t>.</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and subsidiaries as of December 31, 2019 and 2018, the related consolidated statements of operations and comprehensive loss, stockholders’ equity, and cash flows for each of the two years in the period ended December 31, 2019, and the related notes and our report dated February 13, 2020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jc w:val="both"/>
        <w:spacing w:after="0" w:line="32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77" w:name="page78"/>
    <w:bookmarkEnd w:id="77"/>
    <w:p>
      <w:pPr>
        <w:spacing w:after="0"/>
        <w:rPr>
          <w:sz w:val="20"/>
          <w:szCs w:val="20"/>
          <w:color w:val="auto"/>
        </w:rPr>
      </w:pPr>
      <w:r>
        <w:rPr>
          <w:rFonts w:ascii="Arial" w:cs="Arial" w:eastAsia="Arial" w:hAnsi="Arial"/>
          <w:sz w:val="15"/>
          <w:szCs w:val="15"/>
          <w:color w:val="auto"/>
        </w:rPr>
        <w:t>/s/ BDO USA, LLP</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San Diego, California</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February 13, 2020</w:t>
      </w:r>
    </w:p>
    <w:p>
      <w:pPr>
        <w:spacing w:after="0" w:line="200" w:lineRule="exact"/>
        <w:rPr>
          <w:sz w:val="20"/>
          <w:szCs w:val="20"/>
          <w:color w:val="auto"/>
        </w:rPr>
      </w:pPr>
    </w:p>
    <w:p>
      <w:pPr>
        <w:spacing w:after="0" w:line="347" w:lineRule="exact"/>
        <w:rPr>
          <w:sz w:val="20"/>
          <w:szCs w:val="20"/>
          <w:color w:val="auto"/>
        </w:rPr>
      </w:pPr>
    </w:p>
    <w:p>
      <w:pPr>
        <w:jc w:val="right"/>
        <w:ind w:right="44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0219"/>
          </w:cols>
          <w:pgMar w:left="240" w:top="500" w:right="1440" w:bottom="1440" w:gutter="0" w:footer="0" w:header="0"/>
        </w:sectPr>
      </w:pPr>
    </w:p>
    <w:bookmarkStart w:id="78" w:name="page79"/>
    <w:bookmarkEnd w:id="78"/>
    <w:p>
      <w:pPr>
        <w:spacing w:after="0"/>
        <w:rPr>
          <w:sz w:val="20"/>
          <w:szCs w:val="20"/>
          <w:color w:val="auto"/>
        </w:rPr>
      </w:pPr>
      <w:r>
        <w:rPr>
          <w:rFonts w:ascii="Arial" w:cs="Arial" w:eastAsia="Arial" w:hAnsi="Arial"/>
          <w:sz w:val="15"/>
          <w:szCs w:val="15"/>
          <w:b w:val="1"/>
          <w:bCs w:val="1"/>
          <w:color w:val="auto"/>
        </w:rPr>
        <w:t>Item 9B. Other Information</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373" w:lineRule="exact"/>
        <w:rPr>
          <w:sz w:val="20"/>
          <w:szCs w:val="20"/>
          <w:color w:val="auto"/>
        </w:rPr>
      </w:pPr>
    </w:p>
    <w:p>
      <w:pPr>
        <w:jc w:val="right"/>
        <w:ind w:right="44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0219"/>
          </w:cols>
          <w:pgMar w:left="240" w:top="308" w:right="1440" w:bottom="1440" w:gutter="0" w:footer="0" w:header="0"/>
        </w:sectPr>
      </w:pPr>
    </w:p>
    <w:bookmarkStart w:id="79" w:name="page80"/>
    <w:bookmarkEnd w:id="79"/>
    <w:p>
      <w:pPr>
        <w:jc w:val="center"/>
        <w:ind w:right="-6"/>
        <w:spacing w:after="0"/>
        <w:rPr>
          <w:sz w:val="20"/>
          <w:szCs w:val="20"/>
          <w:color w:val="auto"/>
        </w:rPr>
      </w:pPr>
      <w:r>
        <w:rPr>
          <w:rFonts w:ascii="Arial" w:cs="Arial" w:eastAsia="Arial" w:hAnsi="Arial"/>
          <w:sz w:val="15"/>
          <w:szCs w:val="15"/>
          <w:b w:val="1"/>
          <w:bCs w:val="1"/>
          <w:color w:val="auto"/>
        </w:rPr>
        <w:t>PART III</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12" w:lineRule="exact"/>
        <w:rPr>
          <w:sz w:val="20"/>
          <w:szCs w:val="20"/>
          <w:color w:val="auto"/>
        </w:rPr>
      </w:pPr>
    </w:p>
    <w:p>
      <w:pPr>
        <w:ind w:left="7" w:right="320" w:firstLine="440"/>
        <w:spacing w:after="0" w:line="269" w:lineRule="auto"/>
        <w:rPr>
          <w:sz w:val="20"/>
          <w:szCs w:val="20"/>
          <w:color w:val="auto"/>
        </w:rPr>
      </w:pPr>
      <w:r>
        <w:rPr>
          <w:rFonts w:ascii="Arial" w:cs="Arial" w:eastAsia="Arial" w:hAnsi="Arial"/>
          <w:sz w:val="15"/>
          <w:szCs w:val="15"/>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2020 Annual Meeting of Stockholders to be filed with the SEC within 120 days after the conclusion of our fiscal year ended December 31, 2019 (the “Proxy Statement”) and is incorporated in this Annual Report on Form 10-K by reference.</w:t>
      </w:r>
    </w:p>
    <w:p>
      <w:pPr>
        <w:spacing w:after="0" w:line="155" w:lineRule="exact"/>
        <w:rPr>
          <w:sz w:val="20"/>
          <w:szCs w:val="20"/>
          <w:color w:val="auto"/>
        </w:rPr>
      </w:pPr>
    </w:p>
    <w:p>
      <w:pPr>
        <w:ind w:left="7" w:firstLine="440"/>
        <w:spacing w:after="0" w:line="289" w:lineRule="auto"/>
        <w:rPr>
          <w:sz w:val="20"/>
          <w:szCs w:val="20"/>
          <w:color w:val="auto"/>
        </w:rPr>
      </w:pPr>
      <w:r>
        <w:rPr>
          <w:rFonts w:ascii="Arial" w:cs="Arial" w:eastAsia="Arial" w:hAnsi="Arial"/>
          <w:sz w:val="14"/>
          <w:szCs w:val="14"/>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4"/>
          <w:szCs w:val="14"/>
          <w:i w:val="1"/>
          <w:iCs w:val="1"/>
          <w:color w:val="auto"/>
        </w:rPr>
        <w:t>www.medicinova.com</w:t>
      </w:r>
      <w:r>
        <w:rPr>
          <w:rFonts w:ascii="Arial" w:cs="Arial" w:eastAsia="Arial" w:hAnsi="Arial"/>
          <w:sz w:val="14"/>
          <w:szCs w:val="14"/>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23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Item 11. Executive Compensation</w:t>
      </w:r>
    </w:p>
    <w:p>
      <w:pPr>
        <w:spacing w:after="0" w:line="112" w:lineRule="exact"/>
        <w:rPr>
          <w:sz w:val="20"/>
          <w:szCs w:val="20"/>
          <w:color w:val="auto"/>
        </w:rPr>
      </w:pPr>
    </w:p>
    <w:p>
      <w:pPr>
        <w:ind w:left="7" w:right="360" w:firstLine="440"/>
        <w:spacing w:after="0" w:line="290" w:lineRule="auto"/>
        <w:rPr>
          <w:sz w:val="20"/>
          <w:szCs w:val="20"/>
          <w:color w:val="auto"/>
        </w:rPr>
      </w:pPr>
      <w:r>
        <w:rPr>
          <w:rFonts w:ascii="Arial" w:cs="Arial" w:eastAsia="Arial" w:hAnsi="Arial"/>
          <w:sz w:val="15"/>
          <w:szCs w:val="15"/>
          <w:color w:val="auto"/>
        </w:rPr>
        <w:t>The information required by this item will be contained in the section titled “Executive Compensation” in our Proxy Statement and is incorporated in this Annual Report on Form 10-K by reference.</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12" w:lineRule="exact"/>
        <w:rPr>
          <w:sz w:val="20"/>
          <w:szCs w:val="20"/>
          <w:color w:val="auto"/>
        </w:rPr>
      </w:pPr>
    </w:p>
    <w:p>
      <w:pPr>
        <w:ind w:left="7" w:right="560" w:firstLine="440"/>
        <w:spacing w:after="0" w:line="290" w:lineRule="auto"/>
        <w:rPr>
          <w:sz w:val="20"/>
          <w:szCs w:val="20"/>
          <w:color w:val="auto"/>
        </w:rPr>
      </w:pPr>
      <w:r>
        <w:rPr>
          <w:rFonts w:ascii="Arial" w:cs="Arial" w:eastAsia="Arial" w:hAnsi="Arial"/>
          <w:sz w:val="15"/>
          <w:szCs w:val="15"/>
          <w:color w:val="auto"/>
        </w:rPr>
        <w:t>Certain of the information required by this item will be contained in the section titled “Security Ownership of Certain Beneficial Owners and Management” in our Proxy Statement and is incorporated in this Annual Report on Form 10-K by reference.</w:t>
      </w:r>
    </w:p>
    <w:p>
      <w:pPr>
        <w:spacing w:after="0" w:line="140" w:lineRule="exact"/>
        <w:rPr>
          <w:sz w:val="20"/>
          <w:szCs w:val="20"/>
          <w:color w:val="auto"/>
        </w:rPr>
      </w:pPr>
    </w:p>
    <w:p>
      <w:pPr>
        <w:ind w:left="447"/>
        <w:spacing w:after="0"/>
        <w:rPr>
          <w:sz w:val="20"/>
          <w:szCs w:val="20"/>
          <w:color w:val="auto"/>
        </w:rPr>
      </w:pPr>
      <w:r>
        <w:rPr>
          <w:rFonts w:ascii="Arial" w:cs="Arial" w:eastAsia="Arial" w:hAnsi="Arial"/>
          <w:sz w:val="14"/>
          <w:szCs w:val="14"/>
          <w:color w:val="auto"/>
        </w:rPr>
        <w:t>The following table provides information as of December 31, 2019 with respect to the shares of our common stock that may be issued under our existing equity compensation</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5"/>
          <w:szCs w:val="15"/>
          <w:color w:val="auto"/>
        </w:rPr>
        <w:t>plans.</w:t>
      </w:r>
    </w:p>
    <w:p>
      <w:pPr>
        <w:spacing w:after="0" w:line="27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Equity Compensation Plan Information</w:t>
      </w:r>
    </w:p>
    <w:p>
      <w:pPr>
        <w:spacing w:after="0" w:line="197"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Number of Securities</w:t>
            </w:r>
          </w:p>
        </w:tc>
        <w:tc>
          <w:tcPr>
            <w:tcW w:w="180" w:type="dxa"/>
            <w:vAlign w:val="bottom"/>
          </w:tcPr>
          <w:p>
            <w:pPr>
              <w:spacing w:after="0"/>
              <w:rPr>
                <w:sz w:val="12"/>
                <w:szCs w:val="12"/>
                <w:color w:val="auto"/>
              </w:rPr>
            </w:pPr>
          </w:p>
        </w:tc>
        <w:tc>
          <w:tcPr>
            <w:tcW w:w="154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w w:val="89"/>
              </w:rPr>
              <w:t>Weighted Average</w:t>
            </w:r>
          </w:p>
        </w:tc>
        <w:tc>
          <w:tcPr>
            <w:tcW w:w="16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Number of Securities</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60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4"/>
              </w:rPr>
              <w:t>Remaining</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8"/>
              </w:rPr>
              <w:t>to be Issued</w:t>
            </w:r>
          </w:p>
        </w:tc>
        <w:tc>
          <w:tcPr>
            <w:tcW w:w="180" w:type="dxa"/>
            <w:vAlign w:val="bottom"/>
          </w:tcPr>
          <w:p>
            <w:pPr>
              <w:spacing w:after="0"/>
              <w:rPr>
                <w:sz w:val="11"/>
                <w:szCs w:val="11"/>
                <w:color w:val="auto"/>
              </w:rPr>
            </w:pPr>
          </w:p>
        </w:tc>
        <w:tc>
          <w:tcPr>
            <w:tcW w:w="154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3"/>
              </w:rPr>
              <w:t>Exercise Price of</w:t>
            </w:r>
          </w:p>
        </w:tc>
        <w:tc>
          <w:tcPr>
            <w:tcW w:w="160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4"/>
              </w:rPr>
              <w:t>Available for Future</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1"/>
              </w:rPr>
              <w:t>Upon Exercise of</w:t>
            </w:r>
          </w:p>
        </w:tc>
        <w:tc>
          <w:tcPr>
            <w:tcW w:w="180" w:type="dxa"/>
            <w:vAlign w:val="bottom"/>
          </w:tcPr>
          <w:p>
            <w:pPr>
              <w:spacing w:after="0"/>
              <w:rPr>
                <w:sz w:val="11"/>
                <w:szCs w:val="11"/>
                <w:color w:val="auto"/>
              </w:rPr>
            </w:pPr>
          </w:p>
        </w:tc>
        <w:tc>
          <w:tcPr>
            <w:tcW w:w="154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3"/>
              </w:rPr>
              <w:t>Outstanding</w:t>
            </w:r>
          </w:p>
        </w:tc>
        <w:tc>
          <w:tcPr>
            <w:tcW w:w="160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9"/>
              </w:rPr>
              <w:t>Issuance</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vMerge w:val="restart"/>
          </w:tcPr>
          <w:p>
            <w:pPr>
              <w:spacing w:after="0"/>
              <w:rPr>
                <w:sz w:val="11"/>
                <w:szCs w:val="11"/>
                <w:color w:val="auto"/>
              </w:rPr>
            </w:pPr>
          </w:p>
        </w:tc>
        <w:tc>
          <w:tcPr>
            <w:tcW w:w="17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3"/>
              </w:rPr>
              <w:t>Outstanding</w:t>
            </w:r>
          </w:p>
        </w:tc>
        <w:tc>
          <w:tcPr>
            <w:tcW w:w="180" w:type="dxa"/>
            <w:vAlign w:val="bottom"/>
          </w:tcPr>
          <w:p>
            <w:pPr>
              <w:spacing w:after="0"/>
              <w:rPr>
                <w:sz w:val="11"/>
                <w:szCs w:val="11"/>
                <w:color w:val="auto"/>
              </w:rPr>
            </w:pPr>
          </w:p>
        </w:tc>
        <w:tc>
          <w:tcPr>
            <w:tcW w:w="154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2"/>
              </w:rPr>
              <w:t>Options</w:t>
            </w:r>
          </w:p>
        </w:tc>
        <w:tc>
          <w:tcPr>
            <w:tcW w:w="16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6"/>
              </w:rPr>
              <w:t>Under Equity</w:t>
            </w: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9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Options and Rights</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2"/>
                <w:szCs w:val="12"/>
                <w:b w:val="1"/>
                <w:bCs w:val="1"/>
                <w:color w:val="auto"/>
                <w:w w:val="93"/>
              </w:rPr>
              <w:t>and Rights</w:t>
            </w:r>
          </w:p>
        </w:tc>
        <w:tc>
          <w:tcPr>
            <w:tcW w:w="200" w:type="dxa"/>
            <w:vAlign w:val="bottom"/>
            <w:tcBorders>
              <w:bottom w:val="single" w:sz="8" w:color="CFF0FC"/>
            </w:tcBorders>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Compensation Plans</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410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Equity Compensation Plans Approved</w:t>
            </w:r>
          </w:p>
        </w:tc>
        <w:tc>
          <w:tcPr>
            <w:tcW w:w="1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00" w:type="dxa"/>
            <w:vAlign w:val="bottom"/>
            <w:gridSpan w:val="3"/>
            <w:shd w:val="clear" w:color="auto" w:fill="CFF0FC"/>
          </w:tcPr>
          <w:p>
            <w:pPr>
              <w:ind w:left="120"/>
              <w:spacing w:after="0"/>
              <w:rPr>
                <w:sz w:val="20"/>
                <w:szCs w:val="20"/>
                <w:color w:val="auto"/>
              </w:rPr>
            </w:pPr>
            <w:r>
              <w:rPr>
                <w:rFonts w:ascii="Arial" w:cs="Arial" w:eastAsia="Arial" w:hAnsi="Arial"/>
                <w:sz w:val="15"/>
                <w:szCs w:val="15"/>
                <w:color w:val="auto"/>
              </w:rPr>
              <w:t>by Stockholders (1)</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6,802,093</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5.61</w:t>
            </w:r>
          </w:p>
        </w:tc>
        <w:tc>
          <w:tcPr>
            <w:tcW w:w="200" w:type="dxa"/>
            <w:vAlign w:val="bottom"/>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2,487,228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100" w:type="dxa"/>
            <w:vAlign w:val="bottom"/>
            <w:gridSpan w:val="3"/>
          </w:tcPr>
          <w:p>
            <w:pPr>
              <w:spacing w:after="0"/>
              <w:rPr>
                <w:sz w:val="20"/>
                <w:szCs w:val="20"/>
                <w:color w:val="auto"/>
              </w:rPr>
            </w:pPr>
            <w:r>
              <w:rPr>
                <w:rFonts w:ascii="Arial" w:cs="Arial" w:eastAsia="Arial" w:hAnsi="Arial"/>
                <w:sz w:val="15"/>
                <w:szCs w:val="15"/>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6,802,093</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w:t>
            </w:r>
          </w:p>
        </w:tc>
        <w:tc>
          <w:tcPr>
            <w:tcW w:w="2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2,487,228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27" w:right="240" w:hanging="427"/>
        <w:spacing w:after="0" w:line="274" w:lineRule="auto"/>
        <w:tabs>
          <w:tab w:leader="none" w:pos="427"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297180</wp:posOffset>
            </wp:positionV>
            <wp:extent cx="730631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7"/>
          </w:cols>
          <w:pgMar w:left="233" w:top="308" w:right="21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12" w:lineRule="exact"/>
        <w:rPr>
          <w:sz w:val="20"/>
          <w:szCs w:val="20"/>
          <w:color w:val="auto"/>
        </w:rPr>
      </w:pPr>
    </w:p>
    <w:p>
      <w:pPr>
        <w:ind w:right="120" w:firstLine="440"/>
        <w:spacing w:after="0" w:line="290" w:lineRule="auto"/>
        <w:rPr>
          <w:sz w:val="20"/>
          <w:szCs w:val="20"/>
          <w:color w:val="auto"/>
        </w:rPr>
      </w:pPr>
      <w:r>
        <w:rPr>
          <w:rFonts w:ascii="Arial" w:cs="Arial" w:eastAsia="Arial" w:hAnsi="Arial"/>
          <w:sz w:val="15"/>
          <w:szCs w:val="15"/>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12" w:lineRule="exact"/>
        <w:rPr>
          <w:sz w:val="20"/>
          <w:szCs w:val="20"/>
          <w:color w:val="auto"/>
        </w:rPr>
      </w:pPr>
    </w:p>
    <w:p>
      <w:pPr>
        <w:ind w:firstLine="440"/>
        <w:spacing w:after="0" w:line="290" w:lineRule="auto"/>
        <w:rPr>
          <w:sz w:val="20"/>
          <w:szCs w:val="20"/>
          <w:color w:val="auto"/>
        </w:rPr>
      </w:pPr>
      <w:r>
        <w:rPr>
          <w:rFonts w:ascii="Arial" w:cs="Arial" w:eastAsia="Arial" w:hAnsi="Arial"/>
          <w:sz w:val="15"/>
          <w:szCs w:val="15"/>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297180</wp:posOffset>
            </wp:positionV>
            <wp:extent cx="730631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040"/>
          </w:cols>
          <w:pgMar w:left="240" w:top="587" w:right="61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5"/>
          <w:szCs w:val="15"/>
          <w:b w:val="1"/>
          <w:bCs w:val="1"/>
          <w:color w:val="auto"/>
        </w:rPr>
        <w:t>PART IV</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112" w:lineRule="exact"/>
        <w:rPr>
          <w:sz w:val="20"/>
          <w:szCs w:val="20"/>
          <w:color w:val="auto"/>
        </w:rPr>
      </w:pPr>
    </w:p>
    <w:p>
      <w:pPr>
        <w:ind w:left="640" w:hanging="207"/>
        <w:spacing w:after="0"/>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Documents filed as part of this report.</w:t>
      </w:r>
    </w:p>
    <w:p>
      <w:pPr>
        <w:spacing w:after="0" w:line="199" w:lineRule="exact"/>
        <w:rPr>
          <w:sz w:val="20"/>
          <w:szCs w:val="20"/>
          <w:color w:val="auto"/>
        </w:rPr>
      </w:pPr>
    </w:p>
    <w:p>
      <w:pPr>
        <w:ind w:right="100" w:firstLine="433"/>
        <w:spacing w:after="0" w:line="290" w:lineRule="auto"/>
        <w:tabs>
          <w:tab w:leader="none" w:pos="595"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Statements. </w:t>
      </w:r>
      <w:r>
        <w:rPr>
          <w:rFonts w:ascii="Arial" w:cs="Arial" w:eastAsia="Arial" w:hAnsi="Arial"/>
          <w:sz w:val="15"/>
          <w:szCs w:val="15"/>
          <w:color w:val="auto"/>
        </w:rPr>
        <w:t>The following financial statements of MediciNova, Inc. and Reports of BDO USA, LLP, an independent registered public accounting firm, are included</w:t>
      </w:r>
      <w:r>
        <w:rPr>
          <w:rFonts w:ascii="Arial" w:cs="Arial" w:eastAsia="Arial" w:hAnsi="Arial"/>
          <w:sz w:val="15"/>
          <w:szCs w:val="15"/>
          <w:i w:val="1"/>
          <w:iCs w:val="1"/>
          <w:color w:val="auto"/>
        </w:rPr>
        <w:t xml:space="preserve"> </w:t>
      </w:r>
      <w:r>
        <w:rPr>
          <w:rFonts w:ascii="Arial" w:cs="Arial" w:eastAsia="Arial" w:hAnsi="Arial"/>
          <w:sz w:val="15"/>
          <w:szCs w:val="15"/>
          <w:color w:val="auto"/>
        </w:rPr>
        <w:t>in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gridSpan w:val="7"/>
          </w:tcPr>
          <w:p>
            <w:pPr>
              <w:ind w:left="140"/>
              <w:spacing w:after="0"/>
              <w:rPr>
                <w:sz w:val="20"/>
                <w:szCs w:val="20"/>
                <w:color w:val="auto"/>
              </w:rPr>
            </w:pPr>
            <w:r>
              <w:rPr>
                <w:rFonts w:ascii="Arial" w:cs="Arial" w:eastAsia="Arial" w:hAnsi="Arial"/>
                <w:sz w:val="12"/>
                <w:szCs w:val="12"/>
                <w:b w:val="1"/>
                <w:bCs w:val="1"/>
                <w:color w:val="auto"/>
                <w:w w:val="83"/>
              </w:rPr>
              <w:t>Page</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0000EE"/>
            </w:tcBorders>
            <w:gridSpan w:val="12"/>
          </w:tcPr>
          <w:p>
            <w:pPr>
              <w:spacing w:after="0" w:line="143" w:lineRule="exact"/>
              <w:rPr>
                <w:rFonts w:ascii="Arial" w:cs="Arial" w:eastAsia="Arial" w:hAnsi="Arial"/>
                <w:sz w:val="15"/>
                <w:szCs w:val="15"/>
                <w:color w:val="0000EE"/>
                <w:w w:val="93"/>
              </w:rPr>
            </w:pPr>
            <w:hyperlink w:anchor="page57">
              <w:r>
                <w:rPr>
                  <w:rFonts w:ascii="Arial" w:cs="Arial" w:eastAsia="Arial" w:hAnsi="Arial"/>
                  <w:sz w:val="15"/>
                  <w:szCs w:val="15"/>
                  <w:color w:val="0000EE"/>
                  <w:w w:val="93"/>
                </w:rPr>
                <w:t>Report of Independent Registered Public Accounting Firm</w:t>
              </w:r>
            </w:hyperlink>
          </w:p>
        </w:tc>
        <w:tc>
          <w:tcPr>
            <w:tcW w:w="7260" w:type="dxa"/>
            <w:vAlign w:val="bottom"/>
            <w:gridSpan w:val="7"/>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jc w:val="right"/>
              <w:spacing w:after="0" w:line="143" w:lineRule="exact"/>
              <w:rPr>
                <w:sz w:val="20"/>
                <w:szCs w:val="20"/>
                <w:color w:val="auto"/>
              </w:rPr>
            </w:pPr>
            <w:r>
              <w:rPr>
                <w:rFonts w:ascii="Arial" w:cs="Arial" w:eastAsia="Arial" w:hAnsi="Arial"/>
                <w:sz w:val="15"/>
                <w:szCs w:val="15"/>
                <w:color w:val="auto"/>
                <w:w w:val="83"/>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280" w:type="dxa"/>
            <w:vAlign w:val="bottom"/>
            <w:gridSpan w:val="26"/>
          </w:tcPr>
          <w:p>
            <w:pPr>
              <w:spacing w:after="0" w:line="166" w:lineRule="exact"/>
              <w:rPr>
                <w:rFonts w:ascii="Arial" w:cs="Arial" w:eastAsia="Arial" w:hAnsi="Arial"/>
                <w:sz w:val="15"/>
                <w:szCs w:val="15"/>
                <w:color w:val="0000EE"/>
              </w:rPr>
            </w:pPr>
            <w:hyperlink w:anchor="page58">
              <w:r>
                <w:rPr>
                  <w:rFonts w:ascii="Arial" w:cs="Arial" w:eastAsia="Arial" w:hAnsi="Arial"/>
                  <w:sz w:val="15"/>
                  <w:szCs w:val="15"/>
                  <w:color w:val="0000EE"/>
                </w:rPr>
                <w:t>Consolidated Balance Sheets</w:t>
              </w:r>
            </w:hyperlink>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auto"/>
                <w:w w:val="83"/>
              </w:rPr>
              <w:t>58</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20" w:type="dxa"/>
            <w:vAlign w:val="bottom"/>
            <w:tcBorders>
              <w:bottom w:val="single" w:sz="8" w:color="0000EE"/>
            </w:tcBorders>
            <w:gridSpan w:val="13"/>
          </w:tcPr>
          <w:p>
            <w:pPr>
              <w:spacing w:after="0" w:line="166" w:lineRule="exact"/>
              <w:rPr>
                <w:rFonts w:ascii="Arial" w:cs="Arial" w:eastAsia="Arial" w:hAnsi="Arial"/>
                <w:sz w:val="15"/>
                <w:szCs w:val="15"/>
                <w:color w:val="0000EE"/>
                <w:w w:val="91"/>
              </w:rPr>
            </w:pPr>
            <w:hyperlink w:anchor="page59">
              <w:r>
                <w:rPr>
                  <w:rFonts w:ascii="Arial" w:cs="Arial" w:eastAsia="Arial" w:hAnsi="Arial"/>
                  <w:sz w:val="15"/>
                  <w:szCs w:val="15"/>
                  <w:color w:val="0000EE"/>
                  <w:w w:val="91"/>
                </w:rPr>
                <w:t>Consolidated Statements of Operations and Comprehensive Loss</w:t>
              </w:r>
            </w:hyperlink>
          </w:p>
        </w:tc>
        <w:tc>
          <w:tcPr>
            <w:tcW w:w="7260" w:type="dxa"/>
            <w:vAlign w:val="bottom"/>
            <w:gridSpan w:val="13"/>
          </w:tcPr>
          <w:p>
            <w:pPr>
              <w:spacing w:after="0"/>
              <w:rPr>
                <w:sz w:val="14"/>
                <w:szCs w:val="14"/>
                <w:color w:val="auto"/>
              </w:rPr>
            </w:pPr>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auto"/>
                <w:w w:val="83"/>
              </w:rPr>
              <w:t>59</w:t>
            </w:r>
          </w:p>
        </w:tc>
        <w:tc>
          <w:tcPr>
            <w:tcW w:w="0" w:type="dxa"/>
            <w:vAlign w:val="bottom"/>
          </w:tcPr>
          <w:p>
            <w:pPr>
              <w:spacing w:after="0"/>
              <w:rPr>
                <w:sz w:val="1"/>
                <w:szCs w:val="1"/>
                <w:color w:val="auto"/>
              </w:rPr>
            </w:pPr>
          </w:p>
        </w:tc>
      </w:tr>
      <w:tr>
        <w:trPr>
          <w:trHeight w:val="166"/>
        </w:trPr>
        <w:tc>
          <w:tcPr>
            <w:tcW w:w="11280" w:type="dxa"/>
            <w:vAlign w:val="bottom"/>
            <w:gridSpan w:val="26"/>
          </w:tcPr>
          <w:p>
            <w:pPr>
              <w:spacing w:after="0" w:line="166" w:lineRule="exact"/>
              <w:rPr>
                <w:rFonts w:ascii="Arial" w:cs="Arial" w:eastAsia="Arial" w:hAnsi="Arial"/>
                <w:sz w:val="15"/>
                <w:szCs w:val="15"/>
                <w:color w:val="0000EE"/>
              </w:rPr>
            </w:pPr>
            <w:hyperlink w:anchor="page60">
              <w:r>
                <w:rPr>
                  <w:rFonts w:ascii="Arial" w:cs="Arial" w:eastAsia="Arial" w:hAnsi="Arial"/>
                  <w:sz w:val="15"/>
                  <w:szCs w:val="15"/>
                  <w:color w:val="0000EE"/>
                </w:rPr>
                <w:t>Consolidated Statements of Stockholders’ Equity</w:t>
              </w:r>
            </w:hyperlink>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auto"/>
                <w:w w:val="83"/>
              </w:rPr>
              <w:t>60</w:t>
            </w:r>
          </w:p>
        </w:tc>
        <w:tc>
          <w:tcPr>
            <w:tcW w:w="0" w:type="dxa"/>
            <w:vAlign w:val="bottom"/>
          </w:tcPr>
          <w:p>
            <w:pPr>
              <w:spacing w:after="0"/>
              <w:rPr>
                <w:sz w:val="1"/>
                <w:szCs w:val="1"/>
                <w:color w:val="auto"/>
              </w:rPr>
            </w:pPr>
          </w:p>
        </w:tc>
      </w:tr>
      <w:tr>
        <w:trPr>
          <w:trHeight w:val="166"/>
        </w:trPr>
        <w:tc>
          <w:tcPr>
            <w:tcW w:w="2460" w:type="dxa"/>
            <w:vAlign w:val="bottom"/>
            <w:tcBorders>
              <w:top w:val="single" w:sz="8" w:color="0000EE"/>
              <w:bottom w:val="single" w:sz="8" w:color="0000EE"/>
            </w:tcBorders>
            <w:gridSpan w:val="8"/>
          </w:tcPr>
          <w:p>
            <w:pPr>
              <w:spacing w:after="0" w:line="166" w:lineRule="exact"/>
              <w:rPr>
                <w:rFonts w:ascii="Arial" w:cs="Arial" w:eastAsia="Arial" w:hAnsi="Arial"/>
                <w:sz w:val="15"/>
                <w:szCs w:val="15"/>
                <w:color w:val="0000EE"/>
                <w:w w:val="91"/>
              </w:rPr>
            </w:pPr>
            <w:hyperlink w:anchor="page61">
              <w:r>
                <w:rPr>
                  <w:rFonts w:ascii="Arial" w:cs="Arial" w:eastAsia="Arial" w:hAnsi="Arial"/>
                  <w:sz w:val="15"/>
                  <w:szCs w:val="15"/>
                  <w:color w:val="0000EE"/>
                  <w:w w:val="91"/>
                </w:rPr>
                <w:t>Consolidated Statements of Cash Flows</w:t>
              </w:r>
            </w:hyperlink>
          </w:p>
        </w:tc>
        <w:tc>
          <w:tcPr>
            <w:tcW w:w="580" w:type="dxa"/>
            <w:vAlign w:val="bottom"/>
            <w:tcBorders>
              <w:top w:val="single" w:sz="8" w:color="0000EE"/>
            </w:tcBorders>
            <w:gridSpan w:val="3"/>
          </w:tcPr>
          <w:p>
            <w:pPr>
              <w:spacing w:after="0"/>
              <w:rPr>
                <w:sz w:val="14"/>
                <w:szCs w:val="14"/>
                <w:color w:val="auto"/>
              </w:rPr>
            </w:pPr>
          </w:p>
        </w:tc>
        <w:tc>
          <w:tcPr>
            <w:tcW w:w="8240" w:type="dxa"/>
            <w:vAlign w:val="bottom"/>
            <w:gridSpan w:val="15"/>
          </w:tcPr>
          <w:p>
            <w:pPr>
              <w:spacing w:after="0"/>
              <w:rPr>
                <w:sz w:val="14"/>
                <w:szCs w:val="14"/>
                <w:color w:val="auto"/>
              </w:rPr>
            </w:pPr>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auto"/>
                <w:w w:val="83"/>
              </w:rPr>
              <w:t>61</w:t>
            </w:r>
          </w:p>
        </w:tc>
        <w:tc>
          <w:tcPr>
            <w:tcW w:w="0" w:type="dxa"/>
            <w:vAlign w:val="bottom"/>
          </w:tcPr>
          <w:p>
            <w:pPr>
              <w:spacing w:after="0"/>
              <w:rPr>
                <w:sz w:val="1"/>
                <w:szCs w:val="1"/>
                <w:color w:val="auto"/>
              </w:rPr>
            </w:pPr>
          </w:p>
        </w:tc>
      </w:tr>
      <w:tr>
        <w:trPr>
          <w:trHeight w:val="166"/>
        </w:trPr>
        <w:tc>
          <w:tcPr>
            <w:tcW w:w="2700" w:type="dxa"/>
            <w:vAlign w:val="bottom"/>
            <w:tcBorders>
              <w:bottom w:val="single" w:sz="8" w:color="0000EE"/>
            </w:tcBorders>
            <w:gridSpan w:val="9"/>
          </w:tcPr>
          <w:p>
            <w:pPr>
              <w:spacing w:after="0" w:line="166" w:lineRule="exact"/>
              <w:rPr>
                <w:rFonts w:ascii="Arial" w:cs="Arial" w:eastAsia="Arial" w:hAnsi="Arial"/>
                <w:sz w:val="15"/>
                <w:szCs w:val="15"/>
                <w:color w:val="0000EE"/>
                <w:w w:val="91"/>
              </w:rPr>
            </w:pPr>
            <w:hyperlink w:anchor="page62">
              <w:r>
                <w:rPr>
                  <w:rFonts w:ascii="Arial" w:cs="Arial" w:eastAsia="Arial" w:hAnsi="Arial"/>
                  <w:sz w:val="15"/>
                  <w:szCs w:val="15"/>
                  <w:color w:val="0000EE"/>
                  <w:w w:val="91"/>
                </w:rPr>
                <w:t>Notes to Consolidated Financial Statements</w:t>
              </w:r>
            </w:hyperlink>
          </w:p>
        </w:tc>
        <w:tc>
          <w:tcPr>
            <w:tcW w:w="8580" w:type="dxa"/>
            <w:vAlign w:val="bottom"/>
            <w:gridSpan w:val="17"/>
          </w:tcPr>
          <w:p>
            <w:pPr>
              <w:spacing w:after="0"/>
              <w:rPr>
                <w:sz w:val="14"/>
                <w:szCs w:val="14"/>
                <w:color w:val="auto"/>
              </w:rPr>
            </w:pPr>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auto"/>
                <w:w w:val="83"/>
              </w:rPr>
              <w:t>62</w:t>
            </w:r>
          </w:p>
        </w:tc>
        <w:tc>
          <w:tcPr>
            <w:tcW w:w="0" w:type="dxa"/>
            <w:vAlign w:val="bottom"/>
          </w:tcPr>
          <w:p>
            <w:pPr>
              <w:spacing w:after="0"/>
              <w:rPr>
                <w:sz w:val="1"/>
                <w:szCs w:val="1"/>
                <w:color w:val="auto"/>
              </w:rPr>
            </w:pPr>
          </w:p>
        </w:tc>
      </w:tr>
      <w:tr>
        <w:trPr>
          <w:trHeight w:val="421"/>
        </w:trPr>
        <w:tc>
          <w:tcPr>
            <w:tcW w:w="60" w:type="dxa"/>
            <w:vAlign w:val="bottom"/>
          </w:tcPr>
          <w:p>
            <w:pPr>
              <w:spacing w:after="0"/>
              <w:rPr>
                <w:sz w:val="24"/>
                <w:szCs w:val="24"/>
                <w:color w:val="auto"/>
              </w:rPr>
            </w:pPr>
          </w:p>
        </w:tc>
        <w:tc>
          <w:tcPr>
            <w:tcW w:w="11220" w:type="dxa"/>
            <w:vAlign w:val="bottom"/>
            <w:gridSpan w:val="25"/>
          </w:tcPr>
          <w:p>
            <w:pPr>
              <w:ind w:left="380"/>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5"/>
                <w:szCs w:val="15"/>
                <w:i w:val="1"/>
                <w:iCs w:val="1"/>
                <w:color w:val="auto"/>
              </w:rPr>
              <w:t>Financial Statement Schedules.</w:t>
            </w:r>
            <w:r>
              <w:rPr>
                <w:rFonts w:ascii="Arial" w:cs="Arial" w:eastAsia="Arial" w:hAnsi="Arial"/>
                <w:sz w:val="15"/>
                <w:szCs w:val="15"/>
                <w:color w:val="auto"/>
              </w:rPr>
              <w:t xml:space="preserve"> None.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0" w:type="dxa"/>
            <w:vAlign w:val="bottom"/>
          </w:tcPr>
          <w:p>
            <w:pPr>
              <w:spacing w:after="0"/>
              <w:rPr>
                <w:sz w:val="24"/>
                <w:szCs w:val="24"/>
                <w:color w:val="auto"/>
              </w:rPr>
            </w:pPr>
          </w:p>
        </w:tc>
        <w:tc>
          <w:tcPr>
            <w:tcW w:w="11220" w:type="dxa"/>
            <w:vAlign w:val="bottom"/>
            <w:gridSpan w:val="25"/>
          </w:tcPr>
          <w:p>
            <w:pPr>
              <w:ind w:left="380"/>
              <w:spacing w:after="0"/>
              <w:rPr>
                <w:sz w:val="20"/>
                <w:szCs w:val="20"/>
                <w:color w:val="auto"/>
              </w:rPr>
            </w:pPr>
            <w:r>
              <w:rPr>
                <w:rFonts w:ascii="Arial" w:cs="Arial" w:eastAsia="Arial" w:hAnsi="Arial"/>
                <w:sz w:val="15"/>
                <w:szCs w:val="15"/>
                <w:color w:val="auto"/>
              </w:rPr>
              <w:t xml:space="preserve">3. </w:t>
            </w:r>
            <w:r>
              <w:rPr>
                <w:rFonts w:ascii="Arial" w:cs="Arial" w:eastAsia="Arial" w:hAnsi="Arial"/>
                <w:sz w:val="15"/>
                <w:szCs w:val="15"/>
                <w:i w:val="1"/>
                <w:iCs w:val="1"/>
                <w:color w:val="auto"/>
              </w:rPr>
              <w:t>Exhibits.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Exhibit</w:t>
            </w:r>
          </w:p>
        </w:tc>
        <w:tc>
          <w:tcPr>
            <w:tcW w:w="10360" w:type="dxa"/>
            <w:vAlign w:val="bottom"/>
            <w:gridSpan w:val="23"/>
            <w:vMerge w:val="restart"/>
          </w:tcPr>
          <w:p>
            <w:pPr>
              <w:spacing w:after="0"/>
              <w:rPr>
                <w:sz w:val="20"/>
                <w:szCs w:val="20"/>
                <w:color w:val="auto"/>
              </w:rPr>
            </w:pPr>
            <w:r>
              <w:rPr>
                <w:rFonts w:ascii="Arial" w:cs="Arial" w:eastAsia="Arial" w:hAnsi="Arial"/>
                <w:sz w:val="12"/>
                <w:szCs w:val="12"/>
                <w:b w:val="1"/>
                <w:bCs w:val="1"/>
                <w:color w:val="auto"/>
              </w:rPr>
              <w:t>Description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0360" w:type="dxa"/>
            <w:vAlign w:val="bottom"/>
            <w:tcBorders>
              <w:bottom w:val="single" w:sz="8" w:color="auto"/>
            </w:tcBorders>
            <w:gridSpan w:val="23"/>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780" w:type="dxa"/>
            <w:vAlign w:val="bottom"/>
            <w:gridSpan w:val="2"/>
          </w:tcPr>
          <w:p>
            <w:pPr>
              <w:jc w:val="center"/>
              <w:ind w:right="228"/>
              <w:spacing w:after="0"/>
              <w:rPr>
                <w:sz w:val="20"/>
                <w:szCs w:val="20"/>
                <w:color w:val="auto"/>
              </w:rPr>
            </w:pPr>
            <w:r>
              <w:rPr>
                <w:rFonts w:ascii="Arial" w:cs="Arial" w:eastAsia="Arial" w:hAnsi="Arial"/>
                <w:sz w:val="15"/>
                <w:szCs w:val="15"/>
                <w:color w:val="auto"/>
                <w:w w:val="95"/>
              </w:rPr>
              <w:t>3.1</w:t>
            </w:r>
          </w:p>
        </w:tc>
        <w:tc>
          <w:tcPr>
            <w:tcW w:w="140" w:type="dxa"/>
            <w:vAlign w:val="bottom"/>
          </w:tcPr>
          <w:p>
            <w:pPr>
              <w:spacing w:after="0"/>
              <w:rPr>
                <w:sz w:val="21"/>
                <w:szCs w:val="21"/>
                <w:color w:val="auto"/>
              </w:rPr>
            </w:pPr>
          </w:p>
        </w:tc>
        <w:tc>
          <w:tcPr>
            <w:tcW w:w="10220" w:type="dxa"/>
            <w:vAlign w:val="bottom"/>
            <w:tcBorders>
              <w:bottom w:val="single" w:sz="8" w:color="0000EE"/>
            </w:tcBorders>
            <w:gridSpan w:val="20"/>
          </w:tcPr>
          <w:p>
            <w:pPr>
              <w:spacing w:after="0"/>
              <w:rPr>
                <w:rFonts w:ascii="Arial" w:cs="Arial" w:eastAsia="Arial" w:hAnsi="Arial"/>
                <w:sz w:val="15"/>
                <w:szCs w:val="15"/>
                <w:color w:val="0000EE"/>
                <w:w w:val="93"/>
              </w:rPr>
            </w:pPr>
            <w:hyperlink r:id="rId107">
              <w:r>
                <w:rPr>
                  <w:rFonts w:ascii="Arial" w:cs="Arial" w:eastAsia="Arial" w:hAnsi="Arial"/>
                  <w:sz w:val="15"/>
                  <w:szCs w:val="15"/>
                  <w:color w:val="0000EE"/>
                  <w:w w:val="93"/>
                </w:rPr>
                <w:t>Restated Certificate of Incorporation of the Registrant, as amended (incorporated by reference to Exhibit 3.1 of the Registrant’s Quarterly Report on Form 10-Q filed</w:t>
              </w:r>
            </w:hyperlink>
          </w:p>
        </w:tc>
        <w:tc>
          <w:tcPr>
            <w:tcW w:w="1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60" w:type="dxa"/>
            <w:vAlign w:val="bottom"/>
            <w:gridSpan w:val="23"/>
          </w:tcPr>
          <w:p>
            <w:pPr>
              <w:spacing w:after="0" w:line="166" w:lineRule="exact"/>
              <w:rPr>
                <w:rFonts w:ascii="Arial" w:cs="Arial" w:eastAsia="Arial" w:hAnsi="Arial"/>
                <w:sz w:val="15"/>
                <w:szCs w:val="15"/>
                <w:color w:val="0000EE"/>
              </w:rPr>
            </w:pPr>
            <w:hyperlink r:id="rId107">
              <w:r>
                <w:rPr>
                  <w:rFonts w:ascii="Arial" w:cs="Arial" w:eastAsia="Arial" w:hAnsi="Arial"/>
                  <w:sz w:val="15"/>
                  <w:szCs w:val="15"/>
                  <w:color w:val="0000EE"/>
                </w:rPr>
                <w:t>August 9, 2012).</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gridSpan w:val="2"/>
          </w:tcPr>
          <w:p>
            <w:pPr>
              <w:jc w:val="center"/>
              <w:ind w:right="228"/>
              <w:spacing w:after="0"/>
              <w:rPr>
                <w:sz w:val="20"/>
                <w:szCs w:val="20"/>
                <w:color w:val="auto"/>
              </w:rPr>
            </w:pPr>
            <w:r>
              <w:rPr>
                <w:rFonts w:ascii="Arial" w:cs="Arial" w:eastAsia="Arial" w:hAnsi="Arial"/>
                <w:sz w:val="15"/>
                <w:szCs w:val="15"/>
                <w:color w:val="auto"/>
                <w:w w:val="95"/>
              </w:rPr>
              <w:t>3.2</w:t>
            </w:r>
          </w:p>
        </w:tc>
        <w:tc>
          <w:tcPr>
            <w:tcW w:w="140" w:type="dxa"/>
            <w:vAlign w:val="bottom"/>
          </w:tcPr>
          <w:p>
            <w:pPr>
              <w:spacing w:after="0"/>
              <w:rPr>
                <w:sz w:val="23"/>
                <w:szCs w:val="23"/>
                <w:color w:val="auto"/>
              </w:rPr>
            </w:pPr>
          </w:p>
        </w:tc>
        <w:tc>
          <w:tcPr>
            <w:tcW w:w="9940" w:type="dxa"/>
            <w:vAlign w:val="bottom"/>
            <w:tcBorders>
              <w:bottom w:val="single" w:sz="8" w:color="0000EE"/>
            </w:tcBorders>
            <w:gridSpan w:val="15"/>
          </w:tcPr>
          <w:p>
            <w:pPr>
              <w:spacing w:after="0"/>
              <w:rPr>
                <w:rFonts w:ascii="Arial" w:cs="Arial" w:eastAsia="Arial" w:hAnsi="Arial"/>
                <w:sz w:val="15"/>
                <w:szCs w:val="15"/>
                <w:color w:val="0000EE"/>
                <w:w w:val="93"/>
              </w:rPr>
            </w:pPr>
            <w:hyperlink r:id="rId108">
              <w:r>
                <w:rPr>
                  <w:rFonts w:ascii="Arial" w:cs="Arial" w:eastAsia="Arial" w:hAnsi="Arial"/>
                  <w:sz w:val="15"/>
                  <w:szCs w:val="15"/>
                  <w:color w:val="0000EE"/>
                  <w:w w:val="93"/>
                </w:rPr>
                <w:t>Amended and Restated Bylaws of the Registrant (incorporated by reference to Exhibit 3.4 of the Registrant’s Registration Statement on Form S-1 (File No. 333-</w:t>
              </w:r>
            </w:hyperlink>
          </w:p>
        </w:tc>
        <w:tc>
          <w:tcPr>
            <w:tcW w:w="420" w:type="dxa"/>
            <w:vAlign w:val="bottom"/>
            <w:gridSpan w:val="8"/>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60" w:type="dxa"/>
            <w:vAlign w:val="bottom"/>
            <w:gridSpan w:val="23"/>
          </w:tcPr>
          <w:p>
            <w:pPr>
              <w:spacing w:after="0" w:line="166" w:lineRule="exact"/>
              <w:rPr>
                <w:rFonts w:ascii="Arial" w:cs="Arial" w:eastAsia="Arial" w:hAnsi="Arial"/>
                <w:sz w:val="15"/>
                <w:szCs w:val="15"/>
                <w:color w:val="0000EE"/>
              </w:rPr>
            </w:pPr>
            <w:hyperlink r:id="rId108">
              <w:r>
                <w:rPr>
                  <w:rFonts w:ascii="Arial" w:cs="Arial" w:eastAsia="Arial" w:hAnsi="Arial"/>
                  <w:sz w:val="15"/>
                  <w:szCs w:val="15"/>
                  <w:color w:val="0000EE"/>
                </w:rPr>
                <w:t>119433) filed October 1, 2004).</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gridSpan w:val="2"/>
          </w:tcPr>
          <w:p>
            <w:pPr>
              <w:jc w:val="center"/>
              <w:ind w:right="228"/>
              <w:spacing w:after="0"/>
              <w:rPr>
                <w:sz w:val="20"/>
                <w:szCs w:val="20"/>
                <w:color w:val="auto"/>
              </w:rPr>
            </w:pPr>
            <w:r>
              <w:rPr>
                <w:rFonts w:ascii="Arial" w:cs="Arial" w:eastAsia="Arial" w:hAnsi="Arial"/>
                <w:sz w:val="15"/>
                <w:szCs w:val="15"/>
                <w:color w:val="auto"/>
                <w:w w:val="95"/>
              </w:rPr>
              <w:t>4.1</w:t>
            </w:r>
          </w:p>
        </w:tc>
        <w:tc>
          <w:tcPr>
            <w:tcW w:w="140" w:type="dxa"/>
            <w:vAlign w:val="bottom"/>
          </w:tcPr>
          <w:p>
            <w:pPr>
              <w:spacing w:after="0"/>
              <w:rPr>
                <w:sz w:val="23"/>
                <w:szCs w:val="23"/>
                <w:color w:val="auto"/>
              </w:rPr>
            </w:pPr>
          </w:p>
        </w:tc>
        <w:tc>
          <w:tcPr>
            <w:tcW w:w="10540" w:type="dxa"/>
            <w:vAlign w:val="bottom"/>
            <w:gridSpan w:val="26"/>
          </w:tcPr>
          <w:p>
            <w:pPr>
              <w:spacing w:after="0"/>
              <w:rPr>
                <w:rFonts w:ascii="Arial" w:cs="Arial" w:eastAsia="Arial" w:hAnsi="Arial"/>
                <w:sz w:val="15"/>
                <w:szCs w:val="15"/>
                <w:color w:val="0000EE"/>
                <w:w w:val="96"/>
              </w:rPr>
            </w:pPr>
            <w:hyperlink r:id="rId109">
              <w:r>
                <w:rPr>
                  <w:rFonts w:ascii="Arial" w:cs="Arial" w:eastAsia="Arial" w:hAnsi="Arial"/>
                  <w:sz w:val="15"/>
                  <w:szCs w:val="15"/>
                  <w:color w:val="0000EE"/>
                  <w:w w:val="96"/>
                </w:rPr>
                <w:t>Specimen of Common Stock Certificate (incorporated by reference to Exhibit 4.1 of the Registrant’s Annual Report on Form 10-K (File No. 001-33185) filed February</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0000EE"/>
              <w:bottom w:val="single" w:sz="8" w:color="0000EE"/>
            </w:tcBorders>
          </w:tcPr>
          <w:p>
            <w:pPr>
              <w:spacing w:after="0" w:line="166" w:lineRule="exact"/>
              <w:rPr>
                <w:rFonts w:ascii="Arial" w:cs="Arial" w:eastAsia="Arial" w:hAnsi="Arial"/>
                <w:sz w:val="15"/>
                <w:szCs w:val="15"/>
                <w:color w:val="0000EE"/>
                <w:w w:val="91"/>
              </w:rPr>
            </w:pPr>
            <w:hyperlink r:id="rId109">
              <w:r>
                <w:rPr>
                  <w:rFonts w:ascii="Arial" w:cs="Arial" w:eastAsia="Arial" w:hAnsi="Arial"/>
                  <w:sz w:val="15"/>
                  <w:szCs w:val="15"/>
                  <w:color w:val="0000EE"/>
                  <w:w w:val="91"/>
                </w:rPr>
                <w:t>15, 2007).</w:t>
              </w:r>
            </w:hyperlink>
          </w:p>
        </w:tc>
        <w:tc>
          <w:tcPr>
            <w:tcW w:w="2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164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228"/>
              <w:spacing w:after="0"/>
              <w:rPr>
                <w:sz w:val="20"/>
                <w:szCs w:val="20"/>
                <w:color w:val="auto"/>
              </w:rPr>
            </w:pPr>
            <w:r>
              <w:rPr>
                <w:rFonts w:ascii="Arial" w:cs="Arial" w:eastAsia="Arial" w:hAnsi="Arial"/>
                <w:sz w:val="15"/>
                <w:szCs w:val="15"/>
                <w:color w:val="auto"/>
                <w:w w:val="95"/>
              </w:rPr>
              <w:t>4.2</w:t>
            </w:r>
          </w:p>
        </w:tc>
        <w:tc>
          <w:tcPr>
            <w:tcW w:w="140" w:type="dxa"/>
            <w:vAlign w:val="bottom"/>
          </w:tcPr>
          <w:p>
            <w:pPr>
              <w:spacing w:after="0"/>
              <w:rPr>
                <w:sz w:val="23"/>
                <w:szCs w:val="23"/>
                <w:color w:val="auto"/>
              </w:rPr>
            </w:pPr>
          </w:p>
        </w:tc>
        <w:tc>
          <w:tcPr>
            <w:tcW w:w="9680" w:type="dxa"/>
            <w:vAlign w:val="bottom"/>
            <w:tcBorders>
              <w:bottom w:val="single" w:sz="8" w:color="0000EE"/>
            </w:tcBorders>
            <w:gridSpan w:val="14"/>
          </w:tcPr>
          <w:p>
            <w:pPr>
              <w:spacing w:after="0"/>
              <w:rPr>
                <w:rFonts w:ascii="Arial" w:cs="Arial" w:eastAsia="Arial" w:hAnsi="Arial"/>
                <w:sz w:val="15"/>
                <w:szCs w:val="15"/>
                <w:color w:val="0000EE"/>
                <w:w w:val="92"/>
              </w:rPr>
            </w:pPr>
            <w:hyperlink r:id="rId110">
              <w:r>
                <w:rPr>
                  <w:rFonts w:ascii="Arial" w:cs="Arial" w:eastAsia="Arial" w:hAnsi="Arial"/>
                  <w:sz w:val="15"/>
                  <w:szCs w:val="15"/>
                  <w:color w:val="0000EE"/>
                  <w:w w:val="92"/>
                </w:rPr>
                <w:t>Amended and Restated Registration Rights Agreement, dated September 2, 2004, by and among the Registrant, its founders and the investors named therein</w:t>
              </w:r>
            </w:hyperlink>
          </w:p>
        </w:tc>
        <w:tc>
          <w:tcPr>
            <w:tcW w:w="680" w:type="dxa"/>
            <w:vAlign w:val="bottom"/>
            <w:gridSpan w:val="9"/>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bottom w:val="single" w:sz="8" w:color="0000EE"/>
            </w:tcBorders>
            <w:gridSpan w:val="13"/>
          </w:tcPr>
          <w:p>
            <w:pPr>
              <w:spacing w:after="0" w:line="166" w:lineRule="exact"/>
              <w:rPr>
                <w:rFonts w:ascii="Arial" w:cs="Arial" w:eastAsia="Arial" w:hAnsi="Arial"/>
                <w:sz w:val="15"/>
                <w:szCs w:val="15"/>
                <w:color w:val="0000EE"/>
                <w:w w:val="94"/>
              </w:rPr>
            </w:pPr>
            <w:hyperlink r:id="rId110">
              <w:r>
                <w:rPr>
                  <w:rFonts w:ascii="Arial" w:cs="Arial" w:eastAsia="Arial" w:hAnsi="Arial"/>
                  <w:sz w:val="15"/>
                  <w:szCs w:val="15"/>
                  <w:color w:val="0000EE"/>
                  <w:w w:val="94"/>
                </w:rPr>
                <w:t>(incorporated by reference to Exhibit 4.2 of the Registrant’s Registration Statement on Form S-1 (File No. 333-119433) filed October 1, 2004).</w:t>
              </w:r>
            </w:hyperlink>
          </w:p>
        </w:tc>
        <w:tc>
          <w:tcPr>
            <w:tcW w:w="150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780" w:type="dxa"/>
            <w:vAlign w:val="bottom"/>
            <w:gridSpan w:val="2"/>
          </w:tcPr>
          <w:p>
            <w:pPr>
              <w:jc w:val="center"/>
              <w:ind w:right="228"/>
              <w:spacing w:after="0"/>
              <w:rPr>
                <w:sz w:val="20"/>
                <w:szCs w:val="20"/>
                <w:color w:val="auto"/>
              </w:rPr>
            </w:pPr>
            <w:r>
              <w:rPr>
                <w:rFonts w:ascii="Arial" w:cs="Arial" w:eastAsia="Arial" w:hAnsi="Arial"/>
                <w:sz w:val="15"/>
                <w:szCs w:val="15"/>
                <w:color w:val="auto"/>
                <w:w w:val="95"/>
              </w:rPr>
              <w:t>4.3</w:t>
            </w:r>
          </w:p>
        </w:tc>
        <w:tc>
          <w:tcPr>
            <w:tcW w:w="140" w:type="dxa"/>
            <w:vAlign w:val="bottom"/>
          </w:tcPr>
          <w:p>
            <w:pPr>
              <w:spacing w:after="0"/>
              <w:rPr>
                <w:sz w:val="24"/>
                <w:szCs w:val="24"/>
                <w:color w:val="auto"/>
              </w:rPr>
            </w:pPr>
          </w:p>
        </w:tc>
        <w:tc>
          <w:tcPr>
            <w:tcW w:w="10360" w:type="dxa"/>
            <w:vAlign w:val="bottom"/>
            <w:gridSpan w:val="23"/>
          </w:tcPr>
          <w:p>
            <w:pPr>
              <w:spacing w:after="0"/>
              <w:rPr>
                <w:rFonts w:ascii="Arial" w:cs="Arial" w:eastAsia="Arial" w:hAnsi="Arial"/>
                <w:sz w:val="15"/>
                <w:szCs w:val="15"/>
                <w:color w:val="0000EE"/>
                <w:w w:val="93"/>
              </w:rPr>
            </w:pPr>
            <w:hyperlink r:id="rId111">
              <w:r>
                <w:rPr>
                  <w:rFonts w:ascii="Arial" w:cs="Arial" w:eastAsia="Arial" w:hAnsi="Arial"/>
                  <w:sz w:val="15"/>
                  <w:szCs w:val="15"/>
                  <w:color w:val="0000EE"/>
                  <w:w w:val="93"/>
                </w:rPr>
                <w:t>Form of Warrant to Purchase Common Stock, dated May 14, 2013, issued to Samurai Investments San Diego LLC and Fountain Erika LLC (incorporated by reference</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tcBorders>
              <w:top w:val="single" w:sz="8" w:color="0000EE"/>
              <w:bottom w:val="single" w:sz="8" w:color="0000EE"/>
            </w:tcBorders>
            <w:gridSpan w:val="11"/>
          </w:tcPr>
          <w:p>
            <w:pPr>
              <w:spacing w:after="0" w:line="166" w:lineRule="exact"/>
              <w:rPr>
                <w:rFonts w:ascii="Arial" w:cs="Arial" w:eastAsia="Arial" w:hAnsi="Arial"/>
                <w:sz w:val="15"/>
                <w:szCs w:val="15"/>
                <w:color w:val="0000EE"/>
                <w:w w:val="95"/>
              </w:rPr>
            </w:pPr>
            <w:hyperlink r:id="rId111">
              <w:r>
                <w:rPr>
                  <w:rFonts w:ascii="Arial" w:cs="Arial" w:eastAsia="Arial" w:hAnsi="Arial"/>
                  <w:sz w:val="15"/>
                  <w:szCs w:val="15"/>
                  <w:color w:val="0000EE"/>
                  <w:w w:val="95"/>
                </w:rPr>
                <w:t>to Exhibit 4.1 of the Registrant’s Current Report on Form 8-K filed May 10, 2013).</w:t>
              </w:r>
            </w:hyperlink>
          </w:p>
        </w:tc>
        <w:tc>
          <w:tcPr>
            <w:tcW w:w="5160" w:type="dxa"/>
            <w:vAlign w:val="bottom"/>
            <w:tcBorders>
              <w:top w:val="single" w:sz="8" w:color="0000EE"/>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6"/>
        </w:trPr>
        <w:tc>
          <w:tcPr>
            <w:tcW w:w="780" w:type="dxa"/>
            <w:vAlign w:val="bottom"/>
            <w:gridSpan w:val="2"/>
          </w:tcPr>
          <w:p>
            <w:pPr>
              <w:jc w:val="center"/>
              <w:ind w:right="228"/>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24"/>
                <w:szCs w:val="24"/>
                <w:color w:val="auto"/>
              </w:rPr>
            </w:pPr>
          </w:p>
        </w:tc>
        <w:tc>
          <w:tcPr>
            <w:tcW w:w="10360" w:type="dxa"/>
            <w:vAlign w:val="bottom"/>
            <w:gridSpan w:val="23"/>
          </w:tcPr>
          <w:p>
            <w:pPr>
              <w:spacing w:after="0"/>
              <w:rPr>
                <w:rFonts w:ascii="Arial" w:cs="Arial" w:eastAsia="Arial" w:hAnsi="Arial"/>
                <w:sz w:val="15"/>
                <w:szCs w:val="15"/>
                <w:color w:val="0000EE"/>
                <w:w w:val="95"/>
              </w:rPr>
            </w:pPr>
            <w:hyperlink r:id="rId112">
              <w:r>
                <w:rPr>
                  <w:rFonts w:ascii="Arial" w:cs="Arial" w:eastAsia="Arial" w:hAnsi="Arial"/>
                  <w:sz w:val="15"/>
                  <w:szCs w:val="15"/>
                  <w:color w:val="0000EE"/>
                  <w:w w:val="95"/>
                </w:rPr>
                <w:t>Amended and Restated 2004 Stock Incentive Plan of the Registrant (incorporated by reference to Exhibit 10.2 of the Registrant’s Annual Report on Form 10-K filed</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top w:val="single" w:sz="8" w:color="0000EE"/>
              <w:bottom w:val="single" w:sz="8" w:color="0000EE"/>
            </w:tcBorders>
            <w:gridSpan w:val="4"/>
          </w:tcPr>
          <w:p>
            <w:pPr>
              <w:spacing w:after="0" w:line="166" w:lineRule="exact"/>
              <w:rPr>
                <w:rFonts w:ascii="Arial" w:cs="Arial" w:eastAsia="Arial" w:hAnsi="Arial"/>
                <w:sz w:val="15"/>
                <w:szCs w:val="15"/>
                <w:color w:val="0000EE"/>
                <w:w w:val="93"/>
              </w:rPr>
            </w:pPr>
            <w:hyperlink r:id="rId112">
              <w:r>
                <w:rPr>
                  <w:rFonts w:ascii="Arial" w:cs="Arial" w:eastAsia="Arial" w:hAnsi="Arial"/>
                  <w:sz w:val="15"/>
                  <w:szCs w:val="15"/>
                  <w:color w:val="0000EE"/>
                  <w:w w:val="93"/>
                </w:rPr>
                <w:t>March 29, 2012).</w:t>
              </w:r>
            </w:hyperlink>
          </w:p>
        </w:tc>
        <w:tc>
          <w:tcPr>
            <w:tcW w:w="9100" w:type="dxa"/>
            <w:vAlign w:val="bottom"/>
            <w:tcBorders>
              <w:top w:val="single" w:sz="8" w:color="0000EE"/>
            </w:tcBorders>
            <w:gridSpan w:val="14"/>
          </w:tcPr>
          <w:p>
            <w:pPr>
              <w:spacing w:after="0"/>
              <w:rPr>
                <w:sz w:val="14"/>
                <w:szCs w:val="14"/>
                <w:color w:val="auto"/>
              </w:rPr>
            </w:pPr>
          </w:p>
        </w:tc>
        <w:tc>
          <w:tcPr>
            <w:tcW w:w="1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228"/>
              <w:spacing w:after="0"/>
              <w:rPr>
                <w:sz w:val="20"/>
                <w:szCs w:val="20"/>
                <w:color w:val="auto"/>
              </w:rPr>
            </w:pPr>
            <w:r>
              <w:rPr>
                <w:rFonts w:ascii="Arial" w:cs="Arial" w:eastAsia="Arial" w:hAnsi="Arial"/>
                <w:sz w:val="15"/>
                <w:szCs w:val="15"/>
                <w:color w:val="auto"/>
              </w:rPr>
              <w:t>10.2*</w:t>
            </w:r>
          </w:p>
        </w:tc>
        <w:tc>
          <w:tcPr>
            <w:tcW w:w="140" w:type="dxa"/>
            <w:vAlign w:val="bottom"/>
          </w:tcPr>
          <w:p>
            <w:pPr>
              <w:spacing w:after="0"/>
              <w:rPr>
                <w:sz w:val="23"/>
                <w:szCs w:val="23"/>
                <w:color w:val="auto"/>
              </w:rPr>
            </w:pPr>
          </w:p>
        </w:tc>
        <w:tc>
          <w:tcPr>
            <w:tcW w:w="10120" w:type="dxa"/>
            <w:vAlign w:val="bottom"/>
            <w:tcBorders>
              <w:bottom w:val="single" w:sz="8" w:color="0000EE"/>
            </w:tcBorders>
            <w:gridSpan w:val="17"/>
          </w:tcPr>
          <w:p>
            <w:pPr>
              <w:spacing w:after="0"/>
              <w:rPr>
                <w:rFonts w:ascii="Arial" w:cs="Arial" w:eastAsia="Arial" w:hAnsi="Arial"/>
                <w:sz w:val="15"/>
                <w:szCs w:val="15"/>
                <w:color w:val="0000EE"/>
                <w:w w:val="94"/>
              </w:rPr>
            </w:pPr>
            <w:hyperlink r:id="rId113">
              <w:r>
                <w:rPr>
                  <w:rFonts w:ascii="Arial" w:cs="Arial" w:eastAsia="Arial" w:hAnsi="Arial"/>
                  <w:sz w:val="15"/>
                  <w:szCs w:val="15"/>
                  <w:color w:val="0000EE"/>
                  <w:w w:val="94"/>
                </w:rPr>
                <w:t>Form of Indemnity Agreement between the Registrant and its officers and directors (incorporated by reference to Exhibit 10.3 of the Registrant’s Annual Report on</w:t>
              </w:r>
            </w:hyperlink>
          </w:p>
        </w:tc>
        <w:tc>
          <w:tcPr>
            <w:tcW w:w="240" w:type="dxa"/>
            <w:vAlign w:val="bottom"/>
            <w:gridSpan w:val="6"/>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60" w:type="dxa"/>
            <w:vAlign w:val="bottom"/>
            <w:gridSpan w:val="23"/>
          </w:tcPr>
          <w:p>
            <w:pPr>
              <w:spacing w:after="0" w:line="166" w:lineRule="exact"/>
              <w:rPr>
                <w:rFonts w:ascii="Arial" w:cs="Arial" w:eastAsia="Arial" w:hAnsi="Arial"/>
                <w:sz w:val="15"/>
                <w:szCs w:val="15"/>
                <w:color w:val="0000EE"/>
              </w:rPr>
            </w:pPr>
            <w:hyperlink r:id="rId113">
              <w:r>
                <w:rPr>
                  <w:rFonts w:ascii="Arial" w:cs="Arial" w:eastAsia="Arial" w:hAnsi="Arial"/>
                  <w:sz w:val="15"/>
                  <w:szCs w:val="15"/>
                  <w:color w:val="0000EE"/>
                </w:rPr>
                <w:t>Form 10-K filed March 28, 2013).</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3"/>
          </w:tcPr>
          <w:p>
            <w:pPr>
              <w:jc w:val="center"/>
              <w:ind w:right="440"/>
              <w:spacing w:after="0"/>
              <w:rPr>
                <w:sz w:val="20"/>
                <w:szCs w:val="20"/>
                <w:color w:val="auto"/>
              </w:rPr>
            </w:pPr>
            <w:r>
              <w:rPr>
                <w:rFonts w:ascii="Arial" w:cs="Arial" w:eastAsia="Arial" w:hAnsi="Arial"/>
                <w:sz w:val="15"/>
                <w:szCs w:val="15"/>
                <w:color w:val="auto"/>
                <w:w w:val="95"/>
              </w:rPr>
              <w:t>10.3†</w:t>
            </w:r>
          </w:p>
        </w:tc>
        <w:tc>
          <w:tcPr>
            <w:tcW w:w="10280" w:type="dxa"/>
            <w:vAlign w:val="bottom"/>
            <w:tcBorders>
              <w:bottom w:val="single" w:sz="8" w:color="0000EE"/>
            </w:tcBorders>
            <w:gridSpan w:val="21"/>
          </w:tcPr>
          <w:p>
            <w:pPr>
              <w:spacing w:after="0"/>
              <w:rPr>
                <w:rFonts w:ascii="Arial" w:cs="Arial" w:eastAsia="Arial" w:hAnsi="Arial"/>
                <w:sz w:val="15"/>
                <w:szCs w:val="15"/>
                <w:color w:val="0000EE"/>
                <w:w w:val="93"/>
              </w:rPr>
            </w:pPr>
            <w:hyperlink r:id="rId114">
              <w:r>
                <w:rPr>
                  <w:rFonts w:ascii="Arial" w:cs="Arial" w:eastAsia="Arial" w:hAnsi="Arial"/>
                  <w:sz w:val="15"/>
                  <w:szCs w:val="15"/>
                  <w:color w:val="0000EE"/>
                  <w:w w:val="93"/>
                </w:rPr>
                <w:t>License Agreement, dated March 14, 2002, between the Registrant and Kyorin Pharmaceutical Co., Ltd. (incorporated by reference to Exhibit 10.4 of the Registrant’s</w:t>
              </w:r>
            </w:hyperlink>
          </w:p>
        </w:tc>
        <w:tc>
          <w:tcPr>
            <w:tcW w:w="8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0" w:type="dxa"/>
            <w:vAlign w:val="bottom"/>
            <w:tcBorders>
              <w:bottom w:val="single" w:sz="8" w:color="0000EE"/>
            </w:tcBorders>
            <w:gridSpan w:val="12"/>
          </w:tcPr>
          <w:p>
            <w:pPr>
              <w:spacing w:after="0" w:line="166" w:lineRule="exact"/>
              <w:rPr>
                <w:rFonts w:ascii="Arial" w:cs="Arial" w:eastAsia="Arial" w:hAnsi="Arial"/>
                <w:sz w:val="15"/>
                <w:szCs w:val="15"/>
                <w:color w:val="0000EE"/>
                <w:w w:val="93"/>
              </w:rPr>
            </w:pPr>
            <w:hyperlink r:id="rId114">
              <w:r>
                <w:rPr>
                  <w:rFonts w:ascii="Arial" w:cs="Arial" w:eastAsia="Arial" w:hAnsi="Arial"/>
                  <w:sz w:val="15"/>
                  <w:szCs w:val="15"/>
                  <w:color w:val="0000EE"/>
                  <w:w w:val="93"/>
                </w:rPr>
                <w:t>Registration Statement on Form S-1, as amended (File No. 333-119433), originally filed on October 1, 2004).</w:t>
              </w:r>
            </w:hyperlink>
          </w:p>
        </w:tc>
        <w:tc>
          <w:tcPr>
            <w:tcW w:w="3560" w:type="dxa"/>
            <w:vAlign w:val="bottom"/>
            <w:gridSpan w:val="11"/>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20" w:type="dxa"/>
            <w:vAlign w:val="bottom"/>
            <w:gridSpan w:val="3"/>
          </w:tcPr>
          <w:p>
            <w:pPr>
              <w:jc w:val="center"/>
              <w:ind w:right="440"/>
              <w:spacing w:after="0"/>
              <w:rPr>
                <w:sz w:val="20"/>
                <w:szCs w:val="20"/>
                <w:color w:val="auto"/>
              </w:rPr>
            </w:pPr>
            <w:r>
              <w:rPr>
                <w:rFonts w:ascii="Arial" w:cs="Arial" w:eastAsia="Arial" w:hAnsi="Arial"/>
                <w:sz w:val="15"/>
                <w:szCs w:val="15"/>
                <w:color w:val="auto"/>
                <w:w w:val="95"/>
              </w:rPr>
              <w:t>10.4†</w:t>
            </w:r>
          </w:p>
        </w:tc>
        <w:tc>
          <w:tcPr>
            <w:tcW w:w="10200" w:type="dxa"/>
            <w:vAlign w:val="bottom"/>
            <w:tcBorders>
              <w:bottom w:val="single" w:sz="8" w:color="0000EE"/>
            </w:tcBorders>
            <w:gridSpan w:val="19"/>
          </w:tcPr>
          <w:p>
            <w:pPr>
              <w:spacing w:after="0"/>
              <w:rPr>
                <w:rFonts w:ascii="Arial" w:cs="Arial" w:eastAsia="Arial" w:hAnsi="Arial"/>
                <w:sz w:val="15"/>
                <w:szCs w:val="15"/>
                <w:color w:val="0000EE"/>
                <w:w w:val="92"/>
              </w:rPr>
            </w:pPr>
            <w:hyperlink r:id="rId115">
              <w:r>
                <w:rPr>
                  <w:rFonts w:ascii="Arial" w:cs="Arial" w:eastAsia="Arial" w:hAnsi="Arial"/>
                  <w:sz w:val="15"/>
                  <w:szCs w:val="15"/>
                  <w:color w:val="0000EE"/>
                  <w:w w:val="92"/>
                </w:rPr>
                <w:t>License Agreement, dated June 19, 2002, between the Registrant and Angiogene Pharmaceuticals, Ltd. (incorporated by reference to Exhibit 10.5 of the Registrant’s</w:t>
              </w:r>
            </w:hyperlink>
          </w:p>
        </w:tc>
        <w:tc>
          <w:tcPr>
            <w:tcW w:w="160" w:type="dxa"/>
            <w:vAlign w:val="bottom"/>
            <w:gridSpan w:val="4"/>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60" w:type="dxa"/>
            <w:vAlign w:val="bottom"/>
            <w:gridSpan w:val="23"/>
          </w:tcPr>
          <w:p>
            <w:pPr>
              <w:spacing w:after="0" w:line="166" w:lineRule="exact"/>
              <w:rPr>
                <w:rFonts w:ascii="Arial" w:cs="Arial" w:eastAsia="Arial" w:hAnsi="Arial"/>
                <w:sz w:val="15"/>
                <w:szCs w:val="15"/>
                <w:color w:val="0000EE"/>
              </w:rPr>
            </w:pPr>
            <w:hyperlink r:id="rId115">
              <w:r>
                <w:rPr>
                  <w:rFonts w:ascii="Arial" w:cs="Arial" w:eastAsia="Arial" w:hAnsi="Arial"/>
                  <w:sz w:val="15"/>
                  <w:szCs w:val="15"/>
                  <w:color w:val="0000EE"/>
                </w:rPr>
                <w:t>Registration Statement on Form S-1, as amended (File No. 333-119433), originally filed on October 1, 2004).</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1"/>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Borders>
              <w:top w:val="single" w:sz="8" w:color="0000EE"/>
            </w:tcBorders>
            <w:gridSpan w:val="11"/>
          </w:tcPr>
          <w:p>
            <w:pPr>
              <w:ind w:left="4720"/>
              <w:spacing w:after="0"/>
              <w:rPr>
                <w:sz w:val="20"/>
                <w:szCs w:val="20"/>
                <w:color w:val="auto"/>
              </w:rPr>
            </w:pPr>
            <w:r>
              <w:rPr>
                <w:rFonts w:ascii="Arial" w:cs="Arial" w:eastAsia="Arial" w:hAnsi="Arial"/>
                <w:sz w:val="15"/>
                <w:szCs w:val="15"/>
                <w:color w:val="auto"/>
              </w:rPr>
              <w:t>82</w:t>
            </w:r>
          </w:p>
        </w:tc>
        <w:tc>
          <w:tcPr>
            <w:tcW w:w="16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309" w:right="1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38"/>
        </w:trPr>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Exhibit</w:t>
            </w:r>
          </w:p>
        </w:tc>
        <w:tc>
          <w:tcPr>
            <w:tcW w:w="10440" w:type="dxa"/>
            <w:vAlign w:val="bottom"/>
            <w:gridSpan w:val="24"/>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0440" w:type="dxa"/>
            <w:vAlign w:val="bottom"/>
            <w:tcBorders>
              <w:bottom w:val="single" w:sz="8" w:color="auto"/>
            </w:tcBorders>
            <w:gridSpan w:val="2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10.5†</w:t>
            </w:r>
          </w:p>
        </w:tc>
        <w:tc>
          <w:tcPr>
            <w:tcW w:w="10540" w:type="dxa"/>
            <w:vAlign w:val="bottom"/>
            <w:gridSpan w:val="25"/>
          </w:tcPr>
          <w:p>
            <w:pPr>
              <w:spacing w:after="0"/>
              <w:rPr>
                <w:rFonts w:ascii="Arial" w:cs="Arial" w:eastAsia="Arial" w:hAnsi="Arial"/>
                <w:sz w:val="15"/>
                <w:szCs w:val="15"/>
                <w:color w:val="0000EE"/>
                <w:w w:val="96"/>
              </w:rPr>
            </w:pPr>
            <w:hyperlink r:id="rId118">
              <w:r>
                <w:rPr>
                  <w:rFonts w:ascii="Arial" w:cs="Arial" w:eastAsia="Arial" w:hAnsi="Arial"/>
                  <w:sz w:val="15"/>
                  <w:szCs w:val="15"/>
                  <w:color w:val="0000EE"/>
                  <w:w w:val="96"/>
                </w:rPr>
                <w:t>Exclusive License Agreement, dated February 25, 2004, between the Registrant and Kissei Pharmaceutical Co., Ltd. (incorporated by reference to Exhibit 10.7 of the</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40" w:type="dxa"/>
            <w:vAlign w:val="bottom"/>
            <w:tcBorders>
              <w:top w:val="single" w:sz="8" w:color="0000EE"/>
            </w:tcBorders>
            <w:gridSpan w:val="19"/>
          </w:tcPr>
          <w:p>
            <w:pPr>
              <w:spacing w:after="0" w:line="166" w:lineRule="exact"/>
              <w:rPr>
                <w:rFonts w:ascii="Arial" w:cs="Arial" w:eastAsia="Arial" w:hAnsi="Arial"/>
                <w:sz w:val="15"/>
                <w:szCs w:val="15"/>
                <w:color w:val="0000EE"/>
              </w:rPr>
            </w:pPr>
            <w:hyperlink r:id="rId118">
              <w:r>
                <w:rPr>
                  <w:rFonts w:ascii="Arial" w:cs="Arial" w:eastAsia="Arial" w:hAnsi="Arial"/>
                  <w:sz w:val="15"/>
                  <w:szCs w:val="15"/>
                  <w:color w:val="0000EE"/>
                </w:rPr>
                <w:t>Registrant’s Registration Statement on Form S-1, as amended (File No. 333-119433), originally filed on October 1, 2004).</w:t>
              </w:r>
            </w:hyperlink>
          </w:p>
        </w:tc>
        <w:tc>
          <w:tcPr>
            <w:tcW w:w="3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10.6†</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3"/>
              </w:rPr>
            </w:pPr>
            <w:hyperlink r:id="rId119">
              <w:r>
                <w:rPr>
                  <w:rFonts w:ascii="Arial" w:cs="Arial" w:eastAsia="Arial" w:hAnsi="Arial"/>
                  <w:sz w:val="15"/>
                  <w:szCs w:val="15"/>
                  <w:color w:val="0000EE"/>
                  <w:w w:val="93"/>
                </w:rPr>
                <w:t>License Agreement, dated April 27, 2004, between the Registrant and Mitsubishi Tanabe Pharma Corporation (incorporated by reference to Exhibit 10.8 of the</w:t>
              </w:r>
            </w:hyperlink>
          </w:p>
        </w:tc>
        <w:tc>
          <w:tcPr>
            <w:tcW w:w="7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540" w:type="dxa"/>
            <w:vAlign w:val="bottom"/>
            <w:gridSpan w:val="25"/>
          </w:tcPr>
          <w:p>
            <w:pPr>
              <w:spacing w:after="0" w:line="166" w:lineRule="exact"/>
              <w:rPr>
                <w:rFonts w:ascii="Arial" w:cs="Arial" w:eastAsia="Arial" w:hAnsi="Arial"/>
                <w:sz w:val="15"/>
                <w:szCs w:val="15"/>
                <w:color w:val="0000EE"/>
              </w:rPr>
            </w:pPr>
            <w:hyperlink r:id="rId119">
              <w:r>
                <w:rPr>
                  <w:rFonts w:ascii="Arial" w:cs="Arial" w:eastAsia="Arial" w:hAnsi="Arial"/>
                  <w:sz w:val="15"/>
                  <w:szCs w:val="15"/>
                  <w:color w:val="0000EE"/>
                </w:rPr>
                <w:t>Registrant’s Registration Statement on Form S-1, as amended (File No. 333-119433), originally filed on October 1, 2004).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10.7†</w:t>
            </w:r>
          </w:p>
        </w:tc>
        <w:tc>
          <w:tcPr>
            <w:tcW w:w="10540" w:type="dxa"/>
            <w:vAlign w:val="bottom"/>
            <w:gridSpan w:val="25"/>
          </w:tcPr>
          <w:p>
            <w:pPr>
              <w:spacing w:after="0"/>
              <w:rPr>
                <w:rFonts w:ascii="Arial" w:cs="Arial" w:eastAsia="Arial" w:hAnsi="Arial"/>
                <w:sz w:val="15"/>
                <w:szCs w:val="15"/>
                <w:color w:val="0000EE"/>
              </w:rPr>
            </w:pPr>
            <w:hyperlink r:id="rId120">
              <w:r>
                <w:rPr>
                  <w:rFonts w:ascii="Arial" w:cs="Arial" w:eastAsia="Arial" w:hAnsi="Arial"/>
                  <w:sz w:val="15"/>
                  <w:szCs w:val="15"/>
                  <w:color w:val="0000EE"/>
                </w:rPr>
                <w:t>License Agreement, dated October 22, 2004, between the Registrant and Kyorin Pharmaceutical Co., Ltd., (incorporated by reference to Exhibit 10.18 of the</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700" w:type="dxa"/>
            <w:vAlign w:val="bottom"/>
            <w:tcBorders>
              <w:top w:val="single" w:sz="8" w:color="0000EE"/>
            </w:tcBorders>
            <w:gridSpan w:val="13"/>
          </w:tcPr>
          <w:p>
            <w:pPr>
              <w:spacing w:after="0" w:line="166" w:lineRule="exact"/>
              <w:rPr>
                <w:rFonts w:ascii="Arial" w:cs="Arial" w:eastAsia="Arial" w:hAnsi="Arial"/>
                <w:sz w:val="15"/>
                <w:szCs w:val="15"/>
                <w:color w:val="0000EE"/>
              </w:rPr>
            </w:pPr>
            <w:hyperlink r:id="rId120">
              <w:r>
                <w:rPr>
                  <w:rFonts w:ascii="Arial" w:cs="Arial" w:eastAsia="Arial" w:hAnsi="Arial"/>
                  <w:sz w:val="15"/>
                  <w:szCs w:val="15"/>
                  <w:color w:val="0000EE"/>
                </w:rPr>
                <w:t>Registrant’s Registration Statement on Form S-1, as amended (File No. 333-119433), originally filed on October 1, 2004).</w:t>
              </w:r>
            </w:hyperlink>
          </w:p>
        </w:tc>
        <w:tc>
          <w:tcPr>
            <w:tcW w:w="8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10.8†</w:t>
            </w:r>
          </w:p>
        </w:tc>
        <w:tc>
          <w:tcPr>
            <w:tcW w:w="10540" w:type="dxa"/>
            <w:vAlign w:val="bottom"/>
            <w:gridSpan w:val="25"/>
          </w:tcPr>
          <w:p>
            <w:pPr>
              <w:spacing w:after="0"/>
              <w:rPr>
                <w:rFonts w:ascii="Arial" w:cs="Arial" w:eastAsia="Arial" w:hAnsi="Arial"/>
                <w:sz w:val="15"/>
                <w:szCs w:val="15"/>
                <w:color w:val="0000EE"/>
                <w:w w:val="96"/>
              </w:rPr>
            </w:pPr>
            <w:hyperlink r:id="rId121">
              <w:r>
                <w:rPr>
                  <w:rFonts w:ascii="Arial" w:cs="Arial" w:eastAsia="Arial" w:hAnsi="Arial"/>
                  <w:sz w:val="15"/>
                  <w:szCs w:val="15"/>
                  <w:color w:val="0000EE"/>
                  <w:w w:val="96"/>
                </w:rPr>
                <w:t>License Agreement, dated December 8, 2004, between the Registrant and Mitsubishi Tanabe Pharma Corporation (incorporated by reference to Exhibit 10.21 of the</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140" w:type="dxa"/>
            <w:vAlign w:val="bottom"/>
            <w:tcBorders>
              <w:top w:val="single" w:sz="8" w:color="0000EE"/>
            </w:tcBorders>
            <w:gridSpan w:val="18"/>
          </w:tcPr>
          <w:p>
            <w:pPr>
              <w:spacing w:after="0" w:line="166" w:lineRule="exact"/>
              <w:rPr>
                <w:rFonts w:ascii="Arial" w:cs="Arial" w:eastAsia="Arial" w:hAnsi="Arial"/>
                <w:sz w:val="15"/>
                <w:szCs w:val="15"/>
                <w:color w:val="0000EE"/>
              </w:rPr>
            </w:pPr>
            <w:hyperlink r:id="rId121">
              <w:r>
                <w:rPr>
                  <w:rFonts w:ascii="Arial" w:cs="Arial" w:eastAsia="Arial" w:hAnsi="Arial"/>
                  <w:sz w:val="15"/>
                  <w:szCs w:val="15"/>
                  <w:color w:val="0000EE"/>
                </w:rPr>
                <w:t>Registrant’s Registration Statement on Form S-1, as amended (File No. 333-119433), originally filed on October 1, 2004).</w:t>
              </w:r>
            </w:hyperlink>
          </w:p>
        </w:tc>
        <w:tc>
          <w:tcPr>
            <w:tcW w:w="4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10.9†</w:t>
            </w:r>
          </w:p>
        </w:tc>
        <w:tc>
          <w:tcPr>
            <w:tcW w:w="10320" w:type="dxa"/>
            <w:vAlign w:val="bottom"/>
            <w:tcBorders>
              <w:bottom w:val="single" w:sz="8" w:color="0000EE"/>
            </w:tcBorders>
            <w:gridSpan w:val="21"/>
          </w:tcPr>
          <w:p>
            <w:pPr>
              <w:spacing w:after="0"/>
              <w:rPr>
                <w:rFonts w:ascii="Arial" w:cs="Arial" w:eastAsia="Arial" w:hAnsi="Arial"/>
                <w:sz w:val="15"/>
                <w:szCs w:val="15"/>
                <w:color w:val="0000EE"/>
                <w:w w:val="93"/>
              </w:rPr>
            </w:pPr>
            <w:hyperlink r:id="rId122">
              <w:r>
                <w:rPr>
                  <w:rFonts w:ascii="Arial" w:cs="Arial" w:eastAsia="Arial" w:hAnsi="Arial"/>
                  <w:sz w:val="15"/>
                  <w:szCs w:val="15"/>
                  <w:color w:val="0000EE"/>
                  <w:w w:val="93"/>
                </w:rPr>
                <w:t>License Agreement, dated October 31, 2006, by and between the Registrant and Meiji Seika Kaisha, Ltd. (incorporated by reference to Exhibit 10.1 of the Registrant’s</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40" w:type="dxa"/>
            <w:vAlign w:val="bottom"/>
            <w:tcBorders>
              <w:bottom w:val="single" w:sz="8" w:color="0000EE"/>
            </w:tcBorders>
            <w:gridSpan w:val="5"/>
          </w:tcPr>
          <w:p>
            <w:pPr>
              <w:spacing w:after="0" w:line="166" w:lineRule="exact"/>
              <w:rPr>
                <w:rFonts w:ascii="Arial" w:cs="Arial" w:eastAsia="Arial" w:hAnsi="Arial"/>
                <w:sz w:val="15"/>
                <w:szCs w:val="15"/>
                <w:color w:val="0000EE"/>
                <w:w w:val="94"/>
              </w:rPr>
            </w:pPr>
            <w:hyperlink r:id="rId122">
              <w:r>
                <w:rPr>
                  <w:rFonts w:ascii="Arial" w:cs="Arial" w:eastAsia="Arial" w:hAnsi="Arial"/>
                  <w:sz w:val="15"/>
                  <w:szCs w:val="15"/>
                  <w:color w:val="0000EE"/>
                  <w:w w:val="94"/>
                </w:rPr>
                <w:t>Current Report on Form 8-K (File No. 000-51133) filed November 2, 2006).</w:t>
              </w:r>
            </w:hyperlink>
          </w:p>
        </w:tc>
        <w:tc>
          <w:tcPr>
            <w:tcW w:w="58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10.10†</w:t>
            </w:r>
          </w:p>
        </w:tc>
        <w:tc>
          <w:tcPr>
            <w:tcW w:w="10320" w:type="dxa"/>
            <w:vAlign w:val="bottom"/>
            <w:tcBorders>
              <w:bottom w:val="single" w:sz="8" w:color="0000EE"/>
            </w:tcBorders>
            <w:gridSpan w:val="21"/>
          </w:tcPr>
          <w:p>
            <w:pPr>
              <w:spacing w:after="0"/>
              <w:rPr>
                <w:rFonts w:ascii="Arial" w:cs="Arial" w:eastAsia="Arial" w:hAnsi="Arial"/>
                <w:sz w:val="15"/>
                <w:szCs w:val="15"/>
                <w:color w:val="0000EE"/>
                <w:w w:val="93"/>
              </w:rPr>
            </w:pPr>
            <w:hyperlink r:id="rId123">
              <w:r>
                <w:rPr>
                  <w:rFonts w:ascii="Arial" w:cs="Arial" w:eastAsia="Arial" w:hAnsi="Arial"/>
                  <w:sz w:val="15"/>
                  <w:szCs w:val="15"/>
                  <w:color w:val="0000EE"/>
                  <w:w w:val="93"/>
                </w:rPr>
                <w:t>License Agreement, dated October 31, 2006, by and between the Registrant and Meiji Seika Kaisha, Ltd. (incorporated by reference to Exhibit 10.2 of the Registrant’s</w:t>
              </w:r>
            </w:hyperlink>
          </w:p>
        </w:tc>
        <w:tc>
          <w:tcPr>
            <w:tcW w:w="2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40" w:type="dxa"/>
            <w:vAlign w:val="bottom"/>
            <w:tcBorders>
              <w:bottom w:val="single" w:sz="8" w:color="0000EE"/>
            </w:tcBorders>
            <w:gridSpan w:val="5"/>
          </w:tcPr>
          <w:p>
            <w:pPr>
              <w:spacing w:after="0" w:line="166" w:lineRule="exact"/>
              <w:rPr>
                <w:rFonts w:ascii="Arial" w:cs="Arial" w:eastAsia="Arial" w:hAnsi="Arial"/>
                <w:sz w:val="15"/>
                <w:szCs w:val="15"/>
                <w:color w:val="0000EE"/>
                <w:w w:val="94"/>
              </w:rPr>
            </w:pPr>
            <w:hyperlink r:id="rId123">
              <w:r>
                <w:rPr>
                  <w:rFonts w:ascii="Arial" w:cs="Arial" w:eastAsia="Arial" w:hAnsi="Arial"/>
                  <w:sz w:val="15"/>
                  <w:szCs w:val="15"/>
                  <w:color w:val="0000EE"/>
                  <w:w w:val="94"/>
                </w:rPr>
                <w:t>Current Report on Form 8-K (File No. 000-51133) filed November 2, 2006).</w:t>
              </w:r>
            </w:hyperlink>
          </w:p>
        </w:tc>
        <w:tc>
          <w:tcPr>
            <w:tcW w:w="58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10.11*</w:t>
            </w:r>
          </w:p>
        </w:tc>
        <w:tc>
          <w:tcPr>
            <w:tcW w:w="140" w:type="dxa"/>
            <w:vAlign w:val="bottom"/>
          </w:tcPr>
          <w:p>
            <w:pPr>
              <w:spacing w:after="0"/>
              <w:rPr>
                <w:sz w:val="23"/>
                <w:szCs w:val="23"/>
                <w:color w:val="auto"/>
              </w:rPr>
            </w:pPr>
          </w:p>
        </w:tc>
        <w:tc>
          <w:tcPr>
            <w:tcW w:w="10540" w:type="dxa"/>
            <w:vAlign w:val="bottom"/>
            <w:gridSpan w:val="25"/>
          </w:tcPr>
          <w:p>
            <w:pPr>
              <w:spacing w:after="0"/>
              <w:rPr>
                <w:rFonts w:ascii="Arial" w:cs="Arial" w:eastAsia="Arial" w:hAnsi="Arial"/>
                <w:sz w:val="15"/>
                <w:szCs w:val="15"/>
                <w:color w:val="0000EE"/>
              </w:rPr>
            </w:pPr>
            <w:hyperlink r:id="rId124">
              <w:r>
                <w:rPr>
                  <w:rFonts w:ascii="Arial" w:cs="Arial" w:eastAsia="Arial" w:hAnsi="Arial"/>
                  <w:sz w:val="15"/>
                  <w:szCs w:val="15"/>
                  <w:color w:val="0000EE"/>
                </w:rPr>
                <w:t>Executive Employment Agreement, dated April 1, 2007, between the Registrant and Yuichi Iwaki, M.D., Ph.D. (incorporated by reference to Exhibit 10.1 of the</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0" w:type="dxa"/>
            <w:vAlign w:val="bottom"/>
            <w:tcBorders>
              <w:top w:val="single" w:sz="8" w:color="0000EE"/>
              <w:bottom w:val="single" w:sz="8" w:color="0000EE"/>
            </w:tcBorders>
            <w:gridSpan w:val="6"/>
          </w:tcPr>
          <w:p>
            <w:pPr>
              <w:spacing w:after="0" w:line="166" w:lineRule="exact"/>
              <w:rPr>
                <w:rFonts w:ascii="Arial" w:cs="Arial" w:eastAsia="Arial" w:hAnsi="Arial"/>
                <w:sz w:val="15"/>
                <w:szCs w:val="15"/>
                <w:color w:val="0000EE"/>
                <w:w w:val="95"/>
              </w:rPr>
            </w:pPr>
            <w:hyperlink r:id="rId124">
              <w:r>
                <w:rPr>
                  <w:rFonts w:ascii="Arial" w:cs="Arial" w:eastAsia="Arial" w:hAnsi="Arial"/>
                  <w:sz w:val="15"/>
                  <w:szCs w:val="15"/>
                  <w:color w:val="0000EE"/>
                  <w:w w:val="95"/>
                </w:rPr>
                <w:t>Registrant’s Current Report on Form 8-K (File No. 001-33185) filed April 4, 2007).</w:t>
              </w:r>
            </w:hyperlink>
          </w:p>
        </w:tc>
        <w:tc>
          <w:tcPr>
            <w:tcW w:w="4720" w:type="dxa"/>
            <w:vAlign w:val="bottom"/>
            <w:tcBorders>
              <w:top w:val="single" w:sz="8" w:color="0000EE"/>
            </w:tcBorders>
            <w:gridSpan w:val="10"/>
          </w:tcPr>
          <w:p>
            <w:pPr>
              <w:spacing w:after="0"/>
              <w:rPr>
                <w:sz w:val="14"/>
                <w:szCs w:val="14"/>
                <w:color w:val="auto"/>
              </w:rPr>
            </w:pPr>
          </w:p>
        </w:tc>
        <w:tc>
          <w:tcPr>
            <w:tcW w:w="6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10.12*</w:t>
            </w:r>
          </w:p>
        </w:tc>
        <w:tc>
          <w:tcPr>
            <w:tcW w:w="140" w:type="dxa"/>
            <w:vAlign w:val="bottom"/>
          </w:tcPr>
          <w:p>
            <w:pPr>
              <w:spacing w:after="0"/>
              <w:rPr>
                <w:sz w:val="23"/>
                <w:szCs w:val="23"/>
                <w:color w:val="auto"/>
              </w:rPr>
            </w:pPr>
          </w:p>
        </w:tc>
        <w:tc>
          <w:tcPr>
            <w:tcW w:w="10540" w:type="dxa"/>
            <w:vAlign w:val="bottom"/>
            <w:gridSpan w:val="25"/>
          </w:tcPr>
          <w:p>
            <w:pPr>
              <w:spacing w:after="0"/>
              <w:rPr>
                <w:rFonts w:ascii="Arial" w:cs="Arial" w:eastAsia="Arial" w:hAnsi="Arial"/>
                <w:sz w:val="15"/>
                <w:szCs w:val="15"/>
                <w:color w:val="0000EE"/>
                <w:w w:val="95"/>
              </w:rPr>
            </w:pPr>
            <w:hyperlink r:id="rId125">
              <w:r>
                <w:rPr>
                  <w:rFonts w:ascii="Arial" w:cs="Arial" w:eastAsia="Arial" w:hAnsi="Arial"/>
                  <w:sz w:val="15"/>
                  <w:szCs w:val="15"/>
                  <w:color w:val="0000EE"/>
                  <w:w w:val="95"/>
                </w:rPr>
                <w:t>2007 Employee Stock Purchase Plan of the Registrant (incorporated by reference to Appendix A of the Registrant’s Definitive Proxy Statement on Schedule 14A (File</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20" w:type="dxa"/>
            <w:vAlign w:val="bottom"/>
            <w:tcBorders>
              <w:top w:val="single" w:sz="8" w:color="0000EE"/>
            </w:tcBorders>
            <w:gridSpan w:val="21"/>
          </w:tcPr>
          <w:p>
            <w:pPr>
              <w:spacing w:after="0" w:line="166" w:lineRule="exact"/>
              <w:rPr>
                <w:rFonts w:ascii="Arial" w:cs="Arial" w:eastAsia="Arial" w:hAnsi="Arial"/>
                <w:sz w:val="15"/>
                <w:szCs w:val="15"/>
                <w:color w:val="0000EE"/>
              </w:rPr>
            </w:pPr>
            <w:hyperlink r:id="rId125">
              <w:r>
                <w:rPr>
                  <w:rFonts w:ascii="Arial" w:cs="Arial" w:eastAsia="Arial" w:hAnsi="Arial"/>
                  <w:sz w:val="15"/>
                  <w:szCs w:val="15"/>
                  <w:color w:val="0000EE"/>
                </w:rPr>
                <w:t>No. 001-33185) filed March 13, 2007).</w:t>
              </w:r>
            </w:hyperlink>
          </w:p>
        </w:tc>
        <w:tc>
          <w:tcPr>
            <w:tcW w:w="2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10.13†</w:t>
            </w:r>
          </w:p>
        </w:tc>
        <w:tc>
          <w:tcPr>
            <w:tcW w:w="10540" w:type="dxa"/>
            <w:vAlign w:val="bottom"/>
            <w:gridSpan w:val="25"/>
          </w:tcPr>
          <w:p>
            <w:pPr>
              <w:spacing w:after="0"/>
              <w:rPr>
                <w:rFonts w:ascii="Arial" w:cs="Arial" w:eastAsia="Arial" w:hAnsi="Arial"/>
                <w:sz w:val="15"/>
                <w:szCs w:val="15"/>
                <w:color w:val="0000EE"/>
                <w:w w:val="94"/>
              </w:rPr>
            </w:pPr>
            <w:hyperlink r:id="rId126">
              <w:r>
                <w:rPr>
                  <w:rFonts w:ascii="Arial" w:cs="Arial" w:eastAsia="Arial" w:hAnsi="Arial"/>
                  <w:sz w:val="15"/>
                  <w:szCs w:val="15"/>
                  <w:color w:val="0000EE"/>
                  <w:w w:val="94"/>
                </w:rPr>
                <w:t>Development and Supply Agreement, dated as of March 26, 2009, between the Registrant and Hospira Worldwide, Inc. (incorporated by reference to Exhibit 10.1 of the</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0" w:type="dxa"/>
            <w:vAlign w:val="bottom"/>
            <w:tcBorders>
              <w:top w:val="single" w:sz="8" w:color="0000EE"/>
              <w:bottom w:val="single" w:sz="8" w:color="0000EE"/>
            </w:tcBorders>
            <w:gridSpan w:val="3"/>
          </w:tcPr>
          <w:p>
            <w:pPr>
              <w:spacing w:after="0" w:line="166" w:lineRule="exact"/>
              <w:rPr>
                <w:rFonts w:ascii="Arial" w:cs="Arial" w:eastAsia="Arial" w:hAnsi="Arial"/>
                <w:sz w:val="15"/>
                <w:szCs w:val="15"/>
                <w:color w:val="0000EE"/>
                <w:w w:val="94"/>
              </w:rPr>
            </w:pPr>
            <w:hyperlink r:id="rId126">
              <w:r>
                <w:rPr>
                  <w:rFonts w:ascii="Arial" w:cs="Arial" w:eastAsia="Arial" w:hAnsi="Arial"/>
                  <w:sz w:val="15"/>
                  <w:szCs w:val="15"/>
                  <w:color w:val="0000EE"/>
                  <w:w w:val="94"/>
                </w:rPr>
                <w:t>Registrant’s Current Report on Form 8-K filed March 30, 2009).</w:t>
              </w:r>
            </w:hyperlink>
          </w:p>
        </w:tc>
        <w:tc>
          <w:tcPr>
            <w:tcW w:w="6420" w:type="dxa"/>
            <w:vAlign w:val="bottom"/>
            <w:tcBorders>
              <w:top w:val="single" w:sz="8" w:color="0000EE"/>
            </w:tcBorders>
            <w:gridSpan w:val="20"/>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10.14†</w:t>
            </w:r>
          </w:p>
        </w:tc>
        <w:tc>
          <w:tcPr>
            <w:tcW w:w="10540" w:type="dxa"/>
            <w:vAlign w:val="bottom"/>
            <w:gridSpan w:val="25"/>
          </w:tcPr>
          <w:p>
            <w:pPr>
              <w:spacing w:after="0"/>
              <w:rPr>
                <w:rFonts w:ascii="Arial" w:cs="Arial" w:eastAsia="Arial" w:hAnsi="Arial"/>
                <w:sz w:val="15"/>
                <w:szCs w:val="15"/>
                <w:color w:val="0000EE"/>
                <w:w w:val="98"/>
              </w:rPr>
            </w:pPr>
            <w:hyperlink r:id="rId127">
              <w:r>
                <w:rPr>
                  <w:rFonts w:ascii="Arial" w:cs="Arial" w:eastAsia="Arial" w:hAnsi="Arial"/>
                  <w:sz w:val="15"/>
                  <w:szCs w:val="15"/>
                  <w:color w:val="0000EE"/>
                  <w:w w:val="98"/>
                </w:rPr>
                <w:t>Assignment Agreement, dated December 19, 2005, between Genzyme Corporation and Avigen, Inc. (incorporated by reference to Exhibit 10.58 of Avigen, Inc.’s</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tcBorders>
              <w:top w:val="single" w:sz="8" w:color="0000EE"/>
              <w:bottom w:val="single" w:sz="8" w:color="0000EE"/>
            </w:tcBorders>
            <w:gridSpan w:val="4"/>
          </w:tcPr>
          <w:p>
            <w:pPr>
              <w:spacing w:after="0" w:line="166" w:lineRule="exact"/>
              <w:rPr>
                <w:rFonts w:ascii="Arial" w:cs="Arial" w:eastAsia="Arial" w:hAnsi="Arial"/>
                <w:sz w:val="15"/>
                <w:szCs w:val="15"/>
                <w:color w:val="0000EE"/>
                <w:w w:val="95"/>
              </w:rPr>
            </w:pPr>
            <w:hyperlink r:id="rId127">
              <w:r>
                <w:rPr>
                  <w:rFonts w:ascii="Arial" w:cs="Arial" w:eastAsia="Arial" w:hAnsi="Arial"/>
                  <w:sz w:val="15"/>
                  <w:szCs w:val="15"/>
                  <w:color w:val="0000EE"/>
                  <w:w w:val="95"/>
                </w:rPr>
                <w:t>Annual Report on Form 10-K (File No. 000-28272) filed March 16, 2006).</w:t>
              </w:r>
            </w:hyperlink>
          </w:p>
        </w:tc>
        <w:tc>
          <w:tcPr>
            <w:tcW w:w="5340" w:type="dxa"/>
            <w:vAlign w:val="bottom"/>
            <w:tcBorders>
              <w:top w:val="single" w:sz="8" w:color="0000EE"/>
            </w:tcBorders>
            <w:gridSpan w:val="13"/>
          </w:tcPr>
          <w:p>
            <w:pPr>
              <w:spacing w:after="0"/>
              <w:rPr>
                <w:sz w:val="14"/>
                <w:szCs w:val="14"/>
                <w:color w:val="auto"/>
              </w:rPr>
            </w:pPr>
          </w:p>
        </w:tc>
        <w:tc>
          <w:tcPr>
            <w:tcW w:w="5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10.15†</w:t>
            </w:r>
          </w:p>
        </w:tc>
        <w:tc>
          <w:tcPr>
            <w:tcW w:w="10300" w:type="dxa"/>
            <w:vAlign w:val="bottom"/>
            <w:tcBorders>
              <w:bottom w:val="single" w:sz="8" w:color="0000EE"/>
            </w:tcBorders>
            <w:gridSpan w:val="20"/>
          </w:tcPr>
          <w:p>
            <w:pPr>
              <w:spacing w:after="0"/>
              <w:rPr>
                <w:rFonts w:ascii="Arial" w:cs="Arial" w:eastAsia="Arial" w:hAnsi="Arial"/>
                <w:sz w:val="15"/>
                <w:szCs w:val="15"/>
                <w:color w:val="0000EE"/>
                <w:w w:val="93"/>
              </w:rPr>
            </w:pPr>
            <w:hyperlink r:id="rId128">
              <w:r>
                <w:rPr>
                  <w:rFonts w:ascii="Arial" w:cs="Arial" w:eastAsia="Arial" w:hAnsi="Arial"/>
                  <w:sz w:val="15"/>
                  <w:szCs w:val="15"/>
                  <w:color w:val="0000EE"/>
                  <w:w w:val="93"/>
                </w:rPr>
                <w:t>Asset Purchase Agreement, dated December 17, 2008, between Baxter Healthcare Corporation, Baxter International Inc., and Baxter Healthcare S.A. and Avigen, Inc.</w:t>
              </w:r>
            </w:hyperlink>
          </w:p>
        </w:tc>
        <w:tc>
          <w:tcPr>
            <w:tcW w:w="24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540" w:type="dxa"/>
            <w:vAlign w:val="bottom"/>
            <w:gridSpan w:val="25"/>
          </w:tcPr>
          <w:p>
            <w:pPr>
              <w:spacing w:after="0" w:line="166" w:lineRule="exact"/>
              <w:rPr>
                <w:rFonts w:ascii="Arial" w:cs="Arial" w:eastAsia="Arial" w:hAnsi="Arial"/>
                <w:sz w:val="15"/>
                <w:szCs w:val="15"/>
                <w:color w:val="0000EE"/>
              </w:rPr>
            </w:pPr>
            <w:hyperlink r:id="rId128">
              <w:r>
                <w:rPr>
                  <w:rFonts w:ascii="Arial" w:cs="Arial" w:eastAsia="Arial" w:hAnsi="Arial"/>
                  <w:sz w:val="15"/>
                  <w:szCs w:val="15"/>
                  <w:color w:val="0000EE"/>
                </w:rPr>
                <w:t>(incorporated by reference to Exhibit 2.2 of Avigen, Inc.’s Annual Report on Form 10-K (File No. 000-28272) filed March 16, 2009).</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10.16*</w:t>
            </w:r>
          </w:p>
        </w:tc>
        <w:tc>
          <w:tcPr>
            <w:tcW w:w="140" w:type="dxa"/>
            <w:vAlign w:val="bottom"/>
          </w:tcPr>
          <w:p>
            <w:pPr>
              <w:spacing w:after="0"/>
              <w:rPr>
                <w:sz w:val="23"/>
                <w:szCs w:val="23"/>
                <w:color w:val="auto"/>
              </w:rPr>
            </w:pPr>
          </w:p>
        </w:tc>
        <w:tc>
          <w:tcPr>
            <w:tcW w:w="10540" w:type="dxa"/>
            <w:vAlign w:val="bottom"/>
            <w:gridSpan w:val="25"/>
          </w:tcPr>
          <w:p>
            <w:pPr>
              <w:spacing w:after="0"/>
              <w:rPr>
                <w:rFonts w:ascii="Arial" w:cs="Arial" w:eastAsia="Arial" w:hAnsi="Arial"/>
                <w:sz w:val="15"/>
                <w:szCs w:val="15"/>
                <w:color w:val="0000EE"/>
                <w:w w:val="95"/>
              </w:rPr>
            </w:pPr>
            <w:hyperlink r:id="rId129">
              <w:r>
                <w:rPr>
                  <w:rFonts w:ascii="Arial" w:cs="Arial" w:eastAsia="Arial" w:hAnsi="Arial"/>
                  <w:sz w:val="15"/>
                  <w:szCs w:val="15"/>
                  <w:color w:val="0000EE"/>
                  <w:w w:val="95"/>
                </w:rPr>
                <w:t>Form of Amendment to Employment Agreement, dated December 31, 2011, between the Registrant and Yuichi Iwaki, M.D., Ph.D. (incorporated by reference to Exhibit</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40" w:type="dxa"/>
            <w:vAlign w:val="bottom"/>
            <w:tcBorders>
              <w:top w:val="single" w:sz="8" w:color="0000EE"/>
            </w:tcBorders>
            <w:gridSpan w:val="24"/>
          </w:tcPr>
          <w:p>
            <w:pPr>
              <w:spacing w:after="0" w:line="166" w:lineRule="exact"/>
              <w:rPr>
                <w:rFonts w:ascii="Arial" w:cs="Arial" w:eastAsia="Arial" w:hAnsi="Arial"/>
                <w:sz w:val="15"/>
                <w:szCs w:val="15"/>
                <w:color w:val="0000EE"/>
              </w:rPr>
            </w:pPr>
            <w:hyperlink r:id="rId129">
              <w:r>
                <w:rPr>
                  <w:rFonts w:ascii="Arial" w:cs="Arial" w:eastAsia="Arial" w:hAnsi="Arial"/>
                  <w:sz w:val="15"/>
                  <w:szCs w:val="15"/>
                  <w:color w:val="0000EE"/>
                </w:rPr>
                <w:t>10.</w:t>
              </w:r>
              <w:r>
                <w:rPr>
                  <w:rFonts w:ascii="Arial" w:cs="Arial" w:eastAsia="Arial" w:hAnsi="Arial"/>
                  <w:sz w:val="15"/>
                  <w:szCs w:val="15"/>
                  <w:u w:val="single" w:color="auto"/>
                  <w:color w:val="0000EE"/>
                </w:rPr>
                <w:t>1</w:t>
              </w:r>
              <w:r>
                <w:rPr>
                  <w:rFonts w:ascii="Arial" w:cs="Arial" w:eastAsia="Arial" w:hAnsi="Arial"/>
                  <w:sz w:val="15"/>
                  <w:szCs w:val="15"/>
                  <w:color w:val="0000EE"/>
                </w:rPr>
                <w:t xml:space="preserve"> of the Registrant’s Current Report on Form 8-K (File No. 001-33185) filed January 4, 2011).</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3"/>
          </w:tcPr>
          <w:p>
            <w:pPr>
              <w:ind w:left="60"/>
              <w:spacing w:after="0"/>
              <w:rPr>
                <w:sz w:val="20"/>
                <w:szCs w:val="20"/>
                <w:color w:val="auto"/>
              </w:rPr>
            </w:pPr>
            <w:r>
              <w:rPr>
                <w:rFonts w:ascii="Arial" w:cs="Arial" w:eastAsia="Arial" w:hAnsi="Arial"/>
                <w:sz w:val="15"/>
                <w:szCs w:val="15"/>
                <w:color w:val="auto"/>
              </w:rPr>
              <w:t>10.17†</w:t>
            </w:r>
          </w:p>
        </w:tc>
        <w:tc>
          <w:tcPr>
            <w:tcW w:w="9680" w:type="dxa"/>
            <w:vAlign w:val="bottom"/>
            <w:tcBorders>
              <w:bottom w:val="single" w:sz="8" w:color="0000EE"/>
            </w:tcBorders>
            <w:gridSpan w:val="12"/>
          </w:tcPr>
          <w:p>
            <w:pPr>
              <w:spacing w:after="0"/>
              <w:rPr>
                <w:rFonts w:ascii="Arial" w:cs="Arial" w:eastAsia="Arial" w:hAnsi="Arial"/>
                <w:sz w:val="15"/>
                <w:szCs w:val="15"/>
                <w:color w:val="0000EE"/>
                <w:w w:val="94"/>
              </w:rPr>
            </w:pPr>
            <w:hyperlink r:id="rId130">
              <w:r>
                <w:rPr>
                  <w:rFonts w:ascii="Arial" w:cs="Arial" w:eastAsia="Arial" w:hAnsi="Arial"/>
                  <w:sz w:val="15"/>
                  <w:szCs w:val="15"/>
                  <w:color w:val="0000EE"/>
                  <w:w w:val="94"/>
                </w:rPr>
                <w:t>Joint Venture Agreement, dated June 29, 2011, among the Registrant, Zhejiang Medicine Co., Ltd. and Beijing Make-Friend Medicine Technology Co., Ltd.</w:t>
              </w:r>
            </w:hyperlink>
          </w:p>
        </w:tc>
        <w:tc>
          <w:tcPr>
            <w:tcW w:w="86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80" w:type="dxa"/>
            <w:vAlign w:val="bottom"/>
            <w:tcBorders>
              <w:bottom w:val="single" w:sz="8" w:color="0000EE"/>
            </w:tcBorders>
            <w:gridSpan w:val="11"/>
          </w:tcPr>
          <w:p>
            <w:pPr>
              <w:spacing w:after="0" w:line="166" w:lineRule="exact"/>
              <w:rPr>
                <w:rFonts w:ascii="Arial" w:cs="Arial" w:eastAsia="Arial" w:hAnsi="Arial"/>
                <w:sz w:val="15"/>
                <w:szCs w:val="15"/>
                <w:color w:val="0000EE"/>
                <w:w w:val="94"/>
              </w:rPr>
            </w:pPr>
            <w:hyperlink r:id="rId130">
              <w:r>
                <w:rPr>
                  <w:rFonts w:ascii="Arial" w:cs="Arial" w:eastAsia="Arial" w:hAnsi="Arial"/>
                  <w:sz w:val="15"/>
                  <w:szCs w:val="15"/>
                  <w:color w:val="0000EE"/>
                  <w:w w:val="94"/>
                </w:rPr>
                <w:t>(incorporated by reference to Exhibit 10.44 of the Registrant’s Current Report on Form 10-Q (File No. 001-33185) filed August 15, 2011).</w:t>
              </w:r>
            </w:hyperlink>
          </w:p>
        </w:tc>
        <w:tc>
          <w:tcPr>
            <w:tcW w:w="196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10.18</w:t>
            </w:r>
          </w:p>
        </w:tc>
        <w:tc>
          <w:tcPr>
            <w:tcW w:w="140" w:type="dxa"/>
            <w:vAlign w:val="bottom"/>
          </w:tcPr>
          <w:p>
            <w:pPr>
              <w:spacing w:after="0"/>
              <w:rPr>
                <w:sz w:val="23"/>
                <w:szCs w:val="23"/>
                <w:color w:val="auto"/>
              </w:rPr>
            </w:pPr>
          </w:p>
        </w:tc>
        <w:tc>
          <w:tcPr>
            <w:tcW w:w="10540" w:type="dxa"/>
            <w:vAlign w:val="bottom"/>
            <w:gridSpan w:val="25"/>
          </w:tcPr>
          <w:p>
            <w:pPr>
              <w:spacing w:after="0"/>
              <w:rPr>
                <w:rFonts w:ascii="Arial" w:cs="Arial" w:eastAsia="Arial" w:hAnsi="Arial"/>
                <w:sz w:val="15"/>
                <w:szCs w:val="15"/>
                <w:color w:val="0000EE"/>
                <w:w w:val="95"/>
              </w:rPr>
            </w:pPr>
            <w:hyperlink r:id="rId131">
              <w:r>
                <w:rPr>
                  <w:rFonts w:ascii="Arial" w:cs="Arial" w:eastAsia="Arial" w:hAnsi="Arial"/>
                  <w:sz w:val="15"/>
                  <w:szCs w:val="15"/>
                  <w:color w:val="0000EE"/>
                  <w:w w:val="95"/>
                </w:rPr>
                <w:t>Sublease, by and between MediciNova, Inc. and Cardinal Health 127 Inc., dated August 31, 2017 (incorporated by reference to Exhibit 10.1 to Current Report on Form</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tcBorders>
              <w:top w:val="single" w:sz="8" w:color="0000EE"/>
              <w:bottom w:val="single" w:sz="8" w:color="0000EE"/>
            </w:tcBorders>
            <w:gridSpan w:val="2"/>
          </w:tcPr>
          <w:p>
            <w:pPr>
              <w:spacing w:after="0" w:line="166" w:lineRule="exact"/>
              <w:rPr>
                <w:rFonts w:ascii="Arial" w:cs="Arial" w:eastAsia="Arial" w:hAnsi="Arial"/>
                <w:sz w:val="15"/>
                <w:szCs w:val="15"/>
                <w:color w:val="0000EE"/>
                <w:w w:val="94"/>
              </w:rPr>
            </w:pPr>
            <w:hyperlink r:id="rId131">
              <w:r>
                <w:rPr>
                  <w:rFonts w:ascii="Arial" w:cs="Arial" w:eastAsia="Arial" w:hAnsi="Arial"/>
                  <w:sz w:val="15"/>
                  <w:szCs w:val="15"/>
                  <w:color w:val="0000EE"/>
                  <w:w w:val="94"/>
                </w:rPr>
                <w:t>8-K filed with the SEC on September 7, 2017).</w:t>
              </w:r>
            </w:hyperlink>
          </w:p>
        </w:tc>
        <w:tc>
          <w:tcPr>
            <w:tcW w:w="7440" w:type="dxa"/>
            <w:vAlign w:val="bottom"/>
            <w:tcBorders>
              <w:top w:val="single" w:sz="8" w:color="0000EE"/>
            </w:tcBorders>
            <w:gridSpan w:val="20"/>
          </w:tcPr>
          <w:p>
            <w:pPr>
              <w:spacing w:after="0"/>
              <w:rPr>
                <w:sz w:val="14"/>
                <w:szCs w:val="14"/>
                <w:color w:val="auto"/>
              </w:rPr>
            </w:pPr>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10.19</w:t>
            </w:r>
          </w:p>
        </w:tc>
        <w:tc>
          <w:tcPr>
            <w:tcW w:w="140" w:type="dxa"/>
            <w:vAlign w:val="bottom"/>
          </w:tcPr>
          <w:p>
            <w:pPr>
              <w:spacing w:after="0"/>
              <w:rPr>
                <w:sz w:val="23"/>
                <w:szCs w:val="23"/>
                <w:color w:val="auto"/>
              </w:rPr>
            </w:pPr>
          </w:p>
        </w:tc>
        <w:tc>
          <w:tcPr>
            <w:tcW w:w="10540" w:type="dxa"/>
            <w:vAlign w:val="bottom"/>
            <w:gridSpan w:val="25"/>
          </w:tcPr>
          <w:p>
            <w:pPr>
              <w:spacing w:after="0"/>
              <w:rPr>
                <w:rFonts w:ascii="Arial" w:cs="Arial" w:eastAsia="Arial" w:hAnsi="Arial"/>
                <w:sz w:val="15"/>
                <w:szCs w:val="15"/>
                <w:color w:val="0000EE"/>
                <w:w w:val="99"/>
              </w:rPr>
            </w:pPr>
            <w:hyperlink r:id="rId132">
              <w:r>
                <w:rPr>
                  <w:rFonts w:ascii="Arial" w:cs="Arial" w:eastAsia="Arial" w:hAnsi="Arial"/>
                  <w:sz w:val="15"/>
                  <w:szCs w:val="15"/>
                  <w:color w:val="0000EE"/>
                  <w:w w:val="99"/>
                </w:rPr>
                <w:t>Securities Purchase Agreement, dated May 9, 2013, between the Registrant and Samurai Investments San Diego LLC and Fountain Erika LLC (incorporated by</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EE"/>
            </w:tcBorders>
            <w:gridSpan w:val="15"/>
          </w:tcPr>
          <w:p>
            <w:pPr>
              <w:spacing w:after="0" w:line="166" w:lineRule="exact"/>
              <w:rPr>
                <w:rFonts w:ascii="Arial" w:cs="Arial" w:eastAsia="Arial" w:hAnsi="Arial"/>
                <w:sz w:val="15"/>
                <w:szCs w:val="15"/>
                <w:color w:val="0000EE"/>
              </w:rPr>
            </w:pPr>
            <w:hyperlink r:id="rId132">
              <w:r>
                <w:rPr>
                  <w:rFonts w:ascii="Arial" w:cs="Arial" w:eastAsia="Arial" w:hAnsi="Arial"/>
                  <w:sz w:val="15"/>
                  <w:szCs w:val="15"/>
                  <w:color w:val="0000EE"/>
                </w:rPr>
                <w:t>reference to Exhibit 10.1 of the Registrant’s Current Report on Form 8-K filed May 10, 2013).</w:t>
              </w:r>
            </w:hyperlink>
          </w:p>
        </w:tc>
        <w:tc>
          <w:tcPr>
            <w:tcW w:w="6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0" w:type="dxa"/>
            <w:vAlign w:val="bottom"/>
            <w:tcBorders>
              <w:top w:val="single" w:sz="8" w:color="0000EE"/>
            </w:tcBorders>
            <w:gridSpan w:val="6"/>
          </w:tcPr>
          <w:p>
            <w:pPr>
              <w:ind w:left="4720"/>
              <w:spacing w:after="0"/>
              <w:rPr>
                <w:sz w:val="20"/>
                <w:szCs w:val="20"/>
                <w:color w:val="auto"/>
              </w:rPr>
            </w:pPr>
            <w:r>
              <w:rPr>
                <w:rFonts w:ascii="Arial" w:cs="Arial" w:eastAsia="Arial" w:hAnsi="Arial"/>
                <w:sz w:val="15"/>
                <w:szCs w:val="15"/>
                <w:color w:val="auto"/>
              </w:rPr>
              <w:t>83</w:t>
            </w:r>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295" w:right="1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38"/>
        </w:trPr>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Exhibit</w:t>
            </w:r>
          </w:p>
        </w:tc>
        <w:tc>
          <w:tcPr>
            <w:tcW w:w="10440" w:type="dxa"/>
            <w:vAlign w:val="bottom"/>
            <w:gridSpan w:val="24"/>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0440" w:type="dxa"/>
            <w:vAlign w:val="bottom"/>
            <w:tcBorders>
              <w:bottom w:val="single" w:sz="8" w:color="auto"/>
            </w:tcBorders>
            <w:gridSpan w:val="24"/>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10.20*</w:t>
            </w:r>
          </w:p>
        </w:tc>
        <w:tc>
          <w:tcPr>
            <w:tcW w:w="140" w:type="dxa"/>
            <w:vAlign w:val="bottom"/>
          </w:tcPr>
          <w:p>
            <w:pPr>
              <w:spacing w:after="0"/>
              <w:rPr>
                <w:sz w:val="24"/>
                <w:szCs w:val="24"/>
                <w:color w:val="auto"/>
              </w:rPr>
            </w:pPr>
          </w:p>
        </w:tc>
        <w:tc>
          <w:tcPr>
            <w:tcW w:w="10440" w:type="dxa"/>
            <w:vAlign w:val="bottom"/>
            <w:gridSpan w:val="24"/>
          </w:tcPr>
          <w:p>
            <w:pPr>
              <w:spacing w:after="0"/>
              <w:rPr>
                <w:rFonts w:ascii="Arial" w:cs="Arial" w:eastAsia="Arial" w:hAnsi="Arial"/>
                <w:sz w:val="15"/>
                <w:szCs w:val="15"/>
                <w:color w:val="0000EE"/>
                <w:w w:val="99"/>
              </w:rPr>
            </w:pPr>
            <w:hyperlink r:id="rId135">
              <w:r>
                <w:rPr>
                  <w:rFonts w:ascii="Arial" w:cs="Arial" w:eastAsia="Arial" w:hAnsi="Arial"/>
                  <w:sz w:val="15"/>
                  <w:szCs w:val="15"/>
                  <w:color w:val="0000EE"/>
                  <w:w w:val="99"/>
                </w:rPr>
                <w:t>2013 Equity Incentive Plan of the Registrant (incorporated by reference to Exhibit 10.23 of the Registrant’s Annual Report on Form 10-K filed March 27, 2014).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10.21*</w:t>
            </w:r>
          </w:p>
        </w:tc>
        <w:tc>
          <w:tcPr>
            <w:tcW w:w="140" w:type="dxa"/>
            <w:vAlign w:val="bottom"/>
          </w:tcPr>
          <w:p>
            <w:pPr>
              <w:spacing w:after="0"/>
              <w:rPr>
                <w:sz w:val="23"/>
                <w:szCs w:val="23"/>
                <w:color w:val="auto"/>
              </w:rPr>
            </w:pPr>
          </w:p>
        </w:tc>
        <w:tc>
          <w:tcPr>
            <w:tcW w:w="10180" w:type="dxa"/>
            <w:vAlign w:val="bottom"/>
            <w:tcBorders>
              <w:bottom w:val="single" w:sz="8" w:color="0000EE"/>
            </w:tcBorders>
            <w:gridSpan w:val="19"/>
          </w:tcPr>
          <w:p>
            <w:pPr>
              <w:spacing w:after="0"/>
              <w:rPr>
                <w:rFonts w:ascii="Arial" w:cs="Arial" w:eastAsia="Arial" w:hAnsi="Arial"/>
                <w:sz w:val="15"/>
                <w:szCs w:val="15"/>
                <w:color w:val="0000EE"/>
                <w:w w:val="94"/>
              </w:rPr>
            </w:pPr>
            <w:hyperlink r:id="rId136">
              <w:r>
                <w:rPr>
                  <w:rFonts w:ascii="Arial" w:cs="Arial" w:eastAsia="Arial" w:hAnsi="Arial"/>
                  <w:sz w:val="15"/>
                  <w:szCs w:val="15"/>
                  <w:color w:val="0000EE"/>
                  <w:w w:val="94"/>
                </w:rPr>
                <w:t>Amended and Restated 2013 Equity Incentive Plan of the Registrant.* (incorporated by reference to Exhibit 10.1 of the Registrant’s Quarterly Report on Form 10-Q</w:t>
              </w:r>
            </w:hyperlink>
          </w:p>
        </w:tc>
        <w:tc>
          <w:tcPr>
            <w:tcW w:w="260" w:type="dxa"/>
            <w:vAlign w:val="bottom"/>
            <w:gridSpan w:val="5"/>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0000EE"/>
            </w:tcBorders>
            <w:gridSpan w:val="2"/>
          </w:tcPr>
          <w:p>
            <w:pPr>
              <w:spacing w:after="0" w:line="166" w:lineRule="exact"/>
              <w:rPr>
                <w:rFonts w:ascii="Arial" w:cs="Arial" w:eastAsia="Arial" w:hAnsi="Arial"/>
                <w:sz w:val="15"/>
                <w:szCs w:val="15"/>
                <w:color w:val="0000EE"/>
                <w:w w:val="95"/>
              </w:rPr>
            </w:pPr>
            <w:hyperlink r:id="rId136">
              <w:r>
                <w:rPr>
                  <w:rFonts w:ascii="Arial" w:cs="Arial" w:eastAsia="Arial" w:hAnsi="Arial"/>
                  <w:sz w:val="15"/>
                  <w:szCs w:val="15"/>
                  <w:color w:val="0000EE"/>
                  <w:w w:val="95"/>
                </w:rPr>
                <w:t>filed July 26, 2017).</w:t>
              </w:r>
            </w:hyperlink>
          </w:p>
        </w:tc>
        <w:tc>
          <w:tcPr>
            <w:tcW w:w="9180" w:type="dxa"/>
            <w:vAlign w:val="bottom"/>
            <w:gridSpan w:val="2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10.22*</w:t>
            </w:r>
          </w:p>
        </w:tc>
        <w:tc>
          <w:tcPr>
            <w:tcW w:w="140" w:type="dxa"/>
            <w:vAlign w:val="bottom"/>
          </w:tcPr>
          <w:p>
            <w:pPr>
              <w:spacing w:after="0"/>
              <w:rPr>
                <w:sz w:val="23"/>
                <w:szCs w:val="23"/>
                <w:color w:val="auto"/>
              </w:rPr>
            </w:pPr>
          </w:p>
        </w:tc>
        <w:tc>
          <w:tcPr>
            <w:tcW w:w="10440" w:type="dxa"/>
            <w:vAlign w:val="bottom"/>
            <w:gridSpan w:val="24"/>
          </w:tcPr>
          <w:p>
            <w:pPr>
              <w:spacing w:after="0"/>
              <w:rPr>
                <w:rFonts w:ascii="Arial" w:cs="Arial" w:eastAsia="Arial" w:hAnsi="Arial"/>
                <w:sz w:val="15"/>
                <w:szCs w:val="15"/>
                <w:color w:val="0000EE"/>
                <w:w w:val="94"/>
              </w:rPr>
            </w:pPr>
            <w:hyperlink r:id="rId137">
              <w:r>
                <w:rPr>
                  <w:rFonts w:ascii="Arial" w:cs="Arial" w:eastAsia="Arial" w:hAnsi="Arial"/>
                  <w:sz w:val="15"/>
                  <w:szCs w:val="15"/>
                  <w:color w:val="0000EE"/>
                  <w:w w:val="94"/>
                </w:rPr>
                <w:t>Form of Notice of Stock Option Grant and Stock Option Agreement for awards pursuant to the 2013 Equity Incentive Plan (incorporated by reference to Exhibit 10.3 of</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0" w:type="dxa"/>
            <w:vAlign w:val="bottom"/>
            <w:tcBorders>
              <w:top w:val="single" w:sz="8" w:color="0000EE"/>
            </w:tcBorders>
            <w:gridSpan w:val="23"/>
          </w:tcPr>
          <w:p>
            <w:pPr>
              <w:spacing w:after="0" w:line="166" w:lineRule="exact"/>
              <w:rPr>
                <w:rFonts w:ascii="Arial" w:cs="Arial" w:eastAsia="Arial" w:hAnsi="Arial"/>
                <w:sz w:val="15"/>
                <w:szCs w:val="15"/>
                <w:color w:val="0000EE"/>
              </w:rPr>
            </w:pPr>
            <w:hyperlink r:id="rId137">
              <w:r>
                <w:rPr>
                  <w:rFonts w:ascii="Arial" w:cs="Arial" w:eastAsia="Arial" w:hAnsi="Arial"/>
                  <w:sz w:val="15"/>
                  <w:szCs w:val="15"/>
                  <w:color w:val="0000EE"/>
                </w:rPr>
                <w:t>the Registrant’s Quarterly Report on Form 10-Q filed November 7, 2013).</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10.23*</w:t>
            </w:r>
          </w:p>
        </w:tc>
        <w:tc>
          <w:tcPr>
            <w:tcW w:w="140" w:type="dxa"/>
            <w:vAlign w:val="bottom"/>
          </w:tcPr>
          <w:p>
            <w:pPr>
              <w:spacing w:after="0"/>
              <w:rPr>
                <w:sz w:val="23"/>
                <w:szCs w:val="23"/>
                <w:color w:val="auto"/>
              </w:rPr>
            </w:pPr>
          </w:p>
        </w:tc>
        <w:tc>
          <w:tcPr>
            <w:tcW w:w="10440" w:type="dxa"/>
            <w:vAlign w:val="bottom"/>
            <w:gridSpan w:val="24"/>
          </w:tcPr>
          <w:p>
            <w:pPr>
              <w:spacing w:after="0"/>
              <w:rPr>
                <w:rFonts w:ascii="Arial" w:cs="Arial" w:eastAsia="Arial" w:hAnsi="Arial"/>
                <w:sz w:val="15"/>
                <w:szCs w:val="15"/>
                <w:color w:val="0000EE"/>
                <w:w w:val="99"/>
              </w:rPr>
            </w:pPr>
            <w:hyperlink r:id="rId138">
              <w:r>
                <w:rPr>
                  <w:rFonts w:ascii="Arial" w:cs="Arial" w:eastAsia="Arial" w:hAnsi="Arial"/>
                  <w:sz w:val="15"/>
                  <w:szCs w:val="15"/>
                  <w:color w:val="0000EE"/>
                  <w:w w:val="99"/>
                </w:rPr>
                <w:t>Severance Protection Agreement, dated July 14, 2014, by and between MediciNova, Inc. and Dr. Yuichi Iwaki (incorporated by reference to Exhibit 10.2 of the</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Borders>
              <w:top w:val="single" w:sz="8" w:color="0000EE"/>
              <w:bottom w:val="single" w:sz="8" w:color="0000EE"/>
            </w:tcBorders>
            <w:gridSpan w:val="6"/>
          </w:tcPr>
          <w:p>
            <w:pPr>
              <w:spacing w:after="0" w:line="166" w:lineRule="exact"/>
              <w:rPr>
                <w:rFonts w:ascii="Arial" w:cs="Arial" w:eastAsia="Arial" w:hAnsi="Arial"/>
                <w:sz w:val="15"/>
                <w:szCs w:val="15"/>
                <w:color w:val="0000EE"/>
                <w:w w:val="94"/>
              </w:rPr>
            </w:pPr>
            <w:hyperlink r:id="rId138">
              <w:r>
                <w:rPr>
                  <w:rFonts w:ascii="Arial" w:cs="Arial" w:eastAsia="Arial" w:hAnsi="Arial"/>
                  <w:sz w:val="15"/>
                  <w:szCs w:val="15"/>
                  <w:color w:val="0000EE"/>
                  <w:w w:val="94"/>
                </w:rPr>
                <w:t>Registrant’s Quarterly Report on Form 10-Q filed August 13, 2014).</w:t>
              </w:r>
            </w:hyperlink>
          </w:p>
        </w:tc>
        <w:tc>
          <w:tcPr>
            <w:tcW w:w="5620" w:type="dxa"/>
            <w:vAlign w:val="bottom"/>
            <w:tcBorders>
              <w:top w:val="single" w:sz="8" w:color="0000EE"/>
            </w:tcBorders>
            <w:gridSpan w:val="9"/>
          </w:tcPr>
          <w:p>
            <w:pPr>
              <w:spacing w:after="0"/>
              <w:rPr>
                <w:sz w:val="14"/>
                <w:szCs w:val="14"/>
                <w:color w:val="auto"/>
              </w:rPr>
            </w:pPr>
          </w:p>
        </w:tc>
        <w:tc>
          <w:tcPr>
            <w:tcW w:w="580" w:type="dxa"/>
            <w:vAlign w:val="bottom"/>
            <w:gridSpan w:val="9"/>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10.24*</w:t>
            </w:r>
          </w:p>
        </w:tc>
        <w:tc>
          <w:tcPr>
            <w:tcW w:w="140" w:type="dxa"/>
            <w:vAlign w:val="bottom"/>
          </w:tcPr>
          <w:p>
            <w:pPr>
              <w:spacing w:after="0"/>
              <w:rPr>
                <w:sz w:val="24"/>
                <w:szCs w:val="24"/>
                <w:color w:val="auto"/>
              </w:rPr>
            </w:pPr>
          </w:p>
        </w:tc>
        <w:tc>
          <w:tcPr>
            <w:tcW w:w="10440" w:type="dxa"/>
            <w:vAlign w:val="bottom"/>
            <w:gridSpan w:val="24"/>
          </w:tcPr>
          <w:p>
            <w:pPr>
              <w:spacing w:after="0"/>
              <w:rPr>
                <w:rFonts w:ascii="Arial" w:cs="Arial" w:eastAsia="Arial" w:hAnsi="Arial"/>
                <w:sz w:val="15"/>
                <w:szCs w:val="15"/>
                <w:color w:val="0000EE"/>
                <w:w w:val="96"/>
              </w:rPr>
            </w:pPr>
            <w:hyperlink r:id="rId139">
              <w:r>
                <w:rPr>
                  <w:rFonts w:ascii="Arial" w:cs="Arial" w:eastAsia="Arial" w:hAnsi="Arial"/>
                  <w:sz w:val="15"/>
                  <w:szCs w:val="15"/>
                  <w:color w:val="0000EE"/>
                  <w:w w:val="96"/>
                </w:rPr>
                <w:t>Severance Protection Agreement, dated July 14, 2014, by and between MediciNova, Inc. and Dr. Kazuko Matsuda (incorporated by reference to Exhibit 10.4 of the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Borders>
              <w:top w:val="single" w:sz="8" w:color="0000EE"/>
              <w:bottom w:val="single" w:sz="8" w:color="0000EE"/>
            </w:tcBorders>
            <w:gridSpan w:val="6"/>
          </w:tcPr>
          <w:p>
            <w:pPr>
              <w:spacing w:after="0" w:line="166" w:lineRule="exact"/>
              <w:rPr>
                <w:rFonts w:ascii="Arial" w:cs="Arial" w:eastAsia="Arial" w:hAnsi="Arial"/>
                <w:sz w:val="15"/>
                <w:szCs w:val="15"/>
                <w:color w:val="0000EE"/>
                <w:w w:val="94"/>
              </w:rPr>
            </w:pPr>
            <w:hyperlink r:id="rId139">
              <w:r>
                <w:rPr>
                  <w:rFonts w:ascii="Arial" w:cs="Arial" w:eastAsia="Arial" w:hAnsi="Arial"/>
                  <w:sz w:val="15"/>
                  <w:szCs w:val="15"/>
                  <w:color w:val="0000EE"/>
                  <w:w w:val="94"/>
                </w:rPr>
                <w:t>Registrant’s Quarterly Report on Form 10-Q filed August 13, 2014).</w:t>
              </w:r>
            </w:hyperlink>
          </w:p>
        </w:tc>
        <w:tc>
          <w:tcPr>
            <w:tcW w:w="5880" w:type="dxa"/>
            <w:vAlign w:val="bottom"/>
            <w:tcBorders>
              <w:top w:val="single" w:sz="8" w:color="0000EE"/>
            </w:tcBorders>
            <w:gridSpan w:val="12"/>
          </w:tcPr>
          <w:p>
            <w:pPr>
              <w:spacing w:after="0"/>
              <w:rPr>
                <w:sz w:val="14"/>
                <w:szCs w:val="14"/>
                <w:color w:val="auto"/>
              </w:rPr>
            </w:pPr>
          </w:p>
        </w:tc>
        <w:tc>
          <w:tcPr>
            <w:tcW w:w="320" w:type="dxa"/>
            <w:vAlign w:val="bottom"/>
            <w:gridSpan w:val="6"/>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10.25*</w:t>
            </w:r>
          </w:p>
        </w:tc>
        <w:tc>
          <w:tcPr>
            <w:tcW w:w="140" w:type="dxa"/>
            <w:vAlign w:val="bottom"/>
          </w:tcPr>
          <w:p>
            <w:pPr>
              <w:spacing w:after="0"/>
              <w:rPr>
                <w:sz w:val="23"/>
                <w:szCs w:val="23"/>
                <w:color w:val="auto"/>
              </w:rPr>
            </w:pPr>
          </w:p>
        </w:tc>
        <w:tc>
          <w:tcPr>
            <w:tcW w:w="9960" w:type="dxa"/>
            <w:vAlign w:val="bottom"/>
            <w:tcBorders>
              <w:bottom w:val="single" w:sz="8" w:color="0000EE"/>
            </w:tcBorders>
            <w:gridSpan w:val="16"/>
          </w:tcPr>
          <w:p>
            <w:pPr>
              <w:spacing w:after="0"/>
              <w:rPr>
                <w:rFonts w:ascii="Arial" w:cs="Arial" w:eastAsia="Arial" w:hAnsi="Arial"/>
                <w:sz w:val="15"/>
                <w:szCs w:val="15"/>
                <w:color w:val="0000EE"/>
                <w:w w:val="93"/>
              </w:rPr>
            </w:pPr>
            <w:hyperlink r:id="rId140">
              <w:r>
                <w:rPr>
                  <w:rFonts w:ascii="Arial" w:cs="Arial" w:eastAsia="Arial" w:hAnsi="Arial"/>
                  <w:sz w:val="15"/>
                  <w:szCs w:val="15"/>
                  <w:color w:val="0000EE"/>
                  <w:w w:val="93"/>
                </w:rPr>
                <w:t>Severance Protection Agreement, dated July 14, 2014, by and between MediciNova, Inc. and Geoffrey O’Brien (incorporated by reference to Exhibit 10.5 of the</w:t>
              </w:r>
            </w:hyperlink>
          </w:p>
        </w:tc>
        <w:tc>
          <w:tcPr>
            <w:tcW w:w="480" w:type="dxa"/>
            <w:vAlign w:val="bottom"/>
            <w:gridSpan w:val="8"/>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Borders>
              <w:bottom w:val="single" w:sz="8" w:color="0000EE"/>
            </w:tcBorders>
            <w:gridSpan w:val="6"/>
          </w:tcPr>
          <w:p>
            <w:pPr>
              <w:spacing w:after="0" w:line="166" w:lineRule="exact"/>
              <w:rPr>
                <w:rFonts w:ascii="Arial" w:cs="Arial" w:eastAsia="Arial" w:hAnsi="Arial"/>
                <w:sz w:val="15"/>
                <w:szCs w:val="15"/>
                <w:color w:val="0000EE"/>
                <w:w w:val="94"/>
              </w:rPr>
            </w:pPr>
            <w:hyperlink r:id="rId140">
              <w:r>
                <w:rPr>
                  <w:rFonts w:ascii="Arial" w:cs="Arial" w:eastAsia="Arial" w:hAnsi="Arial"/>
                  <w:sz w:val="15"/>
                  <w:szCs w:val="15"/>
                  <w:color w:val="0000EE"/>
                  <w:w w:val="94"/>
                </w:rPr>
                <w:t>Registrant’s Quarterly Report on Form 10-Q filed August 13, 2014).</w:t>
              </w:r>
            </w:hyperlink>
          </w:p>
        </w:tc>
        <w:tc>
          <w:tcPr>
            <w:tcW w:w="6200" w:type="dxa"/>
            <w:vAlign w:val="bottom"/>
            <w:gridSpan w:val="18"/>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10.26</w:t>
            </w:r>
          </w:p>
        </w:tc>
        <w:tc>
          <w:tcPr>
            <w:tcW w:w="140" w:type="dxa"/>
            <w:vAlign w:val="bottom"/>
          </w:tcPr>
          <w:p>
            <w:pPr>
              <w:spacing w:after="0"/>
              <w:rPr>
                <w:sz w:val="23"/>
                <w:szCs w:val="23"/>
                <w:color w:val="auto"/>
              </w:rPr>
            </w:pPr>
          </w:p>
        </w:tc>
        <w:tc>
          <w:tcPr>
            <w:tcW w:w="10240" w:type="dxa"/>
            <w:vAlign w:val="bottom"/>
            <w:tcBorders>
              <w:bottom w:val="single" w:sz="8" w:color="0000EE"/>
            </w:tcBorders>
            <w:gridSpan w:val="20"/>
          </w:tcPr>
          <w:p>
            <w:pPr>
              <w:spacing w:after="0"/>
              <w:rPr>
                <w:rFonts w:ascii="Arial" w:cs="Arial" w:eastAsia="Arial" w:hAnsi="Arial"/>
                <w:sz w:val="15"/>
                <w:szCs w:val="15"/>
                <w:color w:val="0000EE"/>
                <w:w w:val="94"/>
              </w:rPr>
            </w:pPr>
            <w:hyperlink r:id="rId141">
              <w:r>
                <w:rPr>
                  <w:rFonts w:ascii="Arial" w:cs="Arial" w:eastAsia="Arial" w:hAnsi="Arial"/>
                  <w:sz w:val="15"/>
                  <w:szCs w:val="15"/>
                  <w:color w:val="0000EE"/>
                  <w:w w:val="94"/>
                </w:rPr>
                <w:t>At-the-Market Issuance Sales Agreement, dated May 22, 2015, by and between MediciNova, Inc. and MLV &amp; Co. LLC (incorporated by reference to Exhibit 10.1 of</w:t>
              </w:r>
            </w:hyperlink>
          </w:p>
        </w:tc>
        <w:tc>
          <w:tcPr>
            <w:tcW w:w="200" w:type="dxa"/>
            <w:vAlign w:val="bottom"/>
            <w:gridSpan w:val="4"/>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Borders>
              <w:bottom w:val="single" w:sz="8" w:color="0000EE"/>
            </w:tcBorders>
            <w:gridSpan w:val="5"/>
          </w:tcPr>
          <w:p>
            <w:pPr>
              <w:spacing w:after="0" w:line="166" w:lineRule="exact"/>
              <w:rPr>
                <w:rFonts w:ascii="Arial" w:cs="Arial" w:eastAsia="Arial" w:hAnsi="Arial"/>
                <w:sz w:val="15"/>
                <w:szCs w:val="15"/>
                <w:color w:val="0000EE"/>
                <w:w w:val="94"/>
              </w:rPr>
            </w:pPr>
            <w:hyperlink r:id="rId141">
              <w:r>
                <w:rPr>
                  <w:rFonts w:ascii="Arial" w:cs="Arial" w:eastAsia="Arial" w:hAnsi="Arial"/>
                  <w:sz w:val="15"/>
                  <w:szCs w:val="15"/>
                  <w:color w:val="0000EE"/>
                  <w:w w:val="94"/>
                </w:rPr>
                <w:t>the Registrant’s Current Report on Form 8-K filed May 22, 2015).</w:t>
              </w:r>
            </w:hyperlink>
          </w:p>
        </w:tc>
        <w:tc>
          <w:tcPr>
            <w:tcW w:w="6340" w:type="dxa"/>
            <w:vAlign w:val="bottom"/>
            <w:gridSpan w:val="19"/>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10.27</w:t>
            </w:r>
          </w:p>
        </w:tc>
        <w:tc>
          <w:tcPr>
            <w:tcW w:w="140" w:type="dxa"/>
            <w:vAlign w:val="bottom"/>
          </w:tcPr>
          <w:p>
            <w:pPr>
              <w:spacing w:after="0"/>
              <w:rPr>
                <w:sz w:val="23"/>
                <w:szCs w:val="23"/>
                <w:color w:val="auto"/>
              </w:rPr>
            </w:pPr>
          </w:p>
        </w:tc>
        <w:tc>
          <w:tcPr>
            <w:tcW w:w="10440" w:type="dxa"/>
            <w:vAlign w:val="bottom"/>
            <w:gridSpan w:val="24"/>
          </w:tcPr>
          <w:p>
            <w:pPr>
              <w:spacing w:after="0"/>
              <w:rPr>
                <w:rFonts w:ascii="Arial" w:cs="Arial" w:eastAsia="Arial" w:hAnsi="Arial"/>
                <w:sz w:val="15"/>
                <w:szCs w:val="15"/>
                <w:color w:val="0000EE"/>
                <w:w w:val="95"/>
              </w:rPr>
            </w:pPr>
            <w:hyperlink r:id="rId142">
              <w:r>
                <w:rPr>
                  <w:rFonts w:ascii="Arial" w:cs="Arial" w:eastAsia="Arial" w:hAnsi="Arial"/>
                  <w:sz w:val="15"/>
                  <w:szCs w:val="15"/>
                  <w:color w:val="0000EE"/>
                  <w:w w:val="95"/>
                </w:rPr>
                <w:t>Services Agreement, effective March 31, 2016, by and between MediciNova, Inc. and Signature Analytics San Diego, LLC (incorporated by reference to Exhibit 10.1</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80" w:type="dxa"/>
            <w:vAlign w:val="bottom"/>
            <w:tcBorders>
              <w:top w:val="single" w:sz="8" w:color="0000EE"/>
            </w:tcBorders>
            <w:gridSpan w:val="22"/>
          </w:tcPr>
          <w:p>
            <w:pPr>
              <w:spacing w:after="0" w:line="166" w:lineRule="exact"/>
              <w:rPr>
                <w:rFonts w:ascii="Arial" w:cs="Arial" w:eastAsia="Arial" w:hAnsi="Arial"/>
                <w:sz w:val="15"/>
                <w:szCs w:val="15"/>
                <w:color w:val="0000EE"/>
              </w:rPr>
            </w:pPr>
            <w:hyperlink r:id="rId142">
              <w:r>
                <w:rPr>
                  <w:rFonts w:ascii="Arial" w:cs="Arial" w:eastAsia="Arial" w:hAnsi="Arial"/>
                  <w:sz w:val="15"/>
                  <w:szCs w:val="15"/>
                  <w:color w:val="0000EE"/>
                </w:rPr>
                <w:t>of the Registrant’s Current Report on Form 8-K filed March 31, 2016).</w:t>
              </w:r>
            </w:hyperlink>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80" w:type="dxa"/>
            <w:vAlign w:val="bottom"/>
            <w:gridSpan w:val="23"/>
          </w:tcPr>
          <w:p>
            <w:pPr>
              <w:spacing w:after="0"/>
              <w:rPr>
                <w:rFonts w:ascii="Arial" w:cs="Arial" w:eastAsia="Arial" w:hAnsi="Arial"/>
                <w:sz w:val="15"/>
                <w:szCs w:val="15"/>
                <w:color w:val="0000EE"/>
                <w:w w:val="98"/>
              </w:rPr>
            </w:pPr>
            <w:hyperlink r:id="rId143">
              <w:r>
                <w:rPr>
                  <w:rFonts w:ascii="Arial" w:cs="Arial" w:eastAsia="Arial" w:hAnsi="Arial"/>
                  <w:sz w:val="15"/>
                  <w:szCs w:val="15"/>
                  <w:color w:val="0000EE"/>
                  <w:w w:val="98"/>
                </w:rPr>
                <w:t>Amendment No. 1 to At-the Market Issuance Sales Agreement, dated September 16, 2016, by and among MediciNova, Inc., MLV &amp; Co. LLC and FBR Capital</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tcBorders>
              <w:top w:val="single" w:sz="8" w:color="0000EE"/>
              <w:bottom w:val="single" w:sz="8" w:color="0000EE"/>
            </w:tcBorders>
            <w:gridSpan w:val="11"/>
          </w:tcPr>
          <w:p>
            <w:pPr>
              <w:spacing w:after="0" w:line="166" w:lineRule="exact"/>
              <w:rPr>
                <w:rFonts w:ascii="Arial" w:cs="Arial" w:eastAsia="Arial" w:hAnsi="Arial"/>
                <w:sz w:val="15"/>
                <w:szCs w:val="15"/>
                <w:color w:val="0000EE"/>
                <w:w w:val="94"/>
              </w:rPr>
            </w:pPr>
            <w:hyperlink r:id="rId143">
              <w:r>
                <w:rPr>
                  <w:rFonts w:ascii="Arial" w:cs="Arial" w:eastAsia="Arial" w:hAnsi="Arial"/>
                  <w:sz w:val="15"/>
                  <w:szCs w:val="15"/>
                  <w:color w:val="0000EE"/>
                  <w:w w:val="94"/>
                </w:rPr>
                <w:t>Markets &amp; Co. (incorporated by reference to Exhibit 10.1 of the Registrant’s Current Report on Form 8-K filed September 16, 2016).</w:t>
              </w:r>
            </w:hyperlink>
          </w:p>
        </w:tc>
        <w:tc>
          <w:tcPr>
            <w:tcW w:w="1640" w:type="dxa"/>
            <w:vAlign w:val="bottom"/>
            <w:tcBorders>
              <w:top w:val="single" w:sz="8" w:color="0000EE"/>
            </w:tcBorders>
            <w:gridSpan w:val="5"/>
          </w:tcPr>
          <w:p>
            <w:pPr>
              <w:spacing w:after="0"/>
              <w:rPr>
                <w:sz w:val="14"/>
                <w:szCs w:val="14"/>
                <w:color w:val="auto"/>
              </w:rPr>
            </w:pPr>
          </w:p>
        </w:tc>
        <w:tc>
          <w:tcPr>
            <w:tcW w:w="400" w:type="dxa"/>
            <w:vAlign w:val="bottom"/>
            <w:gridSpan w:val="7"/>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7"/>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10.29</w:t>
            </w:r>
          </w:p>
        </w:tc>
        <w:tc>
          <w:tcPr>
            <w:tcW w:w="140" w:type="dxa"/>
            <w:vAlign w:val="bottom"/>
          </w:tcPr>
          <w:p>
            <w:pPr>
              <w:spacing w:after="0"/>
              <w:rPr>
                <w:sz w:val="24"/>
                <w:szCs w:val="24"/>
                <w:color w:val="auto"/>
              </w:rPr>
            </w:pPr>
          </w:p>
        </w:tc>
        <w:tc>
          <w:tcPr>
            <w:tcW w:w="10440" w:type="dxa"/>
            <w:vAlign w:val="bottom"/>
            <w:gridSpan w:val="24"/>
          </w:tcPr>
          <w:p>
            <w:pPr>
              <w:spacing w:after="0"/>
              <w:rPr>
                <w:rFonts w:ascii="Arial" w:cs="Arial" w:eastAsia="Arial" w:hAnsi="Arial"/>
                <w:sz w:val="15"/>
                <w:szCs w:val="15"/>
                <w:color w:val="0000EE"/>
                <w:w w:val="96"/>
              </w:rPr>
            </w:pPr>
            <w:hyperlink r:id="rId144">
              <w:r>
                <w:rPr>
                  <w:rFonts w:ascii="Arial" w:cs="Arial" w:eastAsia="Arial" w:hAnsi="Arial"/>
                  <w:sz w:val="15"/>
                  <w:szCs w:val="15"/>
                  <w:color w:val="0000EE"/>
                  <w:w w:val="96"/>
                </w:rPr>
                <w:t>At Market Issuance Sales Agreement, dated August 23, 2019, by and between MediciNova, Inc. and B. Riley FBR, Inc. (incorporated by reference to Exhibit 10.1 of</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60" w:type="dxa"/>
            <w:vAlign w:val="bottom"/>
            <w:tcBorders>
              <w:top w:val="single" w:sz="8" w:color="0000EE"/>
            </w:tcBorders>
            <w:gridSpan w:val="21"/>
          </w:tcPr>
          <w:p>
            <w:pPr>
              <w:spacing w:after="0" w:line="166" w:lineRule="exact"/>
              <w:rPr>
                <w:rFonts w:ascii="Arial" w:cs="Arial" w:eastAsia="Arial" w:hAnsi="Arial"/>
                <w:sz w:val="15"/>
                <w:szCs w:val="15"/>
                <w:color w:val="0000EE"/>
              </w:rPr>
            </w:pPr>
            <w:hyperlink r:id="rId144">
              <w:r>
                <w:rPr>
                  <w:rFonts w:ascii="Arial" w:cs="Arial" w:eastAsia="Arial" w:hAnsi="Arial"/>
                  <w:sz w:val="15"/>
                  <w:szCs w:val="15"/>
                  <w:color w:val="0000EE"/>
                </w:rPr>
                <w:t>the Registrant’s Current Report on Form 8-K filed August 23, 2019).</w:t>
              </w:r>
            </w:hyperlink>
          </w:p>
        </w:tc>
        <w:tc>
          <w:tcPr>
            <w:tcW w:w="1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23.1</w:t>
            </w:r>
          </w:p>
        </w:tc>
        <w:tc>
          <w:tcPr>
            <w:tcW w:w="140" w:type="dxa"/>
            <w:vAlign w:val="bottom"/>
          </w:tcPr>
          <w:p>
            <w:pPr>
              <w:spacing w:after="0"/>
              <w:rPr>
                <w:sz w:val="23"/>
                <w:szCs w:val="23"/>
                <w:color w:val="auto"/>
              </w:rPr>
            </w:pPr>
          </w:p>
        </w:tc>
        <w:tc>
          <w:tcPr>
            <w:tcW w:w="3760" w:type="dxa"/>
            <w:vAlign w:val="bottom"/>
            <w:tcBorders>
              <w:top w:val="single" w:sz="8" w:color="0000EE"/>
              <w:bottom w:val="single" w:sz="8" w:color="0000EE"/>
            </w:tcBorders>
            <w:gridSpan w:val="4"/>
          </w:tcPr>
          <w:p>
            <w:pPr>
              <w:spacing w:after="0"/>
              <w:rPr>
                <w:rFonts w:ascii="Arial" w:cs="Arial" w:eastAsia="Arial" w:hAnsi="Arial"/>
                <w:sz w:val="15"/>
                <w:szCs w:val="15"/>
                <w:color w:val="0000EE"/>
                <w:w w:val="93"/>
              </w:rPr>
            </w:pPr>
            <w:hyperlink w:anchor="page87">
              <w:r>
                <w:rPr>
                  <w:rFonts w:ascii="Arial" w:cs="Arial" w:eastAsia="Arial" w:hAnsi="Arial"/>
                  <w:sz w:val="15"/>
                  <w:szCs w:val="15"/>
                  <w:color w:val="0000EE"/>
                  <w:w w:val="93"/>
                </w:rPr>
                <w:t>Consent of Independent Registered Public Accounting Firm.</w:t>
              </w:r>
            </w:hyperlink>
          </w:p>
        </w:tc>
        <w:tc>
          <w:tcPr>
            <w:tcW w:w="500" w:type="dxa"/>
            <w:vAlign w:val="bottom"/>
            <w:tcBorders>
              <w:top w:val="single" w:sz="8" w:color="0000EE"/>
            </w:tcBorders>
            <w:gridSpan w:val="3"/>
          </w:tcPr>
          <w:p>
            <w:pPr>
              <w:spacing w:after="0"/>
              <w:rPr>
                <w:sz w:val="23"/>
                <w:szCs w:val="23"/>
                <w:color w:val="auto"/>
              </w:rPr>
            </w:pPr>
          </w:p>
        </w:tc>
        <w:tc>
          <w:tcPr>
            <w:tcW w:w="6180" w:type="dxa"/>
            <w:vAlign w:val="bottom"/>
            <w:gridSpan w:val="17"/>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24.1</w:t>
            </w:r>
          </w:p>
        </w:tc>
        <w:tc>
          <w:tcPr>
            <w:tcW w:w="140" w:type="dxa"/>
            <w:vAlign w:val="bottom"/>
          </w:tcPr>
          <w:p>
            <w:pPr>
              <w:spacing w:after="0"/>
              <w:rPr>
                <w:sz w:val="23"/>
                <w:szCs w:val="23"/>
                <w:color w:val="auto"/>
              </w:rPr>
            </w:pPr>
          </w:p>
        </w:tc>
        <w:tc>
          <w:tcPr>
            <w:tcW w:w="10440" w:type="dxa"/>
            <w:vAlign w:val="bottom"/>
            <w:gridSpan w:val="24"/>
          </w:tcPr>
          <w:p>
            <w:pPr>
              <w:spacing w:after="0"/>
              <w:rPr>
                <w:rFonts w:ascii="Arial" w:cs="Arial" w:eastAsia="Arial" w:hAnsi="Arial"/>
                <w:sz w:val="15"/>
                <w:szCs w:val="15"/>
                <w:color w:val="0000EE"/>
              </w:rPr>
            </w:pPr>
            <w:hyperlink w:anchor="page86">
              <w:r>
                <w:rPr>
                  <w:rFonts w:ascii="Arial" w:cs="Arial" w:eastAsia="Arial" w:hAnsi="Arial"/>
                  <w:sz w:val="15"/>
                  <w:szCs w:val="15"/>
                  <w:color w:val="0000EE"/>
                </w:rPr>
                <w:t>Powers of Attorney (see signature page).</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31.1</w:t>
            </w:r>
          </w:p>
        </w:tc>
        <w:tc>
          <w:tcPr>
            <w:tcW w:w="140" w:type="dxa"/>
            <w:vAlign w:val="bottom"/>
          </w:tcPr>
          <w:p>
            <w:pPr>
              <w:spacing w:after="0"/>
              <w:rPr>
                <w:sz w:val="23"/>
                <w:szCs w:val="23"/>
                <w:color w:val="auto"/>
              </w:rPr>
            </w:pPr>
          </w:p>
        </w:tc>
        <w:tc>
          <w:tcPr>
            <w:tcW w:w="10440" w:type="dxa"/>
            <w:vAlign w:val="bottom"/>
            <w:gridSpan w:val="24"/>
          </w:tcPr>
          <w:p>
            <w:pPr>
              <w:spacing w:after="0"/>
              <w:rPr>
                <w:rFonts w:ascii="Arial" w:cs="Arial" w:eastAsia="Arial" w:hAnsi="Arial"/>
                <w:sz w:val="15"/>
                <w:szCs w:val="15"/>
                <w:color w:val="0000EE"/>
              </w:rPr>
            </w:pPr>
            <w:hyperlink w:anchor="page88">
              <w:r>
                <w:rPr>
                  <w:rFonts w:ascii="Arial" w:cs="Arial" w:eastAsia="Arial" w:hAnsi="Arial"/>
                  <w:sz w:val="15"/>
                  <w:szCs w:val="15"/>
                  <w:color w:val="0000EE"/>
                </w:rPr>
                <w:t>Certification of the Principal Executive Officer pursuant to Rules 13a-14 and 15d-14 promulgated under the Securities Act of 1933.</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31.2</w:t>
            </w:r>
          </w:p>
        </w:tc>
        <w:tc>
          <w:tcPr>
            <w:tcW w:w="140" w:type="dxa"/>
            <w:vAlign w:val="bottom"/>
          </w:tcPr>
          <w:p>
            <w:pPr>
              <w:spacing w:after="0"/>
              <w:rPr>
                <w:sz w:val="23"/>
                <w:szCs w:val="23"/>
                <w:color w:val="auto"/>
              </w:rPr>
            </w:pPr>
          </w:p>
        </w:tc>
        <w:tc>
          <w:tcPr>
            <w:tcW w:w="8140" w:type="dxa"/>
            <w:vAlign w:val="bottom"/>
            <w:tcBorders>
              <w:top w:val="single" w:sz="8" w:color="0000EE"/>
            </w:tcBorders>
            <w:gridSpan w:val="11"/>
          </w:tcPr>
          <w:p>
            <w:pPr>
              <w:spacing w:after="0"/>
              <w:rPr>
                <w:rFonts w:ascii="Arial" w:cs="Arial" w:eastAsia="Arial" w:hAnsi="Arial"/>
                <w:sz w:val="15"/>
                <w:szCs w:val="15"/>
                <w:color w:val="0000EE"/>
                <w:w w:val="94"/>
              </w:rPr>
            </w:pPr>
            <w:hyperlink w:anchor="page89">
              <w:r>
                <w:rPr>
                  <w:rFonts w:ascii="Arial" w:cs="Arial" w:eastAsia="Arial" w:hAnsi="Arial"/>
                  <w:sz w:val="15"/>
                  <w:szCs w:val="15"/>
                  <w:color w:val="0000EE"/>
                  <w:w w:val="94"/>
                </w:rPr>
                <w:t>Certification of the Principal Financial Officer pursuant to Rules 13a-14 and 15d-14 promulgated under the Securities Act of 1933.</w:t>
              </w:r>
            </w:hyperlink>
          </w:p>
        </w:tc>
        <w:tc>
          <w:tcPr>
            <w:tcW w:w="2300" w:type="dxa"/>
            <w:vAlign w:val="bottom"/>
            <w:gridSpan w:val="13"/>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100" w:type="dxa"/>
            <w:vAlign w:val="bottom"/>
            <w:gridSpan w:val="10"/>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32.1</w:t>
            </w:r>
          </w:p>
        </w:tc>
        <w:tc>
          <w:tcPr>
            <w:tcW w:w="140" w:type="dxa"/>
            <w:vAlign w:val="bottom"/>
          </w:tcPr>
          <w:p>
            <w:pPr>
              <w:spacing w:after="0"/>
              <w:rPr>
                <w:sz w:val="23"/>
                <w:szCs w:val="23"/>
                <w:color w:val="auto"/>
              </w:rPr>
            </w:pPr>
          </w:p>
        </w:tc>
        <w:tc>
          <w:tcPr>
            <w:tcW w:w="10440" w:type="dxa"/>
            <w:vAlign w:val="bottom"/>
            <w:gridSpan w:val="24"/>
          </w:tcPr>
          <w:p>
            <w:pPr>
              <w:spacing w:after="0"/>
              <w:rPr>
                <w:rFonts w:ascii="Arial" w:cs="Arial" w:eastAsia="Arial" w:hAnsi="Arial"/>
                <w:sz w:val="15"/>
                <w:szCs w:val="15"/>
                <w:color w:val="0000EE"/>
              </w:rPr>
            </w:pPr>
            <w:hyperlink w:anchor="page90">
              <w:r>
                <w:rPr>
                  <w:rFonts w:ascii="Arial" w:cs="Arial" w:eastAsia="Arial" w:hAnsi="Arial"/>
                  <w:sz w:val="15"/>
                  <w:szCs w:val="15"/>
                  <w:color w:val="0000EE"/>
                </w:rPr>
                <w:t>Certification of the Principal Executive Officer pursuant to 18 U.S.C. Section 1350, as adopted pursuant to Section 906 of the Sarbanes-Oxley Act of 2002.</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60"/>
              <w:spacing w:after="0"/>
              <w:rPr>
                <w:sz w:val="20"/>
                <w:szCs w:val="20"/>
                <w:color w:val="auto"/>
              </w:rPr>
            </w:pPr>
            <w:r>
              <w:rPr>
                <w:rFonts w:ascii="Arial" w:cs="Arial" w:eastAsia="Arial" w:hAnsi="Arial"/>
                <w:sz w:val="15"/>
                <w:szCs w:val="15"/>
                <w:color w:val="auto"/>
              </w:rPr>
              <w:t>32.2</w:t>
            </w:r>
          </w:p>
        </w:tc>
        <w:tc>
          <w:tcPr>
            <w:tcW w:w="140" w:type="dxa"/>
            <w:vAlign w:val="bottom"/>
          </w:tcPr>
          <w:p>
            <w:pPr>
              <w:spacing w:after="0"/>
              <w:rPr>
                <w:sz w:val="23"/>
                <w:szCs w:val="23"/>
                <w:color w:val="auto"/>
              </w:rPr>
            </w:pPr>
          </w:p>
        </w:tc>
        <w:tc>
          <w:tcPr>
            <w:tcW w:w="9620" w:type="dxa"/>
            <w:vAlign w:val="bottom"/>
            <w:tcBorders>
              <w:top w:val="single" w:sz="8" w:color="0000EE"/>
            </w:tcBorders>
            <w:gridSpan w:val="14"/>
          </w:tcPr>
          <w:p>
            <w:pPr>
              <w:spacing w:after="0"/>
              <w:rPr>
                <w:rFonts w:ascii="Arial" w:cs="Arial" w:eastAsia="Arial" w:hAnsi="Arial"/>
                <w:sz w:val="15"/>
                <w:szCs w:val="15"/>
                <w:color w:val="0000EE"/>
                <w:w w:val="94"/>
              </w:rPr>
            </w:pPr>
            <w:hyperlink w:anchor="page91">
              <w:r>
                <w:rPr>
                  <w:rFonts w:ascii="Arial" w:cs="Arial" w:eastAsia="Arial" w:hAnsi="Arial"/>
                  <w:sz w:val="15"/>
                  <w:szCs w:val="15"/>
                  <w:color w:val="0000EE"/>
                  <w:w w:val="94"/>
                </w:rPr>
                <w:t>Certification of the Principal Financial Officer pursuant to 18 U.S.C. Section 1350, as adopted pursuant to Section 906 of the Sarbanes-Oxley Act of 2002.</w:t>
              </w:r>
            </w:hyperlink>
          </w:p>
        </w:tc>
        <w:tc>
          <w:tcPr>
            <w:tcW w:w="820" w:type="dxa"/>
            <w:vAlign w:val="bottom"/>
            <w:gridSpan w:val="10"/>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0"/>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00" w:type="dxa"/>
            <w:vAlign w:val="bottom"/>
            <w:tcBorders>
              <w:top w:val="single" w:sz="8" w:color="0000EE"/>
            </w:tcBorders>
            <w:gridSpan w:val="10"/>
          </w:tcPr>
          <w:p>
            <w:pPr>
              <w:ind w:left="4720"/>
              <w:spacing w:after="0"/>
              <w:rPr>
                <w:sz w:val="20"/>
                <w:szCs w:val="20"/>
                <w:color w:val="auto"/>
              </w:rPr>
            </w:pPr>
            <w:r>
              <w:rPr>
                <w:rFonts w:ascii="Arial" w:cs="Arial" w:eastAsia="Arial" w:hAnsi="Arial"/>
                <w:sz w:val="15"/>
                <w:szCs w:val="15"/>
                <w:color w:val="auto"/>
              </w:rPr>
              <w:t>84</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295" w:right="199" w:bottom="1440" w:gutter="0" w:footer="0" w:header="0"/>
        </w:sectPr>
      </w:pPr>
    </w:p>
    <w:bookmarkStart w:id="84" w:name="page85"/>
    <w:bookmarkEnd w:id="84"/>
    <w:p>
      <w:pPr>
        <w:ind w:left="67"/>
        <w:spacing w:after="0"/>
        <w:rPr>
          <w:sz w:val="20"/>
          <w:szCs w:val="20"/>
          <w:color w:val="auto"/>
        </w:rPr>
      </w:pPr>
      <w:r>
        <w:rPr>
          <w:rFonts w:ascii="Arial" w:cs="Arial" w:eastAsia="Arial" w:hAnsi="Arial"/>
          <w:sz w:val="12"/>
          <w:szCs w:val="12"/>
          <w:b w:val="1"/>
          <w:bCs w:val="1"/>
          <w:color w:val="auto"/>
        </w:rPr>
        <w:t>Exhibit</w:t>
      </w:r>
    </w:p>
    <w:p>
      <w:pPr>
        <w:spacing w:after="0" w:line="4" w:lineRule="exact"/>
        <w:rPr>
          <w:sz w:val="20"/>
          <w:szCs w:val="20"/>
          <w:color w:val="auto"/>
        </w:rPr>
      </w:pPr>
    </w:p>
    <w:p>
      <w:pPr>
        <w:ind w:left="67"/>
        <w:spacing w:after="0"/>
        <w:tabs>
          <w:tab w:leader="none" w:pos="907"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-2540</wp:posOffset>
            </wp:positionV>
            <wp:extent cx="717740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77405" cy="7620"/>
                    </a:xfrm>
                    <a:prstGeom prst="rect">
                      <a:avLst/>
                    </a:prstGeom>
                    <a:noFill/>
                  </pic:spPr>
                </pic:pic>
              </a:graphicData>
            </a:graphic>
          </wp:anchor>
        </w:drawing>
      </w:r>
    </w:p>
    <w:p>
      <w:pPr>
        <w:spacing w:after="0" w:line="81" w:lineRule="exact"/>
        <w:rPr>
          <w:sz w:val="20"/>
          <w:szCs w:val="20"/>
          <w:color w:val="auto"/>
        </w:rPr>
      </w:pPr>
    </w:p>
    <w:p>
      <w:pPr>
        <w:ind w:left="927" w:hanging="858"/>
        <w:spacing w:after="0" w:line="274" w:lineRule="auto"/>
        <w:tabs>
          <w:tab w:leader="none" w:pos="927"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following financial statements from MediciNova, Inc. on Form 10-K as of and for the year ended December 31, 2019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28" w:lineRule="exact"/>
        <w:rPr>
          <w:rFonts w:ascii="Arial" w:cs="Arial" w:eastAsia="Arial" w:hAnsi="Arial"/>
          <w:sz w:val="15"/>
          <w:szCs w:val="15"/>
          <w:color w:val="auto"/>
        </w:rPr>
      </w:pPr>
    </w:p>
    <w:p>
      <w:pPr>
        <w:ind w:left="587" w:hanging="587"/>
        <w:spacing w:after="0"/>
        <w:tabs>
          <w:tab w:leader="none" w:pos="587" w:val="left"/>
        </w:tabs>
        <w:numPr>
          <w:ilvl w:val="0"/>
          <w:numId w:val="39"/>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12014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5" w:lineRule="exact"/>
        <w:rPr>
          <w:sz w:val="20"/>
          <w:szCs w:val="20"/>
          <w:color w:val="auto"/>
        </w:rPr>
      </w:pPr>
    </w:p>
    <w:p>
      <w:pPr>
        <w:ind w:left="587" w:hanging="587"/>
        <w:spacing w:after="0"/>
        <w:tabs>
          <w:tab w:leader="none" w:pos="587"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373" w:lineRule="exact"/>
        <w:rPr>
          <w:sz w:val="20"/>
          <w:szCs w:val="20"/>
          <w:color w:val="auto"/>
        </w:rPr>
      </w:pPr>
    </w:p>
    <w:p>
      <w:pPr>
        <w:jc w:val="center"/>
        <w:ind w:right="-226"/>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297180</wp:posOffset>
            </wp:positionV>
            <wp:extent cx="730631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207"/>
          </w:cols>
          <w:pgMar w:left="233" w:top="305" w:right="459" w:bottom="1440" w:gutter="0" w:footer="0" w:header="0"/>
        </w:sectPr>
      </w:pPr>
    </w:p>
    <w:bookmarkStart w:id="85" w:name="page86"/>
    <w:bookmarkEnd w:id="85"/>
    <w:p>
      <w:pPr>
        <w:jc w:val="center"/>
        <w:spacing w:after="0"/>
        <w:rPr>
          <w:sz w:val="20"/>
          <w:szCs w:val="20"/>
          <w:color w:val="auto"/>
        </w:rPr>
      </w:pPr>
      <w:r>
        <w:rPr>
          <w:rFonts w:ascii="Arial" w:cs="Arial" w:eastAsia="Arial" w:hAnsi="Arial"/>
          <w:sz w:val="15"/>
          <w:szCs w:val="15"/>
          <w:b w:val="1"/>
          <w:bCs w:val="1"/>
          <w:color w:val="auto"/>
        </w:rPr>
        <w:t>SIGNATURES</w:t>
      </w:r>
    </w:p>
    <w:p>
      <w:pPr>
        <w:spacing w:after="0" w:line="205" w:lineRule="exact"/>
        <w:rPr>
          <w:sz w:val="20"/>
          <w:szCs w:val="20"/>
          <w:color w:val="auto"/>
        </w:rPr>
      </w:pPr>
    </w:p>
    <w:p>
      <w:pPr>
        <w:ind w:right="160" w:firstLine="440"/>
        <w:spacing w:after="0" w:line="290"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4020" w:type="dxa"/>
            <w:vAlign w:val="bottom"/>
            <w:gridSpan w:val="2"/>
          </w:tcPr>
          <w:p>
            <w:pPr>
              <w:ind w:left="2440"/>
              <w:spacing w:after="0"/>
              <w:rPr>
                <w:sz w:val="20"/>
                <w:szCs w:val="20"/>
                <w:color w:val="auto"/>
              </w:rPr>
            </w:pPr>
            <w:r>
              <w:rPr>
                <w:rFonts w:ascii="Arial" w:cs="Arial" w:eastAsia="Arial" w:hAnsi="Arial"/>
                <w:sz w:val="15"/>
                <w:szCs w:val="15"/>
                <w:color w:val="auto"/>
              </w:rPr>
              <w:t>M</w:t>
            </w:r>
            <w:r>
              <w:rPr>
                <w:rFonts w:ascii="Arial" w:cs="Arial" w:eastAsia="Arial" w:hAnsi="Arial"/>
                <w:sz w:val="11"/>
                <w:szCs w:val="11"/>
                <w:color w:val="auto"/>
              </w:rPr>
              <w:t>EDICINOVA</w:t>
            </w:r>
            <w:r>
              <w:rPr>
                <w:rFonts w:ascii="Arial" w:cs="Arial" w:eastAsia="Arial" w:hAnsi="Arial"/>
                <w:sz w:val="15"/>
                <w:szCs w:val="15"/>
                <w:color w:val="auto"/>
              </w:rPr>
              <w:t>, I</w:t>
            </w:r>
            <w:r>
              <w:rPr>
                <w:rFonts w:ascii="Arial" w:cs="Arial" w:eastAsia="Arial" w:hAnsi="Arial"/>
                <w:sz w:val="11"/>
                <w:szCs w:val="11"/>
                <w:color w:val="auto"/>
              </w:rPr>
              <w:t>NC</w:t>
            </w:r>
            <w:r>
              <w:rPr>
                <w:rFonts w:ascii="Arial" w:cs="Arial" w:eastAsia="Arial" w:hAnsi="Arial"/>
                <w:sz w:val="15"/>
                <w:szCs w:val="15"/>
                <w:color w:val="auto"/>
              </w:rPr>
              <w:t>.</w:t>
            </w:r>
          </w:p>
        </w:tc>
        <w:tc>
          <w:tcPr>
            <w:tcW w:w="3460" w:type="dxa"/>
            <w:vAlign w:val="bottom"/>
          </w:tcPr>
          <w:p>
            <w:pPr>
              <w:spacing w:after="0"/>
              <w:rPr>
                <w:sz w:val="16"/>
                <w:szCs w:val="16"/>
                <w:color w:val="auto"/>
              </w:rPr>
            </w:pPr>
          </w:p>
        </w:tc>
      </w:tr>
      <w:tr>
        <w:trPr>
          <w:trHeight w:val="196"/>
        </w:trPr>
        <w:tc>
          <w:tcPr>
            <w:tcW w:w="3960" w:type="dxa"/>
            <w:vAlign w:val="bottom"/>
          </w:tcPr>
          <w:p>
            <w:pPr>
              <w:spacing w:after="0"/>
              <w:rPr>
                <w:sz w:val="17"/>
                <w:szCs w:val="17"/>
                <w:color w:val="auto"/>
              </w:rPr>
            </w:pPr>
          </w:p>
        </w:tc>
        <w:tc>
          <w:tcPr>
            <w:tcW w:w="4020" w:type="dxa"/>
            <w:vAlign w:val="bottom"/>
            <w:gridSpan w:val="2"/>
          </w:tcPr>
          <w:p>
            <w:pPr>
              <w:ind w:left="2440"/>
              <w:spacing w:after="0"/>
              <w:rPr>
                <w:sz w:val="20"/>
                <w:szCs w:val="20"/>
                <w:color w:val="auto"/>
              </w:rPr>
            </w:pPr>
            <w:r>
              <w:rPr>
                <w:rFonts w:ascii="Arial" w:cs="Arial" w:eastAsia="Arial" w:hAnsi="Arial"/>
                <w:sz w:val="15"/>
                <w:szCs w:val="15"/>
                <w:color w:val="auto"/>
                <w:w w:val="97"/>
              </w:rPr>
              <w:t>A Delaware Corporation</w:t>
            </w:r>
          </w:p>
        </w:tc>
        <w:tc>
          <w:tcPr>
            <w:tcW w:w="3460" w:type="dxa"/>
            <w:vAlign w:val="bottom"/>
          </w:tcPr>
          <w:p>
            <w:pPr>
              <w:spacing w:after="0"/>
              <w:rPr>
                <w:sz w:val="17"/>
                <w:szCs w:val="17"/>
                <w:color w:val="auto"/>
              </w:rPr>
            </w:pPr>
          </w:p>
        </w:tc>
      </w:tr>
      <w:tr>
        <w:trPr>
          <w:trHeight w:val="395"/>
        </w:trPr>
        <w:tc>
          <w:tcPr>
            <w:tcW w:w="3960" w:type="dxa"/>
            <w:vAlign w:val="bottom"/>
          </w:tcPr>
          <w:p>
            <w:pPr>
              <w:spacing w:after="0"/>
              <w:rPr>
                <w:sz w:val="20"/>
                <w:szCs w:val="20"/>
                <w:color w:val="auto"/>
              </w:rPr>
            </w:pPr>
            <w:r>
              <w:rPr>
                <w:rFonts w:ascii="Arial" w:cs="Arial" w:eastAsia="Arial" w:hAnsi="Arial"/>
                <w:sz w:val="15"/>
                <w:szCs w:val="15"/>
                <w:color w:val="auto"/>
              </w:rPr>
              <w:t>Date: February 13, 2020</w:t>
            </w:r>
          </w:p>
        </w:tc>
        <w:tc>
          <w:tcPr>
            <w:tcW w:w="4020" w:type="dxa"/>
            <w:vAlign w:val="bottom"/>
            <w:gridSpan w:val="2"/>
          </w:tcPr>
          <w:p>
            <w:pPr>
              <w:ind w:left="2440"/>
              <w:spacing w:after="0"/>
              <w:rPr>
                <w:sz w:val="20"/>
                <w:szCs w:val="20"/>
                <w:color w:val="auto"/>
              </w:rPr>
            </w:pPr>
            <w:r>
              <w:rPr>
                <w:rFonts w:ascii="Arial" w:cs="Arial" w:eastAsia="Arial" w:hAnsi="Arial"/>
                <w:sz w:val="15"/>
                <w:szCs w:val="15"/>
                <w:color w:val="auto"/>
              </w:rPr>
              <w:t>By:</w:t>
            </w:r>
          </w:p>
        </w:tc>
        <w:tc>
          <w:tcPr>
            <w:tcW w:w="3460" w:type="dxa"/>
            <w:vAlign w:val="bottom"/>
          </w:tcPr>
          <w:p>
            <w:pPr>
              <w:jc w:val="center"/>
              <w:ind w:right="1043"/>
              <w:spacing w:after="0"/>
              <w:rPr>
                <w:sz w:val="20"/>
                <w:szCs w:val="20"/>
                <w:color w:val="auto"/>
              </w:rPr>
            </w:pPr>
            <w:r>
              <w:rPr>
                <w:rFonts w:ascii="Arial" w:cs="Arial" w:eastAsia="Arial" w:hAnsi="Arial"/>
                <w:sz w:val="15"/>
                <w:szCs w:val="15"/>
                <w:color w:val="auto"/>
                <w:w w:val="98"/>
              </w:rPr>
              <w:t>/s/ Yuichi Iwaki</w:t>
            </w:r>
          </w:p>
        </w:tc>
      </w:tr>
      <w:tr>
        <w:trPr>
          <w:trHeight w:val="167"/>
        </w:trPr>
        <w:tc>
          <w:tcPr>
            <w:tcW w:w="3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60" w:type="dxa"/>
            <w:vAlign w:val="bottom"/>
            <w:tcBorders>
              <w:top w:val="single" w:sz="8" w:color="auto"/>
            </w:tcBorders>
          </w:tcPr>
          <w:p>
            <w:pPr>
              <w:jc w:val="center"/>
              <w:ind w:right="1043"/>
              <w:spacing w:after="0" w:line="167" w:lineRule="exact"/>
              <w:rPr>
                <w:sz w:val="20"/>
                <w:szCs w:val="20"/>
                <w:color w:val="auto"/>
              </w:rPr>
            </w:pPr>
            <w:r>
              <w:rPr>
                <w:rFonts w:ascii="Arial" w:cs="Arial" w:eastAsia="Arial" w:hAnsi="Arial"/>
                <w:sz w:val="15"/>
                <w:szCs w:val="15"/>
                <w:color w:val="auto"/>
                <w:w w:val="98"/>
              </w:rPr>
              <w:t>Yuichi Iwaki, M.D., Ph.D.</w:t>
            </w:r>
          </w:p>
        </w:tc>
      </w:tr>
      <w:tr>
        <w:trPr>
          <w:trHeight w:val="196"/>
        </w:trPr>
        <w:tc>
          <w:tcPr>
            <w:tcW w:w="39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60" w:type="dxa"/>
            <w:vAlign w:val="bottom"/>
          </w:tcPr>
          <w:p>
            <w:pPr>
              <w:jc w:val="center"/>
              <w:ind w:right="1043"/>
              <w:spacing w:after="0"/>
              <w:rPr>
                <w:sz w:val="20"/>
                <w:szCs w:val="20"/>
                <w:color w:val="auto"/>
              </w:rPr>
            </w:pPr>
            <w:r>
              <w:rPr>
                <w:rFonts w:ascii="Arial" w:cs="Arial" w:eastAsia="Arial" w:hAnsi="Arial"/>
                <w:sz w:val="15"/>
                <w:szCs w:val="15"/>
                <w:color w:val="auto"/>
                <w:w w:val="96"/>
              </w:rPr>
              <w:t>President &amp; Chief Executive Officer</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5" w:lineRule="exact"/>
        <w:rPr>
          <w:sz w:val="20"/>
          <w:szCs w:val="20"/>
          <w:color w:val="auto"/>
        </w:rPr>
      </w:pPr>
    </w:p>
    <w:p>
      <w:pPr>
        <w:ind w:right="20" w:firstLine="440"/>
        <w:spacing w:after="0" w:line="269" w:lineRule="auto"/>
        <w:rPr>
          <w:sz w:val="20"/>
          <w:szCs w:val="20"/>
          <w:color w:val="auto"/>
        </w:rPr>
      </w:pPr>
      <w:r>
        <w:rPr>
          <w:rFonts w:ascii="Arial" w:cs="Arial" w:eastAsia="Arial" w:hAnsi="Arial"/>
          <w:sz w:val="15"/>
          <w:szCs w:val="15"/>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55" w:lineRule="exact"/>
        <w:rPr>
          <w:sz w:val="20"/>
          <w:szCs w:val="20"/>
          <w:color w:val="auto"/>
        </w:rPr>
      </w:pPr>
    </w:p>
    <w:p>
      <w:pPr>
        <w:ind w:right="560" w:firstLine="440"/>
        <w:spacing w:after="0" w:line="290" w:lineRule="auto"/>
        <w:rPr>
          <w:sz w:val="20"/>
          <w:szCs w:val="20"/>
          <w:color w:val="auto"/>
        </w:rPr>
      </w:pPr>
      <w:r>
        <w:rPr>
          <w:rFonts w:ascii="Arial" w:cs="Arial" w:eastAsia="Arial" w:hAnsi="Arial"/>
          <w:sz w:val="15"/>
          <w:szCs w:val="15"/>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440"/>
          </w:cols>
          <w:pgMar w:left="240" w:top="308" w:right="219" w:bottom="1440" w:gutter="0" w:footer="0" w:header="0"/>
        </w:sectPr>
      </w:pP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25273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2527300" cy="7620"/>
                    </a:xfrm>
                    <a:prstGeom prst="rect">
                      <a:avLst/>
                    </a:prstGeom>
                    <a:noFill/>
                  </pic:spPr>
                </pic:pic>
              </a:graphicData>
            </a:graphic>
          </wp:anchor>
        </w:drawing>
      </w:r>
    </w:p>
    <w:p>
      <w:pPr>
        <w:spacing w:after="0" w:line="95"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5273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2527300" cy="7620"/>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Yuichi Iwaki, M.D., Ph.D.</w:t>
      </w:r>
    </w:p>
    <w:p>
      <w:pPr>
        <w:spacing w:after="0" w:line="129"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/s/ 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5273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2527300" cy="7620"/>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Carla Reyes</w:t>
      </w:r>
    </w:p>
    <w:p>
      <w:pPr>
        <w:spacing w:after="0" w:line="118"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/s/ Jeff Himawan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5273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2527300" cy="7620"/>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Arial" w:cs="Arial" w:eastAsia="Arial" w:hAnsi="Arial"/>
          <w:sz w:val="15"/>
          <w:szCs w:val="15"/>
          <w:color w:val="auto"/>
        </w:rPr>
        <w:t>Jeff Himawan, Ph.D.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5140" w:type="dxa"/>
            <w:vAlign w:val="bottom"/>
            <w:tcBorders>
              <w:bottom w:val="single" w:sz="8" w:color="auto"/>
            </w:tcBorders>
          </w:tcPr>
          <w:p>
            <w:pPr>
              <w:ind w:left="25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2"/>
                <w:szCs w:val="12"/>
                <w:color w:val="auto"/>
              </w:rPr>
            </w:pPr>
          </w:p>
        </w:tc>
        <w:tc>
          <w:tcPr>
            <w:tcW w:w="206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Date</w:t>
            </w:r>
          </w:p>
        </w:tc>
      </w:tr>
      <w:tr>
        <w:trPr>
          <w:trHeight w:val="271"/>
        </w:trPr>
        <w:tc>
          <w:tcPr>
            <w:tcW w:w="5240" w:type="dxa"/>
            <w:vAlign w:val="bottom"/>
            <w:gridSpan w:val="2"/>
          </w:tcPr>
          <w:p>
            <w:pPr>
              <w:spacing w:after="0"/>
              <w:rPr>
                <w:sz w:val="20"/>
                <w:szCs w:val="20"/>
                <w:color w:val="auto"/>
              </w:rPr>
            </w:pPr>
            <w:r>
              <w:rPr>
                <w:rFonts w:ascii="Arial" w:cs="Arial" w:eastAsia="Arial" w:hAnsi="Arial"/>
                <w:sz w:val="15"/>
                <w:szCs w:val="15"/>
                <w:color w:val="auto"/>
              </w:rPr>
              <w:t>Director, President and Chief Executive Officer</w:t>
            </w:r>
          </w:p>
        </w:tc>
        <w:tc>
          <w:tcPr>
            <w:tcW w:w="2060" w:type="dxa"/>
            <w:vAlign w:val="bottom"/>
          </w:tcPr>
          <w:p>
            <w:pPr>
              <w:ind w:left="460"/>
              <w:spacing w:after="0"/>
              <w:rPr>
                <w:sz w:val="20"/>
                <w:szCs w:val="20"/>
                <w:color w:val="auto"/>
              </w:rPr>
            </w:pPr>
            <w:r>
              <w:rPr>
                <w:rFonts w:ascii="Arial" w:cs="Arial" w:eastAsia="Arial" w:hAnsi="Arial"/>
                <w:sz w:val="15"/>
                <w:szCs w:val="15"/>
                <w:color w:val="auto"/>
              </w:rPr>
              <w:t>February 13, 2020</w:t>
            </w:r>
          </w:p>
        </w:tc>
      </w:tr>
      <w:tr>
        <w:trPr>
          <w:trHeight w:val="196"/>
        </w:trPr>
        <w:tc>
          <w:tcPr>
            <w:tcW w:w="5240" w:type="dxa"/>
            <w:vAlign w:val="bottom"/>
            <w:gridSpan w:val="2"/>
          </w:tcPr>
          <w:p>
            <w:pPr>
              <w:spacing w:after="0"/>
              <w:rPr>
                <w:sz w:val="20"/>
                <w:szCs w:val="20"/>
                <w:color w:val="auto"/>
              </w:rPr>
            </w:pPr>
            <w:r>
              <w:rPr>
                <w:rFonts w:ascii="Arial" w:cs="Arial" w:eastAsia="Arial" w:hAnsi="Arial"/>
                <w:sz w:val="15"/>
                <w:szCs w:val="15"/>
                <w:i w:val="1"/>
                <w:iCs w:val="1"/>
                <w:color w:val="auto"/>
              </w:rPr>
              <w:t>(Principal executive officer)</w:t>
            </w:r>
          </w:p>
        </w:tc>
        <w:tc>
          <w:tcPr>
            <w:tcW w:w="2060" w:type="dxa"/>
            <w:vAlign w:val="bottom"/>
          </w:tcPr>
          <w:p>
            <w:pPr>
              <w:spacing w:after="0"/>
              <w:rPr>
                <w:sz w:val="17"/>
                <w:szCs w:val="17"/>
                <w:color w:val="auto"/>
              </w:rPr>
            </w:pPr>
          </w:p>
        </w:tc>
      </w:tr>
      <w:tr>
        <w:trPr>
          <w:trHeight w:val="303"/>
        </w:trPr>
        <w:tc>
          <w:tcPr>
            <w:tcW w:w="5240" w:type="dxa"/>
            <w:vAlign w:val="bottom"/>
            <w:gridSpan w:val="2"/>
          </w:tcPr>
          <w:p>
            <w:pPr>
              <w:spacing w:after="0"/>
              <w:rPr>
                <w:sz w:val="20"/>
                <w:szCs w:val="20"/>
                <w:color w:val="auto"/>
              </w:rPr>
            </w:pPr>
            <w:r>
              <w:rPr>
                <w:rFonts w:ascii="Arial" w:cs="Arial" w:eastAsia="Arial" w:hAnsi="Arial"/>
                <w:sz w:val="15"/>
                <w:szCs w:val="15"/>
                <w:color w:val="auto"/>
              </w:rPr>
              <w:t>Chief Financial Officer</w:t>
            </w:r>
          </w:p>
        </w:tc>
        <w:tc>
          <w:tcPr>
            <w:tcW w:w="2060" w:type="dxa"/>
            <w:vAlign w:val="bottom"/>
          </w:tcPr>
          <w:p>
            <w:pPr>
              <w:ind w:left="460"/>
              <w:spacing w:after="0"/>
              <w:rPr>
                <w:sz w:val="20"/>
                <w:szCs w:val="20"/>
                <w:color w:val="auto"/>
              </w:rPr>
            </w:pPr>
            <w:r>
              <w:rPr>
                <w:rFonts w:ascii="Arial" w:cs="Arial" w:eastAsia="Arial" w:hAnsi="Arial"/>
                <w:sz w:val="15"/>
                <w:szCs w:val="15"/>
                <w:color w:val="auto"/>
              </w:rPr>
              <w:t>February 13, 2020</w:t>
            </w:r>
          </w:p>
        </w:tc>
      </w:tr>
      <w:tr>
        <w:trPr>
          <w:trHeight w:val="196"/>
        </w:trPr>
        <w:tc>
          <w:tcPr>
            <w:tcW w:w="5240" w:type="dxa"/>
            <w:vAlign w:val="bottom"/>
            <w:gridSpan w:val="2"/>
          </w:tcPr>
          <w:p>
            <w:pPr>
              <w:spacing w:after="0"/>
              <w:rPr>
                <w:sz w:val="20"/>
                <w:szCs w:val="20"/>
                <w:color w:val="auto"/>
              </w:rPr>
            </w:pPr>
            <w:r>
              <w:rPr>
                <w:rFonts w:ascii="Arial" w:cs="Arial" w:eastAsia="Arial" w:hAnsi="Arial"/>
                <w:sz w:val="15"/>
                <w:szCs w:val="15"/>
                <w:i w:val="1"/>
                <w:iCs w:val="1"/>
                <w:color w:val="auto"/>
              </w:rPr>
              <w:t>(Principal financial and accounting officer)</w:t>
            </w:r>
          </w:p>
        </w:tc>
        <w:tc>
          <w:tcPr>
            <w:tcW w:w="2060" w:type="dxa"/>
            <w:vAlign w:val="bottom"/>
          </w:tcPr>
          <w:p>
            <w:pPr>
              <w:spacing w:after="0"/>
              <w:rPr>
                <w:sz w:val="17"/>
                <w:szCs w:val="17"/>
                <w:color w:val="auto"/>
              </w:rPr>
            </w:pPr>
          </w:p>
        </w:tc>
      </w:tr>
      <w:tr>
        <w:trPr>
          <w:trHeight w:val="313"/>
        </w:trPr>
        <w:tc>
          <w:tcPr>
            <w:tcW w:w="5240" w:type="dxa"/>
            <w:vAlign w:val="bottom"/>
            <w:gridSpan w:val="2"/>
          </w:tcPr>
          <w:p>
            <w:pPr>
              <w:spacing w:after="0"/>
              <w:rPr>
                <w:sz w:val="20"/>
                <w:szCs w:val="20"/>
                <w:color w:val="auto"/>
              </w:rPr>
            </w:pPr>
            <w:r>
              <w:rPr>
                <w:rFonts w:ascii="Arial" w:cs="Arial" w:eastAsia="Arial" w:hAnsi="Arial"/>
                <w:sz w:val="15"/>
                <w:szCs w:val="15"/>
                <w:color w:val="auto"/>
              </w:rPr>
              <w:t>Chairman of the Board of Directors</w:t>
            </w:r>
          </w:p>
        </w:tc>
        <w:tc>
          <w:tcPr>
            <w:tcW w:w="2060" w:type="dxa"/>
            <w:vAlign w:val="bottom"/>
          </w:tcPr>
          <w:p>
            <w:pPr>
              <w:ind w:left="460"/>
              <w:spacing w:after="0"/>
              <w:rPr>
                <w:sz w:val="20"/>
                <w:szCs w:val="20"/>
                <w:color w:val="auto"/>
              </w:rPr>
            </w:pPr>
            <w:r>
              <w:rPr>
                <w:rFonts w:ascii="Arial" w:cs="Arial" w:eastAsia="Arial" w:hAnsi="Arial"/>
                <w:sz w:val="15"/>
                <w:szCs w:val="15"/>
                <w:color w:val="auto"/>
              </w:rPr>
              <w:t>February 13, 2020</w:t>
            </w:r>
          </w:p>
        </w:tc>
      </w:tr>
    </w:tbl>
    <w:p>
      <w:pPr>
        <w:spacing w:after="0" w:line="303" w:lineRule="exact"/>
        <w:rPr>
          <w:sz w:val="20"/>
          <w:szCs w:val="20"/>
          <w:color w:val="auto"/>
        </w:rPr>
      </w:pPr>
    </w:p>
    <w:p>
      <w:pPr>
        <w:sectPr>
          <w:pgSz w:w="11900" w:h="16838" w:orient="portrait"/>
          <w:cols w:equalWidth="0" w:num="2">
            <w:col w:w="3420" w:space="720"/>
            <w:col w:w="7300"/>
          </w:cols>
          <w:pgMar w:left="240" w:top="308" w:right="21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Yoshio Ishizaka</w:t>
            </w:r>
          </w:p>
        </w:tc>
        <w:tc>
          <w:tcPr>
            <w:tcW w:w="3260" w:type="dxa"/>
            <w:vAlign w:val="bottom"/>
          </w:tcPr>
          <w:p>
            <w:pPr>
              <w:ind w:left="160"/>
              <w:spacing w:after="0"/>
              <w:rPr>
                <w:sz w:val="20"/>
                <w:szCs w:val="20"/>
                <w:color w:val="auto"/>
              </w:rPr>
            </w:pPr>
            <w:r>
              <w:rPr>
                <w:rFonts w:ascii="Arial" w:cs="Arial" w:eastAsia="Arial" w:hAnsi="Arial"/>
                <w:sz w:val="15"/>
                <w:szCs w:val="15"/>
                <w:color w:val="auto"/>
              </w:rPr>
              <w:t>Director</w:t>
            </w:r>
          </w:p>
        </w:tc>
        <w:tc>
          <w:tcPr>
            <w:tcW w:w="3740" w:type="dxa"/>
            <w:vAlign w:val="bottom"/>
          </w:tcPr>
          <w:p>
            <w:pPr>
              <w:ind w:left="2600"/>
              <w:spacing w:after="0"/>
              <w:rPr>
                <w:sz w:val="20"/>
                <w:szCs w:val="20"/>
                <w:color w:val="auto"/>
              </w:rPr>
            </w:pPr>
            <w:r>
              <w:rPr>
                <w:rFonts w:ascii="Arial" w:cs="Arial" w:eastAsia="Arial" w:hAnsi="Arial"/>
                <w:sz w:val="15"/>
                <w:szCs w:val="15"/>
                <w:color w:val="auto"/>
                <w:w w:val="91"/>
              </w:rPr>
              <w:t>February 13, 2020</w:t>
            </w:r>
          </w:p>
        </w:tc>
      </w:tr>
      <w:tr>
        <w:trPr>
          <w:trHeight w:val="193"/>
        </w:trPr>
        <w:tc>
          <w:tcPr>
            <w:tcW w:w="3980" w:type="dxa"/>
            <w:vAlign w:val="bottom"/>
          </w:tcPr>
          <w:p>
            <w:pPr>
              <w:jc w:val="center"/>
              <w:spacing w:after="0"/>
              <w:rPr>
                <w:sz w:val="20"/>
                <w:szCs w:val="20"/>
                <w:color w:val="auto"/>
              </w:rPr>
            </w:pPr>
            <w:r>
              <w:rPr>
                <w:rFonts w:ascii="Arial" w:cs="Arial" w:eastAsia="Arial" w:hAnsi="Arial"/>
                <w:sz w:val="15"/>
                <w:szCs w:val="15"/>
                <w:color w:val="auto"/>
                <w:w w:val="93"/>
              </w:rPr>
              <w:t>Yoshio Ishizaka</w:t>
            </w:r>
          </w:p>
        </w:tc>
        <w:tc>
          <w:tcPr>
            <w:tcW w:w="32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86"/>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/s/ Yutaka Kobayashi</w:t>
            </w:r>
          </w:p>
        </w:tc>
        <w:tc>
          <w:tcPr>
            <w:tcW w:w="3260" w:type="dxa"/>
            <w:vAlign w:val="bottom"/>
          </w:tcPr>
          <w:p>
            <w:pPr>
              <w:ind w:left="160"/>
              <w:spacing w:after="0"/>
              <w:rPr>
                <w:sz w:val="20"/>
                <w:szCs w:val="20"/>
                <w:color w:val="auto"/>
              </w:rPr>
            </w:pPr>
            <w:r>
              <w:rPr>
                <w:rFonts w:ascii="Arial" w:cs="Arial" w:eastAsia="Arial" w:hAnsi="Arial"/>
                <w:sz w:val="15"/>
                <w:szCs w:val="15"/>
                <w:color w:val="auto"/>
              </w:rPr>
              <w:t>Director</w:t>
            </w:r>
          </w:p>
        </w:tc>
        <w:tc>
          <w:tcPr>
            <w:tcW w:w="3740" w:type="dxa"/>
            <w:vAlign w:val="bottom"/>
          </w:tcPr>
          <w:p>
            <w:pPr>
              <w:ind w:left="2600"/>
              <w:spacing w:after="0"/>
              <w:rPr>
                <w:sz w:val="20"/>
                <w:szCs w:val="20"/>
                <w:color w:val="auto"/>
              </w:rPr>
            </w:pPr>
            <w:r>
              <w:rPr>
                <w:rFonts w:ascii="Arial" w:cs="Arial" w:eastAsia="Arial" w:hAnsi="Arial"/>
                <w:sz w:val="15"/>
                <w:szCs w:val="15"/>
                <w:color w:val="auto"/>
                <w:w w:val="91"/>
              </w:rPr>
              <w:t>February 13, 2020</w:t>
            </w:r>
          </w:p>
        </w:tc>
      </w:tr>
      <w:tr>
        <w:trPr>
          <w:trHeight w:val="193"/>
        </w:trPr>
        <w:tc>
          <w:tcPr>
            <w:tcW w:w="3980" w:type="dxa"/>
            <w:vAlign w:val="bottom"/>
          </w:tcPr>
          <w:p>
            <w:pPr>
              <w:jc w:val="center"/>
              <w:spacing w:after="0"/>
              <w:rPr>
                <w:sz w:val="20"/>
                <w:szCs w:val="20"/>
                <w:color w:val="auto"/>
              </w:rPr>
            </w:pPr>
            <w:r>
              <w:rPr>
                <w:rFonts w:ascii="Arial" w:cs="Arial" w:eastAsia="Arial" w:hAnsi="Arial"/>
                <w:sz w:val="15"/>
                <w:szCs w:val="15"/>
                <w:color w:val="auto"/>
                <w:w w:val="92"/>
              </w:rPr>
              <w:t>Yutaka Kobayashi</w:t>
            </w:r>
          </w:p>
        </w:tc>
        <w:tc>
          <w:tcPr>
            <w:tcW w:w="32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86"/>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Kazuko Matsuda</w:t>
            </w:r>
          </w:p>
        </w:tc>
        <w:tc>
          <w:tcPr>
            <w:tcW w:w="3260" w:type="dxa"/>
            <w:vAlign w:val="bottom"/>
          </w:tcPr>
          <w:p>
            <w:pPr>
              <w:ind w:left="160"/>
              <w:spacing w:after="0"/>
              <w:rPr>
                <w:sz w:val="20"/>
                <w:szCs w:val="20"/>
                <w:color w:val="auto"/>
              </w:rPr>
            </w:pPr>
            <w:r>
              <w:rPr>
                <w:rFonts w:ascii="Arial" w:cs="Arial" w:eastAsia="Arial" w:hAnsi="Arial"/>
                <w:sz w:val="15"/>
                <w:szCs w:val="15"/>
                <w:color w:val="auto"/>
              </w:rPr>
              <w:t>Director</w:t>
            </w:r>
          </w:p>
        </w:tc>
        <w:tc>
          <w:tcPr>
            <w:tcW w:w="3740" w:type="dxa"/>
            <w:vAlign w:val="bottom"/>
          </w:tcPr>
          <w:p>
            <w:pPr>
              <w:ind w:left="2600"/>
              <w:spacing w:after="0"/>
              <w:rPr>
                <w:sz w:val="20"/>
                <w:szCs w:val="20"/>
                <w:color w:val="auto"/>
              </w:rPr>
            </w:pPr>
            <w:r>
              <w:rPr>
                <w:rFonts w:ascii="Arial" w:cs="Arial" w:eastAsia="Arial" w:hAnsi="Arial"/>
                <w:sz w:val="15"/>
                <w:szCs w:val="15"/>
                <w:color w:val="auto"/>
                <w:w w:val="91"/>
              </w:rPr>
              <w:t>February 13, 2020</w:t>
            </w:r>
          </w:p>
        </w:tc>
      </w:tr>
      <w:tr>
        <w:trPr>
          <w:trHeight w:val="193"/>
        </w:trPr>
        <w:tc>
          <w:tcPr>
            <w:tcW w:w="3980" w:type="dxa"/>
            <w:vAlign w:val="bottom"/>
          </w:tcPr>
          <w:p>
            <w:pPr>
              <w:jc w:val="center"/>
              <w:spacing w:after="0"/>
              <w:rPr>
                <w:sz w:val="20"/>
                <w:szCs w:val="20"/>
                <w:color w:val="auto"/>
              </w:rPr>
            </w:pPr>
            <w:r>
              <w:rPr>
                <w:rFonts w:ascii="Arial" w:cs="Arial" w:eastAsia="Arial" w:hAnsi="Arial"/>
                <w:sz w:val="15"/>
                <w:szCs w:val="15"/>
                <w:color w:val="auto"/>
                <w:w w:val="93"/>
              </w:rPr>
              <w:t>Kazuko Matsuda</w:t>
            </w:r>
          </w:p>
        </w:tc>
        <w:tc>
          <w:tcPr>
            <w:tcW w:w="32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86"/>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Hideki Nagao</w:t>
            </w:r>
          </w:p>
        </w:tc>
        <w:tc>
          <w:tcPr>
            <w:tcW w:w="3260" w:type="dxa"/>
            <w:vAlign w:val="bottom"/>
          </w:tcPr>
          <w:p>
            <w:pPr>
              <w:ind w:left="160"/>
              <w:spacing w:after="0"/>
              <w:rPr>
                <w:sz w:val="20"/>
                <w:szCs w:val="20"/>
                <w:color w:val="auto"/>
              </w:rPr>
            </w:pPr>
            <w:r>
              <w:rPr>
                <w:rFonts w:ascii="Arial" w:cs="Arial" w:eastAsia="Arial" w:hAnsi="Arial"/>
                <w:sz w:val="15"/>
                <w:szCs w:val="15"/>
                <w:color w:val="auto"/>
              </w:rPr>
              <w:t>Director</w:t>
            </w:r>
          </w:p>
        </w:tc>
        <w:tc>
          <w:tcPr>
            <w:tcW w:w="3740" w:type="dxa"/>
            <w:vAlign w:val="bottom"/>
          </w:tcPr>
          <w:p>
            <w:pPr>
              <w:ind w:left="2600"/>
              <w:spacing w:after="0"/>
              <w:rPr>
                <w:sz w:val="20"/>
                <w:szCs w:val="20"/>
                <w:color w:val="auto"/>
              </w:rPr>
            </w:pPr>
            <w:r>
              <w:rPr>
                <w:rFonts w:ascii="Arial" w:cs="Arial" w:eastAsia="Arial" w:hAnsi="Arial"/>
                <w:sz w:val="15"/>
                <w:szCs w:val="15"/>
                <w:color w:val="auto"/>
                <w:w w:val="91"/>
              </w:rPr>
              <w:t>February 13, 2020</w:t>
            </w:r>
          </w:p>
        </w:tc>
      </w:tr>
      <w:tr>
        <w:trPr>
          <w:trHeight w:val="193"/>
        </w:trPr>
        <w:tc>
          <w:tcPr>
            <w:tcW w:w="3980" w:type="dxa"/>
            <w:vAlign w:val="bottom"/>
          </w:tcPr>
          <w:p>
            <w:pPr>
              <w:jc w:val="center"/>
              <w:spacing w:after="0"/>
              <w:rPr>
                <w:sz w:val="20"/>
                <w:szCs w:val="20"/>
                <w:color w:val="auto"/>
              </w:rPr>
            </w:pPr>
            <w:r>
              <w:rPr>
                <w:rFonts w:ascii="Arial" w:cs="Arial" w:eastAsia="Arial" w:hAnsi="Arial"/>
                <w:sz w:val="15"/>
                <w:szCs w:val="15"/>
                <w:color w:val="auto"/>
                <w:w w:val="95"/>
              </w:rPr>
              <w:t>Hideki Nagao</w:t>
            </w:r>
          </w:p>
        </w:tc>
        <w:tc>
          <w:tcPr>
            <w:tcW w:w="3260" w:type="dxa"/>
            <w:vAlign w:val="bottom"/>
          </w:tcPr>
          <w:p>
            <w:pPr>
              <w:spacing w:after="0"/>
              <w:rPr>
                <w:sz w:val="16"/>
                <w:szCs w:val="16"/>
                <w:color w:val="auto"/>
              </w:rPr>
            </w:pPr>
          </w:p>
        </w:tc>
        <w:tc>
          <w:tcPr>
            <w:tcW w:w="37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440"/>
          </w:cols>
          <w:pgMar w:left="240" w:top="308" w:right="21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5"/>
          <w:szCs w:val="15"/>
          <w:b w:val="1"/>
          <w:bCs w:val="1"/>
          <w:color w:val="auto"/>
        </w:rPr>
        <w:t>Exhibit 23.1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MediciNova,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La Jolla, California</w:t>
      </w:r>
    </w:p>
    <w:p>
      <w:pPr>
        <w:spacing w:after="0" w:line="18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We hereby consent to the incorporation by reference in the Registration Statements on Form S3 (Nos. 333-233201, 333-220593, 333-214830 and 333-208274) and Form S-8 (Nos. 333-232239, 333-219491, 333-190490, 333-151808, 333-141694 and 333-122665) of MediciNova, Inc. of our reports dated February 13, 2020, relating to the consolidated financial statements and the effectiveness of MediciNova, Inc.’s internal control over financial reporting, which appears in this Form 10-K.</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BDO USA, LLP</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February 13, 2020</w:t>
      </w:r>
    </w:p>
    <w:p>
      <w:pPr>
        <w:sectPr>
          <w:pgSz w:w="11900" w:h="16838" w:orient="portrait"/>
          <w:cols w:equalWidth="0" w:num="1">
            <w:col w:w="11440"/>
          </w:cols>
          <w:pgMar w:left="240" w:top="123" w:right="219" w:bottom="1440" w:gutter="0" w:footer="0" w:header="0"/>
        </w:sectPr>
      </w:pPr>
    </w:p>
    <w:bookmarkStart w:id="87" w:name="page88"/>
    <w:bookmarkEnd w:id="87"/>
    <w:p>
      <w:pPr>
        <w:jc w:val="right"/>
        <w:spacing w:after="0"/>
        <w:rPr>
          <w:sz w:val="20"/>
          <w:szCs w:val="20"/>
          <w:color w:val="auto"/>
        </w:rPr>
      </w:pPr>
      <w:r>
        <w:rPr>
          <w:rFonts w:ascii="Arial" w:cs="Arial" w:eastAsia="Arial" w:hAnsi="Arial"/>
          <w:sz w:val="15"/>
          <w:szCs w:val="15"/>
          <w:b w:val="1"/>
          <w:bCs w:val="1"/>
          <w:color w:val="auto"/>
        </w:rPr>
        <w:t>Exhibit 31.1</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CERTIFICATION OF THE PRINCIPAL EXECUTIVE OFFICER</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color w:val="auto"/>
        </w:rPr>
        <w:t>I, Yuichi Iwaki, certify that:</w:t>
      </w:r>
    </w:p>
    <w:p>
      <w:pPr>
        <w:spacing w:after="0" w:line="106" w:lineRule="exact"/>
        <w:rPr>
          <w:sz w:val="20"/>
          <w:szCs w:val="20"/>
          <w:color w:val="auto"/>
        </w:rPr>
      </w:pPr>
    </w:p>
    <w:p>
      <w:pPr>
        <w:ind w:left="147" w:hanging="147"/>
        <w:spacing w:after="0"/>
        <w:tabs>
          <w:tab w:leader="none" w:pos="147" w:val="left"/>
        </w:tabs>
        <w:numPr>
          <w:ilvl w:val="0"/>
          <w:numId w:val="41"/>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fiscal year ended December 31, 2019 of MediciNova, Inc.;</w:t>
      </w:r>
    </w:p>
    <w:p>
      <w:pPr>
        <w:spacing w:after="0" w:line="106" w:lineRule="exact"/>
        <w:rPr>
          <w:rFonts w:ascii="Arial" w:cs="Arial" w:eastAsia="Arial" w:hAnsi="Arial"/>
          <w:sz w:val="15"/>
          <w:szCs w:val="15"/>
          <w:color w:val="auto"/>
        </w:rPr>
      </w:pPr>
    </w:p>
    <w:p>
      <w:pPr>
        <w:ind w:left="7" w:right="320" w:hanging="7"/>
        <w:spacing w:after="0" w:line="290" w:lineRule="auto"/>
        <w:tabs>
          <w:tab w:leader="none" w:pos="16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left="7" w:right="420" w:hanging="7"/>
        <w:spacing w:after="0" w:line="290" w:lineRule="auto"/>
        <w:tabs>
          <w:tab w:leader="none" w:pos="16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ind w:left="147" w:hanging="147"/>
        <w:spacing w:after="0"/>
        <w:tabs>
          <w:tab w:leader="none" w:pos="1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95" w:lineRule="exact"/>
        <w:rPr>
          <w:rFonts w:ascii="Arial" w:cs="Arial" w:eastAsia="Arial" w:hAnsi="Arial"/>
          <w:sz w:val="14"/>
          <w:szCs w:val="14"/>
          <w:color w:val="auto"/>
        </w:rPr>
      </w:pPr>
    </w:p>
    <w:p>
      <w:pPr>
        <w:ind w:left="7" w:right="240" w:firstLine="592"/>
        <w:spacing w:after="0" w:line="274" w:lineRule="auto"/>
        <w:tabs>
          <w:tab w:leader="none" w:pos="766" w:val="left"/>
        </w:tabs>
        <w:numPr>
          <w:ilvl w:val="1"/>
          <w:numId w:val="4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ind w:left="7" w:right="80" w:firstLine="592"/>
        <w:spacing w:after="0" w:line="328" w:lineRule="auto"/>
        <w:tabs>
          <w:tab w:leader="none" w:pos="774" w:val="left"/>
        </w:tabs>
        <w:numPr>
          <w:ilvl w:val="1"/>
          <w:numId w:val="4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4"/>
          <w:szCs w:val="14"/>
          <w:color w:val="auto"/>
        </w:rPr>
      </w:pPr>
    </w:p>
    <w:p>
      <w:pPr>
        <w:ind w:left="7" w:right="440" w:firstLine="592"/>
        <w:spacing w:after="0" w:line="290" w:lineRule="auto"/>
        <w:tabs>
          <w:tab w:leader="none" w:pos="766"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ind w:left="7" w:right="40" w:firstLine="592"/>
        <w:spacing w:after="0" w:line="328" w:lineRule="auto"/>
        <w:tabs>
          <w:tab w:leader="none" w:pos="774" w:val="left"/>
        </w:tabs>
        <w:numPr>
          <w:ilvl w:val="1"/>
          <w:numId w:val="4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4"/>
          <w:szCs w:val="14"/>
          <w:color w:val="auto"/>
        </w:rPr>
      </w:pPr>
    </w:p>
    <w:p>
      <w:pPr>
        <w:ind w:left="7" w:right="280" w:hanging="7"/>
        <w:spacing w:after="0" w:line="290" w:lineRule="auto"/>
        <w:tabs>
          <w:tab w:leader="none" w:pos="162"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5"/>
          <w:szCs w:val="15"/>
          <w:color w:val="auto"/>
        </w:rPr>
      </w:pPr>
    </w:p>
    <w:p>
      <w:pPr>
        <w:ind w:left="7" w:right="40" w:firstLine="592"/>
        <w:spacing w:after="0" w:line="290" w:lineRule="auto"/>
        <w:tabs>
          <w:tab w:leader="none" w:pos="766" w:val="left"/>
        </w:tabs>
        <w:numPr>
          <w:ilvl w:val="1"/>
          <w:numId w:val="4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5"/>
          <w:szCs w:val="15"/>
          <w:color w:val="auto"/>
        </w:rPr>
      </w:pPr>
    </w:p>
    <w:p>
      <w:pPr>
        <w:ind w:left="767" w:hanging="168"/>
        <w:spacing w:after="0"/>
        <w:tabs>
          <w:tab w:leader="none" w:pos="767" w:val="left"/>
        </w:tabs>
        <w:numPr>
          <w:ilvl w:val="1"/>
          <w:numId w:val="4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6867"/>
        <w:spacing w:after="0"/>
        <w:rPr>
          <w:sz w:val="20"/>
          <w:szCs w:val="20"/>
          <w:color w:val="auto"/>
        </w:rPr>
      </w:pPr>
      <w:r>
        <w:rPr>
          <w:rFonts w:ascii="Arial" w:cs="Arial" w:eastAsia="Arial" w:hAnsi="Arial"/>
          <w:sz w:val="15"/>
          <w:szCs w:val="15"/>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15240</wp:posOffset>
            </wp:positionV>
            <wp:extent cx="290322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2903220" cy="7620"/>
                    </a:xfrm>
                    <a:prstGeom prst="rect">
                      <a:avLst/>
                    </a:prstGeom>
                    <a:noFill/>
                  </pic:spPr>
                </pic:pic>
              </a:graphicData>
            </a:graphic>
          </wp:anchor>
        </w:drawing>
      </w:r>
    </w:p>
    <w:p>
      <w:pPr>
        <w:spacing w:after="0" w:line="5" w:lineRule="exact"/>
        <w:rPr>
          <w:sz w:val="20"/>
          <w:szCs w:val="20"/>
          <w:color w:val="auto"/>
        </w:rPr>
      </w:pPr>
    </w:p>
    <w:p>
      <w:pPr>
        <w:ind w:left="6867"/>
        <w:spacing w:after="0"/>
        <w:rPr>
          <w:sz w:val="20"/>
          <w:szCs w:val="20"/>
          <w:color w:val="auto"/>
        </w:rPr>
      </w:pPr>
      <w:r>
        <w:rPr>
          <w:rFonts w:ascii="Arial" w:cs="Arial" w:eastAsia="Arial" w:hAnsi="Arial"/>
          <w:sz w:val="15"/>
          <w:szCs w:val="15"/>
          <w:color w:val="auto"/>
        </w:rPr>
        <w:t>Yuichi Iwaki, M.D., Ph.D.</w:t>
      </w:r>
    </w:p>
    <w:p>
      <w:pPr>
        <w:spacing w:after="0" w:line="23" w:lineRule="exact"/>
        <w:rPr>
          <w:sz w:val="20"/>
          <w:szCs w:val="20"/>
          <w:color w:val="auto"/>
        </w:rPr>
      </w:pPr>
    </w:p>
    <w:p>
      <w:pPr>
        <w:ind w:left="6867"/>
        <w:spacing w:after="0"/>
        <w:rPr>
          <w:sz w:val="20"/>
          <w:szCs w:val="20"/>
          <w:color w:val="auto"/>
        </w:rPr>
      </w:pPr>
      <w:r>
        <w:rPr>
          <w:rFonts w:ascii="Arial" w:cs="Arial" w:eastAsia="Arial" w:hAnsi="Arial"/>
          <w:sz w:val="15"/>
          <w:szCs w:val="15"/>
          <w:color w:val="auto"/>
        </w:rPr>
        <w:t>President and Chief Executive Officer</w:t>
      </w:r>
    </w:p>
    <w:p>
      <w:pPr>
        <w:spacing w:after="0" w:line="13" w:lineRule="exact"/>
        <w:rPr>
          <w:sz w:val="20"/>
          <w:szCs w:val="20"/>
          <w:color w:val="auto"/>
        </w:rPr>
      </w:pPr>
    </w:p>
    <w:p>
      <w:pPr>
        <w:ind w:left="6867"/>
        <w:spacing w:after="0"/>
        <w:rPr>
          <w:sz w:val="20"/>
          <w:szCs w:val="20"/>
          <w:color w:val="auto"/>
        </w:rPr>
      </w:pPr>
      <w:r>
        <w:rPr>
          <w:rFonts w:ascii="Arial" w:cs="Arial" w:eastAsia="Arial" w:hAnsi="Arial"/>
          <w:sz w:val="15"/>
          <w:szCs w:val="15"/>
          <w:i w:val="1"/>
          <w:iCs w:val="1"/>
          <w:color w:val="auto"/>
        </w:rPr>
        <w:t>(Principal executive officer)</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color w:val="auto"/>
        </w:rPr>
        <w:t>Date: February 13, 2020</w:t>
      </w:r>
    </w:p>
    <w:p>
      <w:pPr>
        <w:sectPr>
          <w:pgSz w:w="11900" w:h="16838" w:orient="portrait"/>
          <w:cols w:equalWidth="0" w:num="1">
            <w:col w:w="11447"/>
          </w:cols>
          <w:pgMar w:left="233" w:top="123" w:right="219" w:bottom="1440" w:gutter="0" w:footer="0" w:header="0"/>
        </w:sectPr>
      </w:pPr>
    </w:p>
    <w:bookmarkStart w:id="88" w:name="page89"/>
    <w:bookmarkEnd w:id="88"/>
    <w:p>
      <w:pPr>
        <w:ind w:left="9687"/>
        <w:spacing w:after="0"/>
        <w:rPr>
          <w:sz w:val="20"/>
          <w:szCs w:val="20"/>
          <w:color w:val="auto"/>
        </w:rPr>
      </w:pPr>
      <w:r>
        <w:rPr>
          <w:rFonts w:ascii="Arial" w:cs="Arial" w:eastAsia="Arial" w:hAnsi="Arial"/>
          <w:sz w:val="15"/>
          <w:szCs w:val="15"/>
          <w:b w:val="1"/>
          <w:bCs w:val="1"/>
          <w:color w:val="auto"/>
        </w:rPr>
        <w:t>Exhibit 31.2</w:t>
      </w:r>
    </w:p>
    <w:p>
      <w:pPr>
        <w:spacing w:after="0" w:line="396"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CERTIFICATION OF THE PRINCIPAL FINANCIAL OFFICER</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color w:val="auto"/>
        </w:rPr>
        <w:t>I, Carla Reyes, certify that:</w:t>
      </w:r>
    </w:p>
    <w:p>
      <w:pPr>
        <w:spacing w:after="0" w:line="106" w:lineRule="exact"/>
        <w:rPr>
          <w:sz w:val="20"/>
          <w:szCs w:val="20"/>
          <w:color w:val="auto"/>
        </w:rPr>
      </w:pPr>
    </w:p>
    <w:p>
      <w:pPr>
        <w:ind w:left="147" w:hanging="147"/>
        <w:spacing w:after="0"/>
        <w:tabs>
          <w:tab w:leader="none" w:pos="14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fiscal year ended December 31, 2019 of MediciNova, Inc.;</w:t>
      </w:r>
    </w:p>
    <w:p>
      <w:pPr>
        <w:spacing w:after="0" w:line="106" w:lineRule="exact"/>
        <w:rPr>
          <w:rFonts w:ascii="Arial" w:cs="Arial" w:eastAsia="Arial" w:hAnsi="Arial"/>
          <w:sz w:val="15"/>
          <w:szCs w:val="15"/>
          <w:color w:val="auto"/>
        </w:rPr>
      </w:pPr>
    </w:p>
    <w:p>
      <w:pPr>
        <w:ind w:left="7" w:right="280" w:hanging="7"/>
        <w:spacing w:after="0" w:line="290" w:lineRule="auto"/>
        <w:tabs>
          <w:tab w:leader="none" w:pos="16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left="7" w:right="380" w:hanging="7"/>
        <w:spacing w:after="0" w:line="290" w:lineRule="auto"/>
        <w:tabs>
          <w:tab w:leader="none" w:pos="16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ind w:left="147" w:hanging="147"/>
        <w:spacing w:after="0"/>
        <w:tabs>
          <w:tab w:leader="none" w:pos="1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95" w:lineRule="exact"/>
        <w:rPr>
          <w:rFonts w:ascii="Arial" w:cs="Arial" w:eastAsia="Arial" w:hAnsi="Arial"/>
          <w:sz w:val="14"/>
          <w:szCs w:val="14"/>
          <w:color w:val="auto"/>
        </w:rPr>
      </w:pPr>
    </w:p>
    <w:p>
      <w:pPr>
        <w:ind w:left="7" w:right="200" w:firstLine="592"/>
        <w:spacing w:after="0" w:line="274" w:lineRule="auto"/>
        <w:tabs>
          <w:tab w:leader="none" w:pos="766" w:val="left"/>
        </w:tabs>
        <w:numPr>
          <w:ilvl w:val="1"/>
          <w:numId w:val="4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ind w:left="7" w:right="40" w:firstLine="592"/>
        <w:spacing w:after="0" w:line="328" w:lineRule="auto"/>
        <w:tabs>
          <w:tab w:leader="none" w:pos="774" w:val="left"/>
        </w:tabs>
        <w:numPr>
          <w:ilvl w:val="1"/>
          <w:numId w:val="4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4"/>
          <w:szCs w:val="14"/>
          <w:color w:val="auto"/>
        </w:rPr>
      </w:pPr>
    </w:p>
    <w:p>
      <w:pPr>
        <w:ind w:left="7" w:right="400" w:firstLine="592"/>
        <w:spacing w:after="0" w:line="290" w:lineRule="auto"/>
        <w:tabs>
          <w:tab w:leader="none" w:pos="766"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ind w:left="7" w:firstLine="592"/>
        <w:spacing w:after="0" w:line="328" w:lineRule="auto"/>
        <w:tabs>
          <w:tab w:leader="none" w:pos="774" w:val="left"/>
        </w:tabs>
        <w:numPr>
          <w:ilvl w:val="1"/>
          <w:numId w:val="4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4"/>
          <w:szCs w:val="14"/>
          <w:color w:val="auto"/>
        </w:rPr>
      </w:pPr>
    </w:p>
    <w:p>
      <w:pPr>
        <w:ind w:left="7" w:right="240" w:hanging="7"/>
        <w:spacing w:after="0" w:line="290" w:lineRule="auto"/>
        <w:tabs>
          <w:tab w:leader="none" w:pos="162"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5"/>
          <w:szCs w:val="15"/>
          <w:color w:val="auto"/>
        </w:rPr>
      </w:pPr>
    </w:p>
    <w:p>
      <w:pPr>
        <w:ind w:left="7" w:firstLine="592"/>
        <w:spacing w:after="0" w:line="290" w:lineRule="auto"/>
        <w:tabs>
          <w:tab w:leader="none" w:pos="766" w:val="left"/>
        </w:tabs>
        <w:numPr>
          <w:ilvl w:val="1"/>
          <w:numId w:val="4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5"/>
          <w:szCs w:val="15"/>
          <w:color w:val="auto"/>
        </w:rPr>
      </w:pPr>
    </w:p>
    <w:p>
      <w:pPr>
        <w:ind w:left="767" w:hanging="168"/>
        <w:spacing w:after="0"/>
        <w:tabs>
          <w:tab w:leader="none" w:pos="767" w:val="left"/>
        </w:tabs>
        <w:numPr>
          <w:ilvl w:val="1"/>
          <w:numId w:val="4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6867"/>
        <w:spacing w:after="0"/>
        <w:rPr>
          <w:sz w:val="20"/>
          <w:szCs w:val="20"/>
          <w:color w:val="auto"/>
        </w:rPr>
      </w:pPr>
      <w:r>
        <w:rPr>
          <w:rFonts w:ascii="Arial" w:cs="Arial" w:eastAsia="Arial" w:hAnsi="Arial"/>
          <w:sz w:val="15"/>
          <w:szCs w:val="15"/>
          <w:color w:val="auto"/>
        </w:rPr>
        <w:t>/s/ 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15240</wp:posOffset>
            </wp:positionV>
            <wp:extent cx="29032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2903220" cy="7620"/>
                    </a:xfrm>
                    <a:prstGeom prst="rect">
                      <a:avLst/>
                    </a:prstGeom>
                    <a:noFill/>
                  </pic:spPr>
                </pic:pic>
              </a:graphicData>
            </a:graphic>
          </wp:anchor>
        </w:drawing>
      </w:r>
    </w:p>
    <w:p>
      <w:pPr>
        <w:spacing w:after="0" w:line="5" w:lineRule="exact"/>
        <w:rPr>
          <w:sz w:val="20"/>
          <w:szCs w:val="20"/>
          <w:color w:val="auto"/>
        </w:rPr>
      </w:pPr>
    </w:p>
    <w:p>
      <w:pPr>
        <w:ind w:left="6867"/>
        <w:spacing w:after="0"/>
        <w:rPr>
          <w:sz w:val="20"/>
          <w:szCs w:val="20"/>
          <w:color w:val="auto"/>
        </w:rPr>
      </w:pPr>
      <w:r>
        <w:rPr>
          <w:rFonts w:ascii="Arial" w:cs="Arial" w:eastAsia="Arial" w:hAnsi="Arial"/>
          <w:sz w:val="15"/>
          <w:szCs w:val="15"/>
          <w:color w:val="auto"/>
        </w:rPr>
        <w:t>Carla Reyes</w:t>
      </w:r>
    </w:p>
    <w:p>
      <w:pPr>
        <w:spacing w:after="0" w:line="23" w:lineRule="exact"/>
        <w:rPr>
          <w:sz w:val="20"/>
          <w:szCs w:val="20"/>
          <w:color w:val="auto"/>
        </w:rPr>
      </w:pPr>
    </w:p>
    <w:p>
      <w:pPr>
        <w:ind w:left="6867"/>
        <w:spacing w:after="0"/>
        <w:rPr>
          <w:sz w:val="20"/>
          <w:szCs w:val="20"/>
          <w:color w:val="auto"/>
        </w:rPr>
      </w:pPr>
      <w:r>
        <w:rPr>
          <w:rFonts w:ascii="Arial" w:cs="Arial" w:eastAsia="Arial" w:hAnsi="Arial"/>
          <w:sz w:val="15"/>
          <w:szCs w:val="15"/>
          <w:color w:val="auto"/>
        </w:rPr>
        <w:t>Chief Financial Officer</w:t>
      </w:r>
    </w:p>
    <w:p>
      <w:pPr>
        <w:spacing w:after="0" w:line="13" w:lineRule="exact"/>
        <w:rPr>
          <w:sz w:val="20"/>
          <w:szCs w:val="20"/>
          <w:color w:val="auto"/>
        </w:rPr>
      </w:pPr>
    </w:p>
    <w:p>
      <w:pPr>
        <w:ind w:left="6867"/>
        <w:spacing w:after="0"/>
        <w:rPr>
          <w:sz w:val="20"/>
          <w:szCs w:val="20"/>
          <w:color w:val="auto"/>
        </w:rPr>
      </w:pPr>
      <w:r>
        <w:rPr>
          <w:rFonts w:ascii="Arial" w:cs="Arial" w:eastAsia="Arial" w:hAnsi="Arial"/>
          <w:sz w:val="15"/>
          <w:szCs w:val="15"/>
          <w:i w:val="1"/>
          <w:iCs w:val="1"/>
          <w:color w:val="auto"/>
        </w:rPr>
        <w:t>(Principal financial officer)</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color w:val="auto"/>
        </w:rPr>
        <w:t>Date: February 13, 2020</w:t>
      </w:r>
    </w:p>
    <w:p>
      <w:pPr>
        <w:sectPr>
          <w:pgSz w:w="11900" w:h="16838" w:orient="portrait"/>
          <w:cols w:equalWidth="0" w:num="1">
            <w:col w:w="11407"/>
          </w:cols>
          <w:pgMar w:left="233" w:top="123"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5"/>
          <w:szCs w:val="15"/>
          <w:b w:val="1"/>
          <w:bCs w:val="1"/>
          <w:color w:val="auto"/>
        </w:rPr>
        <w:t>Exhibit 32.1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THE PRINCIPAL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906 of the Sarbanes-Oxley Act of 2002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(Subsections (a) and (b) of Section 1350, Chapter 63 of Title 18, United States Code)</w:t>
      </w:r>
    </w:p>
    <w:p>
      <w:pPr>
        <w:spacing w:after="0" w:line="189" w:lineRule="exact"/>
        <w:rPr>
          <w:sz w:val="20"/>
          <w:szCs w:val="20"/>
          <w:color w:val="auto"/>
        </w:rPr>
      </w:pPr>
    </w:p>
    <w:p>
      <w:pPr>
        <w:ind w:right="20" w:firstLine="599"/>
        <w:spacing w:after="0" w:line="274" w:lineRule="auto"/>
        <w:rPr>
          <w:sz w:val="20"/>
          <w:szCs w:val="20"/>
          <w:color w:val="auto"/>
        </w:rPr>
      </w:pPr>
      <w:r>
        <w:rPr>
          <w:rFonts w:ascii="Arial" w:cs="Arial" w:eastAsia="Arial" w:hAnsi="Arial"/>
          <w:sz w:val="15"/>
          <w:szCs w:val="15"/>
          <w:color w:val="auto"/>
        </w:rPr>
        <w:t>In connection with the Annual Report on Form 10-K of MediciNova, Inc. (the “Company”) for the period ended December 31, 2019,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59" w:lineRule="exact"/>
        <w:rPr>
          <w:sz w:val="20"/>
          <w:szCs w:val="20"/>
          <w:color w:val="auto"/>
        </w:rPr>
      </w:pPr>
    </w:p>
    <w:p>
      <w:pPr>
        <w:ind w:left="740" w:hanging="148"/>
        <w:spacing w:after="0"/>
        <w:tabs>
          <w:tab w:leader="none" w:pos="7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06" w:lineRule="exact"/>
        <w:rPr>
          <w:rFonts w:ascii="Arial" w:cs="Arial" w:eastAsia="Arial" w:hAnsi="Arial"/>
          <w:sz w:val="15"/>
          <w:szCs w:val="15"/>
          <w:color w:val="auto"/>
        </w:rPr>
      </w:pPr>
    </w:p>
    <w:p>
      <w:pPr>
        <w:ind w:left="740" w:hanging="148"/>
        <w:spacing w:after="0"/>
        <w:tabs>
          <w:tab w:leader="none" w:pos="7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20"/>
                <w:szCs w:val="20"/>
                <w:color w:val="auto"/>
              </w:rPr>
            </w:pPr>
            <w:r>
              <w:rPr>
                <w:rFonts w:ascii="Arial" w:cs="Arial" w:eastAsia="Arial" w:hAnsi="Arial"/>
                <w:sz w:val="15"/>
                <w:szCs w:val="15"/>
                <w:color w:val="auto"/>
              </w:rPr>
              <w:t>Date: February 13, 2020</w:t>
            </w:r>
          </w:p>
        </w:tc>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Yuichi Iwaki</w:t>
            </w:r>
          </w:p>
        </w:tc>
      </w:tr>
      <w:tr>
        <w:trPr>
          <w:trHeight w:val="167"/>
        </w:trPr>
        <w:tc>
          <w:tcPr>
            <w:tcW w:w="6860" w:type="dxa"/>
            <w:vAlign w:val="bottom"/>
          </w:tcPr>
          <w:p>
            <w:pPr>
              <w:spacing w:after="0"/>
              <w:rPr>
                <w:sz w:val="14"/>
                <w:szCs w:val="14"/>
                <w:color w:val="auto"/>
              </w:rPr>
            </w:pPr>
          </w:p>
        </w:tc>
        <w:tc>
          <w:tcPr>
            <w:tcW w:w="4580" w:type="dxa"/>
            <w:vAlign w:val="bottom"/>
          </w:tcPr>
          <w:p>
            <w:pPr>
              <w:spacing w:after="0" w:line="167" w:lineRule="exact"/>
              <w:rPr>
                <w:sz w:val="20"/>
                <w:szCs w:val="20"/>
                <w:color w:val="auto"/>
              </w:rPr>
            </w:pPr>
            <w:r>
              <w:rPr>
                <w:rFonts w:ascii="Arial" w:cs="Arial" w:eastAsia="Arial" w:hAnsi="Arial"/>
                <w:sz w:val="15"/>
                <w:szCs w:val="15"/>
                <w:color w:val="auto"/>
              </w:rPr>
              <w:t>Yuichi Iwaki, M.D., Ph.D.</w:t>
            </w:r>
          </w:p>
        </w:tc>
      </w:tr>
      <w:tr>
        <w:trPr>
          <w:trHeight w:val="186"/>
        </w:trPr>
        <w:tc>
          <w:tcPr>
            <w:tcW w:w="68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President and Chief Executive Officer</w:t>
            </w:r>
          </w:p>
        </w:tc>
      </w:tr>
      <w:tr>
        <w:trPr>
          <w:trHeight w:val="196"/>
        </w:trPr>
        <w:tc>
          <w:tcPr>
            <w:tcW w:w="686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5"/>
                <w:szCs w:val="15"/>
                <w:i w:val="1"/>
                <w:iCs w:val="1"/>
                <w:color w:val="auto"/>
              </w:rPr>
              <w:t>(Principal executive officer)</w:t>
            </w:r>
          </w:p>
        </w:tc>
      </w:tr>
    </w:tbl>
    <w:p>
      <w:pPr>
        <w:spacing w:after="0" w:line="176" w:lineRule="exact"/>
        <w:rPr>
          <w:sz w:val="20"/>
          <w:szCs w:val="20"/>
          <w:color w:val="auto"/>
        </w:rPr>
      </w:pPr>
    </w:p>
    <w:p>
      <w:pPr>
        <w:jc w:val="both"/>
        <w:ind w:right="120" w:firstLine="599"/>
        <w:spacing w:after="0" w:line="269" w:lineRule="auto"/>
        <w:rPr>
          <w:sz w:val="20"/>
          <w:szCs w:val="20"/>
          <w:color w:val="auto"/>
        </w:rPr>
      </w:pPr>
      <w:r>
        <w:rPr>
          <w:rFonts w:ascii="Arial" w:cs="Arial" w:eastAsia="Arial" w:hAnsi="Arial"/>
          <w:sz w:val="15"/>
          <w:szCs w:val="15"/>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40"/>
          </w:cols>
          <w:pgMar w:left="240" w:top="123" w:right="219" w:bottom="1440" w:gutter="0" w:footer="0" w:header="0"/>
        </w:sectPr>
      </w:pPr>
    </w:p>
    <w:bookmarkStart w:id="90" w:name="page91"/>
    <w:bookmarkEnd w:id="90"/>
    <w:p>
      <w:pPr>
        <w:ind w:left="10080"/>
        <w:spacing w:after="0"/>
        <w:rPr>
          <w:sz w:val="20"/>
          <w:szCs w:val="20"/>
          <w:color w:val="auto"/>
        </w:rPr>
      </w:pPr>
      <w:r>
        <w:rPr>
          <w:rFonts w:ascii="Arial" w:cs="Arial" w:eastAsia="Arial" w:hAnsi="Arial"/>
          <w:sz w:val="15"/>
          <w:szCs w:val="15"/>
          <w:b w:val="1"/>
          <w:bCs w:val="1"/>
          <w:color w:val="auto"/>
        </w:rPr>
        <w:t>Exhibit 32.2</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THE PRINCIPAL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906 of the Sarbanes-Oxley Act of 2002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(Subsections (a) and (b) of Section 1350, Chapter 63 of Title 18, United States Code)</w:t>
      </w:r>
    </w:p>
    <w:p>
      <w:pPr>
        <w:spacing w:after="0" w:line="189" w:lineRule="exact"/>
        <w:rPr>
          <w:sz w:val="20"/>
          <w:szCs w:val="20"/>
          <w:color w:val="auto"/>
        </w:rPr>
      </w:pPr>
    </w:p>
    <w:p>
      <w:pPr>
        <w:ind w:right="20" w:firstLine="599"/>
        <w:spacing w:after="0" w:line="290" w:lineRule="auto"/>
        <w:rPr>
          <w:sz w:val="20"/>
          <w:szCs w:val="20"/>
          <w:color w:val="auto"/>
        </w:rPr>
      </w:pPr>
      <w:r>
        <w:rPr>
          <w:rFonts w:ascii="Arial" w:cs="Arial" w:eastAsia="Arial" w:hAnsi="Arial"/>
          <w:sz w:val="15"/>
          <w:szCs w:val="15"/>
          <w:color w:val="auto"/>
        </w:rPr>
        <w:t>In connection with the Annual Report on Form 10-K of MediciNova, Inc. (the “Company”) for the period ended December 31, 2019, as filed with the Securities and Exchange Commission on the date hereof (the “Report”),</w:t>
      </w:r>
    </w:p>
    <w:p>
      <w:pPr>
        <w:spacing w:after="0" w:line="140" w:lineRule="exact"/>
        <w:rPr>
          <w:sz w:val="20"/>
          <w:szCs w:val="20"/>
          <w:color w:val="auto"/>
        </w:rPr>
      </w:pPr>
    </w:p>
    <w:p>
      <w:pPr>
        <w:ind w:right="40" w:firstLine="599"/>
        <w:spacing w:after="0" w:line="290" w:lineRule="auto"/>
        <w:rPr>
          <w:sz w:val="20"/>
          <w:szCs w:val="20"/>
          <w:color w:val="auto"/>
        </w:rPr>
      </w:pPr>
      <w:r>
        <w:rPr>
          <w:rFonts w:ascii="Arial" w:cs="Arial" w:eastAsia="Arial" w:hAnsi="Arial"/>
          <w:sz w:val="15"/>
          <w:szCs w:val="15"/>
          <w:color w:val="auto"/>
        </w:rPr>
        <w:t>I, Carla Reyes, as Chief Financial Officer of the Company, certify, pursuant to 18 U.S.C. Section 1350, as adopted pursuant to Section 906 of the Sarbanes-Oxley Act of 2002, that to my knowledge:</w:t>
      </w:r>
    </w:p>
    <w:p>
      <w:pPr>
        <w:spacing w:after="0" w:line="47" w:lineRule="exact"/>
        <w:rPr>
          <w:sz w:val="20"/>
          <w:szCs w:val="20"/>
          <w:color w:val="auto"/>
        </w:rPr>
      </w:pPr>
    </w:p>
    <w:p>
      <w:pPr>
        <w:ind w:left="740" w:hanging="148"/>
        <w:spacing w:after="0"/>
        <w:tabs>
          <w:tab w:leader="none" w:pos="7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06" w:lineRule="exact"/>
        <w:rPr>
          <w:rFonts w:ascii="Arial" w:cs="Arial" w:eastAsia="Arial" w:hAnsi="Arial"/>
          <w:sz w:val="15"/>
          <w:szCs w:val="15"/>
          <w:color w:val="auto"/>
        </w:rPr>
      </w:pPr>
    </w:p>
    <w:p>
      <w:pPr>
        <w:ind w:left="740" w:hanging="148"/>
        <w:spacing w:after="0"/>
        <w:tabs>
          <w:tab w:leader="none" w:pos="7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20"/>
                <w:szCs w:val="20"/>
                <w:color w:val="auto"/>
              </w:rPr>
            </w:pPr>
            <w:r>
              <w:rPr>
                <w:rFonts w:ascii="Arial" w:cs="Arial" w:eastAsia="Arial" w:hAnsi="Arial"/>
                <w:sz w:val="15"/>
                <w:szCs w:val="15"/>
                <w:color w:val="auto"/>
              </w:rPr>
              <w:t>Date: February 13, 2020</w:t>
            </w:r>
          </w:p>
        </w:tc>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Carla Reyes</w:t>
            </w:r>
          </w:p>
        </w:tc>
      </w:tr>
      <w:tr>
        <w:trPr>
          <w:trHeight w:val="167"/>
        </w:trPr>
        <w:tc>
          <w:tcPr>
            <w:tcW w:w="6860" w:type="dxa"/>
            <w:vAlign w:val="bottom"/>
          </w:tcPr>
          <w:p>
            <w:pPr>
              <w:spacing w:after="0"/>
              <w:rPr>
                <w:sz w:val="14"/>
                <w:szCs w:val="14"/>
                <w:color w:val="auto"/>
              </w:rPr>
            </w:pPr>
          </w:p>
        </w:tc>
        <w:tc>
          <w:tcPr>
            <w:tcW w:w="4580" w:type="dxa"/>
            <w:vAlign w:val="bottom"/>
          </w:tcPr>
          <w:p>
            <w:pPr>
              <w:spacing w:after="0" w:line="167" w:lineRule="exact"/>
              <w:rPr>
                <w:sz w:val="20"/>
                <w:szCs w:val="20"/>
                <w:color w:val="auto"/>
              </w:rPr>
            </w:pPr>
            <w:r>
              <w:rPr>
                <w:rFonts w:ascii="Arial" w:cs="Arial" w:eastAsia="Arial" w:hAnsi="Arial"/>
                <w:sz w:val="15"/>
                <w:szCs w:val="15"/>
                <w:color w:val="auto"/>
              </w:rPr>
              <w:t>Carla Reyes</w:t>
            </w:r>
          </w:p>
        </w:tc>
      </w:tr>
      <w:tr>
        <w:trPr>
          <w:trHeight w:val="186"/>
        </w:trPr>
        <w:tc>
          <w:tcPr>
            <w:tcW w:w="68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196"/>
        </w:trPr>
        <w:tc>
          <w:tcPr>
            <w:tcW w:w="686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5"/>
                <w:szCs w:val="15"/>
                <w:i w:val="1"/>
                <w:iCs w:val="1"/>
                <w:color w:val="auto"/>
              </w:rPr>
              <w:t>(Principal financial officer)</w:t>
            </w:r>
          </w:p>
        </w:tc>
      </w:tr>
    </w:tbl>
    <w:p>
      <w:pPr>
        <w:spacing w:after="0" w:line="176" w:lineRule="exact"/>
        <w:rPr>
          <w:sz w:val="20"/>
          <w:szCs w:val="20"/>
          <w:color w:val="auto"/>
        </w:rPr>
      </w:pPr>
    </w:p>
    <w:p>
      <w:pPr>
        <w:jc w:val="both"/>
        <w:ind w:right="120" w:firstLine="599"/>
        <w:spacing w:after="0" w:line="269" w:lineRule="auto"/>
        <w:rPr>
          <w:sz w:val="20"/>
          <w:szCs w:val="20"/>
          <w:color w:val="auto"/>
        </w:rPr>
      </w:pPr>
      <w:r>
        <w:rPr>
          <w:rFonts w:ascii="Arial" w:cs="Arial" w:eastAsia="Arial" w:hAnsi="Arial"/>
          <w:sz w:val="15"/>
          <w:szCs w:val="15"/>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lvl w:ilvl="1">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lvl w:ilvl="1">
      <w:lvlJc w:val="left"/>
      <w:lvlText w:val="%2"/>
      <w:numFmt w:val="decimal"/>
      <w:start w:val="10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07" Type="http://schemas.openxmlformats.org/officeDocument/2006/relationships/hyperlink" Target="http://www.sec.gov/Archives/edgar/data/1226616/000119312512347932/d344794dex31.htm" TargetMode="External"/><Relationship Id="rId108" Type="http://schemas.openxmlformats.org/officeDocument/2006/relationships/hyperlink" Target="http://www.sec.gov/Archives/edgar/data/1226616/000119312504164964/dex34.htm" TargetMode="External"/><Relationship Id="rId109" Type="http://schemas.openxmlformats.org/officeDocument/2006/relationships/hyperlink" Target="http://www.sec.gov/Archives/edgar/data/1226616/000119312507033031/dex41.htm" TargetMode="External"/><Relationship Id="rId110" Type="http://schemas.openxmlformats.org/officeDocument/2006/relationships/hyperlink" Target="http://www.sec.gov/Archives/edgar/data/1226616/000119312504164964/dex42.htm" TargetMode="External"/><Relationship Id="rId111" Type="http://schemas.openxmlformats.org/officeDocument/2006/relationships/hyperlink" Target="http://www.sec.gov/Archives/edgar/data/1226616/000119312513212371/d536081dex41.htm" TargetMode="External"/><Relationship Id="rId112" Type="http://schemas.openxmlformats.org/officeDocument/2006/relationships/hyperlink" Target="http://www.sec.gov/Archives/edgar/data/1226616/000119312512137788/d270304dex102.htm" TargetMode="External"/><Relationship Id="rId113" Type="http://schemas.openxmlformats.org/officeDocument/2006/relationships/hyperlink" Target="http://www.sec.gov/Archives/edgar/data/1226616/000119312513132600/d448827dex103.htm" TargetMode="External"/><Relationship Id="rId114" Type="http://schemas.openxmlformats.org/officeDocument/2006/relationships/hyperlink" Target="http://www.sec.gov/Archives/edgar/data/1226616/000119312504202924/dex104.htm" TargetMode="External"/><Relationship Id="rId115" Type="http://schemas.openxmlformats.org/officeDocument/2006/relationships/hyperlink" Target="http://www.sec.gov/Archives/edgar/data/1226616/000119312504202924/dex105.htm" TargetMode="External"/><Relationship Id="rId118" Type="http://schemas.openxmlformats.org/officeDocument/2006/relationships/hyperlink" Target="http://www.sec.gov/Archives/edgar/data/1226616/000119312504202924/dex107.htm" TargetMode="External"/><Relationship Id="rId119" Type="http://schemas.openxmlformats.org/officeDocument/2006/relationships/hyperlink" Target="http://www.sec.gov/Archives/edgar/data/1226616/000119312504202924/dex108.htm" TargetMode="External"/><Relationship Id="rId120" Type="http://schemas.openxmlformats.org/officeDocument/2006/relationships/hyperlink" Target="http://www.sec.gov/Archives/edgar/data/1226616/000119312504202924/dex1018.htm" TargetMode="External"/><Relationship Id="rId121" Type="http://schemas.openxmlformats.org/officeDocument/2006/relationships/hyperlink" Target="http://www.sec.gov/Archives/edgar/data/1226616/000119312505002494/dex1021.htm" TargetMode="External"/><Relationship Id="rId122" Type="http://schemas.openxmlformats.org/officeDocument/2006/relationships/hyperlink" Target="http://www.sec.gov/Archives/edgar/data/1226616/000119312506221980/dex101.htm" TargetMode="External"/><Relationship Id="rId123" Type="http://schemas.openxmlformats.org/officeDocument/2006/relationships/hyperlink" Target="http://www.sec.gov/Archives/edgar/data/1226616/000119312506221980/dex102.htm" TargetMode="External"/><Relationship Id="rId124" Type="http://schemas.openxmlformats.org/officeDocument/2006/relationships/hyperlink" Target="http://www.sec.gov/Archives/edgar/data/1226616/000119312507074153/dex101.htm" TargetMode="External"/><Relationship Id="rId125" Type="http://schemas.openxmlformats.org/officeDocument/2006/relationships/hyperlink" Target="http://www.sec.gov/Archives/edgar/data/1226616/000119312507053569/ddef14a.htm" TargetMode="External"/><Relationship Id="rId126" Type="http://schemas.openxmlformats.org/officeDocument/2006/relationships/hyperlink" Target="http://www.sec.gov/Archives/edgar/data/1226616/000119312509066501/dex101.htm" TargetMode="External"/><Relationship Id="rId127" Type="http://schemas.openxmlformats.org/officeDocument/2006/relationships/hyperlink" Target="http://www.sec.gov/Archives/edgar/data/932903/000114544306000811/d18787ex10-58.htm" TargetMode="External"/><Relationship Id="rId128" Type="http://schemas.openxmlformats.org/officeDocument/2006/relationships/hyperlink" Target="http://www.sec.gov/Archives/edgar/data/932903/000120677409000503/exhibit_2-2.htm" TargetMode="External"/><Relationship Id="rId129" Type="http://schemas.openxmlformats.org/officeDocument/2006/relationships/hyperlink" Target="http://www.sec.gov/Archives/edgar/data/1226616/000119312511001216/dex101.htm" TargetMode="External"/><Relationship Id="rId130" Type="http://schemas.openxmlformats.org/officeDocument/2006/relationships/hyperlink" Target="http://www.sec.gov/Archives/edgar/data/1226616/000119312511222788/dex1044.htm" TargetMode="External"/><Relationship Id="rId131" Type="http://schemas.openxmlformats.org/officeDocument/2006/relationships/hyperlink" Target="http://www.sec.gov/Archives/edgar/data/1226616/000119312517279377/d414779dex101.htm" TargetMode="External"/><Relationship Id="rId132" Type="http://schemas.openxmlformats.org/officeDocument/2006/relationships/hyperlink" Target="http://www.sec.gov/Archives/edgar/data/1226616/000119312513212371/d536081dex101.htm" TargetMode="External"/><Relationship Id="rId135" Type="http://schemas.openxmlformats.org/officeDocument/2006/relationships/hyperlink" Target="http://www.sec.gov/Archives/edgar/data/1226616/000119312514118744/d652763dex1023.htm" TargetMode="External"/><Relationship Id="rId136" Type="http://schemas.openxmlformats.org/officeDocument/2006/relationships/hyperlink" Target="http://www.sec.gov/Archives/edgar/data/1226616/000156459017014096/mnov-ex101_306.htm" TargetMode="External"/><Relationship Id="rId137" Type="http://schemas.openxmlformats.org/officeDocument/2006/relationships/hyperlink" Target="http://www.sec.gov/Archives/edgar/data/1226616/000119312513433171/d595996dex103.htm" TargetMode="External"/><Relationship Id="rId138" Type="http://schemas.openxmlformats.org/officeDocument/2006/relationships/hyperlink" Target="http://www.sec.gov/Archives/edgar/data/1226616/000119312514308545/d745670dex102.htm" TargetMode="External"/><Relationship Id="rId139" Type="http://schemas.openxmlformats.org/officeDocument/2006/relationships/hyperlink" Target="http://www.sec.gov/Archives/edgar/data/1226616/000119312514308545/d745670dex104.htm" TargetMode="External"/><Relationship Id="rId140" Type="http://schemas.openxmlformats.org/officeDocument/2006/relationships/hyperlink" Target="http://www.sec.gov/Archives/edgar/data/1226616/000119312514308545/d745670dex105.htm" TargetMode="External"/><Relationship Id="rId141" Type="http://schemas.openxmlformats.org/officeDocument/2006/relationships/hyperlink" Target="http://www.sec.gov/Archives/edgar/data/1226616/000119312515198902/d932175dex101.htm" TargetMode="External"/><Relationship Id="rId142" Type="http://schemas.openxmlformats.org/officeDocument/2006/relationships/hyperlink" Target="http://www.sec.gov/Archives/edgar/data/1226616/000119312516524645/d171332dex101.htm" TargetMode="External"/><Relationship Id="rId143" Type="http://schemas.openxmlformats.org/officeDocument/2006/relationships/hyperlink" Target="http://www.sec.gov/Archives/edgar/data/1226616/000119312516712376/d228879dex101.htm" TargetMode="External"/><Relationship Id="rId144" Type="http://schemas.openxmlformats.org/officeDocument/2006/relationships/hyperlink" Target="http://www.sec.gov/Archives/edgar/data/1226616/000119312519228009/d7681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2020-02-13T16:32:20Z</dcterms:created>
  <dcterms:modified xsi:type="dcterms:W3CDTF">2020-02-13T16:32:20Z</dcterms:modified>
</cp:coreProperties>
</file>