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78105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2015</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1" w:lineRule="exact"/>
        <w:rPr>
          <w:sz w:val="24"/>
          <w:szCs w:val="24"/>
          <w:color w:val="auto"/>
        </w:rPr>
      </w:pPr>
    </w:p>
    <w:p>
      <w:pPr>
        <w:ind w:left="4200"/>
        <w:spacing w:after="0"/>
        <w:tabs>
          <w:tab w:leader="none" w:pos="65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MEDICINOVA, INC.</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9" w:lineRule="exact"/>
        <w:rPr>
          <w:sz w:val="24"/>
          <w:szCs w:val="24"/>
          <w:color w:val="auto"/>
        </w:rPr>
      </w:pPr>
    </w:p>
    <w:tbl>
      <w:tblPr>
        <w:tblLayout w:type="fixed"/>
        <w:tblInd w:w="5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4920" w:type="dxa"/>
            <w:vAlign w:val="bottom"/>
            <w:gridSpan w:val="4"/>
          </w:tcPr>
          <w:p>
            <w:pPr>
              <w:jc w:val="center"/>
              <w:ind w:right="40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6800" w:type="dxa"/>
            <w:vAlign w:val="bottom"/>
            <w:gridSpan w:val="5"/>
          </w:tcPr>
          <w:p>
            <w:pPr>
              <w:jc w:val="center"/>
              <w:ind w:right="2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tcPr>
          <w:p>
            <w:pPr>
              <w:jc w:val="center"/>
              <w:ind w:right="19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6800" w:type="dxa"/>
            <w:vAlign w:val="bottom"/>
            <w:gridSpan w:val="5"/>
          </w:tcPr>
          <w:p>
            <w:pPr>
              <w:jc w:val="center"/>
              <w:ind w:right="218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36"/>
        </w:trPr>
        <w:tc>
          <w:tcPr>
            <w:tcW w:w="6800" w:type="dxa"/>
            <w:vAlign w:val="bottom"/>
            <w:gridSpan w:val="5"/>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4275 Executive Square, Suite 650, La Jolla, CA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92037</w:t>
            </w:r>
          </w:p>
        </w:tc>
        <w:tc>
          <w:tcPr>
            <w:tcW w:w="0" w:type="dxa"/>
            <w:vAlign w:val="bottom"/>
          </w:tcPr>
          <w:p>
            <w:pPr>
              <w:spacing w:after="0"/>
              <w:rPr>
                <w:sz w:val="1"/>
                <w:szCs w:val="1"/>
                <w:color w:val="auto"/>
              </w:rPr>
            </w:pPr>
          </w:p>
        </w:tc>
      </w:tr>
      <w:tr>
        <w:trPr>
          <w:trHeight w:val="142"/>
        </w:trPr>
        <w:tc>
          <w:tcPr>
            <w:tcW w:w="6800" w:type="dxa"/>
            <w:vAlign w:val="bottom"/>
            <w:gridSpan w:val="5"/>
          </w:tcPr>
          <w:p>
            <w:pPr>
              <w:jc w:val="center"/>
              <w:ind w:right="218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82"/>
        </w:trPr>
        <w:tc>
          <w:tcPr>
            <w:tcW w:w="6340" w:type="dxa"/>
            <w:vAlign w:val="bottom"/>
            <w:gridSpan w:val="4"/>
          </w:tcPr>
          <w:p>
            <w:pPr>
              <w:jc w:val="center"/>
              <w:ind w:left="3975"/>
              <w:spacing w:after="0"/>
              <w:rPr>
                <w:sz w:val="20"/>
                <w:szCs w:val="20"/>
                <w:color w:val="auto"/>
              </w:rPr>
            </w:pPr>
            <w:r>
              <w:rPr>
                <w:rFonts w:ascii="Times New Roman" w:cs="Times New Roman" w:eastAsia="Times New Roman" w:hAnsi="Times New Roman"/>
                <w:sz w:val="14"/>
                <w:szCs w:val="14"/>
                <w:b w:val="1"/>
                <w:bCs w:val="1"/>
                <w:color w:val="auto"/>
              </w:rPr>
              <w:t>(858) 373-1500</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gridSpan w:val="3"/>
          </w:tcPr>
          <w:p>
            <w:pPr>
              <w:jc w:val="center"/>
              <w:ind w:left="773"/>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gridSpan w:val="5"/>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4920" w:type="dxa"/>
            <w:vAlign w:val="bottom"/>
            <w:gridSpan w:val="4"/>
          </w:tcPr>
          <w:p>
            <w:pPr>
              <w:jc w:val="center"/>
              <w:ind w:right="406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22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0.001 per share</w:t>
            </w:r>
          </w:p>
        </w:tc>
        <w:tc>
          <w:tcPr>
            <w:tcW w:w="2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Common Stock, par value $</w:t>
            </w:r>
          </w:p>
        </w:tc>
        <w:tc>
          <w:tcPr>
            <w:tcW w:w="40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40" w:type="dxa"/>
            <w:vAlign w:val="bottom"/>
            <w:gridSpan w:val="5"/>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4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6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Yes o</w:t>
            </w: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  No</w:t>
            </w:r>
          </w:p>
        </w:tc>
        <w:tc>
          <w:tcPr>
            <w:tcW w:w="18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5" w:lineRule="exact"/>
        <w:rPr>
          <w:sz w:val="24"/>
          <w:szCs w:val="24"/>
          <w:color w:val="auto"/>
        </w:rPr>
      </w:pPr>
    </w:p>
    <w:p>
      <w:pPr>
        <w:ind w:right="340" w:firstLine="51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Times New Roman" w:cs="Times New Roman" w:eastAsia="Times New Roman" w:hAnsi="Times New Roman"/>
          <w:sz w:val="14"/>
          <w:szCs w:val="14"/>
          <w:color w:val="auto"/>
        </w:rPr>
        <w:t>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No o</w:t>
      </w:r>
    </w:p>
    <w:p>
      <w:pPr>
        <w:spacing w:after="0" w:line="44" w:lineRule="exact"/>
        <w:rPr>
          <w:sz w:val="24"/>
          <w:szCs w:val="24"/>
          <w:color w:val="auto"/>
        </w:rPr>
      </w:pPr>
    </w:p>
    <w:p>
      <w:pPr>
        <w:ind w:right="4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ind w:right="200" w:firstLine="51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331" w:right="279" w:bottom="1440" w:gutter="0" w:footer="0" w:header="0"/>
        </w:sectPr>
      </w:pP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4">
            <w:col w:w="1880" w:space="720"/>
            <w:col w:w="5260" w:space="720"/>
            <w:col w:w="1800" w:space="720"/>
            <w:col w:w="280"/>
          </w:cols>
          <w:pgMar w:left="240" w:top="331"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o</w:t>
      </w:r>
    </w:p>
    <w:p>
      <w:pPr>
        <w:spacing w:after="0" w:line="5" w:lineRule="exact"/>
        <w:rPr>
          <w:sz w:val="24"/>
          <w:szCs w:val="24"/>
          <w:color w:val="auto"/>
        </w:rPr>
      </w:pPr>
    </w:p>
    <w:p>
      <w:pPr>
        <w:sectPr>
          <w:pgSz w:w="11900" w:h="16838" w:orient="portrait"/>
          <w:cols w:equalWidth="0" w:num="4">
            <w:col w:w="1880" w:space="720"/>
            <w:col w:w="5260" w:space="720"/>
            <w:col w:w="1840" w:space="720"/>
            <w:col w:w="240"/>
          </w:cols>
          <w:pgMar w:left="240" w:top="331" w:right="279" w:bottom="1440" w:gutter="0" w:footer="0" w:header="0"/>
          <w:type w:val="continuous"/>
        </w:sectPr>
      </w:pPr>
    </w:p>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Securities Exchange Act of 1934).  Yes 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9" w:lineRule="exact"/>
        <w:rPr>
          <w:sz w:val="24"/>
          <w:szCs w:val="24"/>
          <w:color w:val="auto"/>
        </w:rPr>
      </w:pPr>
    </w:p>
    <w:p>
      <w:pPr>
        <w:sectPr>
          <w:pgSz w:w="11900" w:h="16838" w:orient="portrait"/>
          <w:cols w:equalWidth="0" w:num="3">
            <w:col w:w="8600" w:space="140"/>
            <w:col w:w="180" w:space="80"/>
            <w:col w:w="2380"/>
          </w:cols>
          <w:pgMar w:left="240" w:top="331" w:right="279" w:bottom="1440" w:gutter="0" w:footer="0" w:header="0"/>
          <w:type w:val="continuous"/>
        </w:sectPr>
      </w:pPr>
    </w:p>
    <w:p>
      <w:pPr>
        <w:ind w:right="120" w:firstLine="518"/>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approximately $86,941,000 based on the closing price of the registrant’s common stock on The NASDAQ Global Market of $3.95 per share on June 30, 2015.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par value $0.001 per share, as of February 18, 2016 was 30,001,495.</w:t>
      </w:r>
    </w:p>
    <w:p>
      <w:pPr>
        <w:spacing w:after="0" w:line="4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80" w:firstLine="518"/>
        <w:spacing w:after="0" w:line="262" w:lineRule="auto"/>
        <w:rPr>
          <w:sz w:val="20"/>
          <w:szCs w:val="20"/>
          <w:color w:val="auto"/>
        </w:rPr>
      </w:pPr>
      <w:r>
        <w:rPr>
          <w:rFonts w:ascii="Times New Roman" w:cs="Times New Roman" w:eastAsia="Times New Roman" w:hAnsi="Times New Roman"/>
          <w:sz w:val="14"/>
          <w:szCs w:val="14"/>
          <w:color w:val="auto"/>
        </w:rPr>
        <w:t>Portions of the registrant’s Proxy Statement to be filed with the Securities and Exchange Commission pursuant to Regulation 14A in connection with the registrant’s 2016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833120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1"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00" w:type="dxa"/>
            <w:vAlign w:val="bottom"/>
            <w:gridSpan w:val="8"/>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0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FORM 10-K—ANNUAL REPORT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60" w:type="dxa"/>
            <w:vAlign w:val="bottom"/>
            <w:gridSpan w:val="10"/>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9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380" w:type="dxa"/>
            <w:vAlign w:val="bottom"/>
            <w:gridSpan w:val="19"/>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Risk Factors</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Unresolved Staff Comments</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Properties</w:t>
              </w:r>
            </w:hyperlink>
          </w:p>
        </w:tc>
        <w:tc>
          <w:tcPr>
            <w:tcW w:w="79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Legal Proceedings</w:t>
              </w:r>
            </w:hyperlink>
          </w:p>
        </w:tc>
        <w:tc>
          <w:tcPr>
            <w:tcW w:w="868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Mine Safety Disclosures</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4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9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Selected Financial Data</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56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Quantitative and Qualitative Disclosures About Market Risk</w:t>
              </w:r>
            </w:hyperlink>
          </w:p>
        </w:tc>
        <w:tc>
          <w:tcPr>
            <w:tcW w:w="56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Financial Statements and Supplementary Data</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5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Controls and Procedures</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Other Information</w:t>
              </w:r>
            </w:hyperlink>
          </w:p>
        </w:tc>
        <w:tc>
          <w:tcPr>
            <w:tcW w:w="82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4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Directors, Executive Officers and Corporate Governance</w:t>
              </w:r>
            </w:hyperlink>
          </w:p>
        </w:tc>
        <w:tc>
          <w:tcPr>
            <w:tcW w:w="5920" w:type="dxa"/>
            <w:vAlign w:val="bottom"/>
            <w:gridSpan w:val="7"/>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Executive Compensation</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72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Certain Relationships and Related Transactions, and Director Independence</w:t>
              </w:r>
            </w:hyperlink>
          </w:p>
        </w:tc>
        <w:tc>
          <w:tcPr>
            <w:tcW w:w="456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Principal Accountant Fees and Services</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4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10020" w:type="dxa"/>
            <w:vAlign w:val="bottom"/>
            <w:gridSpan w:val="20"/>
          </w:tcPr>
          <w:p>
            <w:pPr>
              <w:spacing w:after="0" w:line="194"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Exhibits and Financial Statement Schedules</w:t>
              </w:r>
            </w:hyperlink>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rFonts w:ascii="Times New Roman" w:cs="Times New Roman" w:eastAsia="Times New Roman" w:hAnsi="Times New Roman"/>
                <w:sz w:val="18"/>
                <w:szCs w:val="18"/>
                <w:b w:val="1"/>
                <w:bCs w:val="1"/>
                <w:color w:val="0000EE"/>
              </w:rPr>
            </w:pPr>
            <w:hyperlink w:anchor="page72">
              <w:r>
                <w:rPr>
                  <w:rFonts w:ascii="Times New Roman" w:cs="Times New Roman" w:eastAsia="Times New Roman" w:hAnsi="Times New Roman"/>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MediciNova logo is a registered trademark of MediciNova, Inc. All other product and company names are registered trademarks or trademarks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and maintain relationships with one or more strategic partners and terms of any related transactions; intense competition if any of our product candidates are ever commercialized; the potential impact of uncertainties in the credit and capital markets or a future deterioration of these markets on our cash reserves;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88"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MN-166 (ibudilast) is currently in development for several different neurological disorders. We completed a Phase 2 clinical trial of MN-166 (ibudilast) for the treatment of relapsing multiple sclerosis (MS) in 2008, in which positive safety and neuroprotective efficacy indicators were observed. We have successfully partnered with investigators on an ongoing Phase 2b clinical trial of MN-166 (ibudilast) in primary progressive and secondary progressive MS which is conducted by NeuroNEXT and funded by the NIH’s National Institute on Neurological Diseases and Stroke (NINDS). In June 2015, we announced that the progressive MS trial completed randomization of 255 subjects, which exceeded the goal of 250 subjects that were planned for participation. In August 2014, we announced plans to initiate a clinical trial of MN-166 (ibudilast) in amyotrophic lateral sclerosis (ALS), and this trial is currently ongoing. In February 2015, we announced that the ALS study had enrolled 30 of the 60 subjects planned for participation. In April 2015, we announced that interim safety data from the ongoing ALS study was presented at the American Academy of Neurology (AAN) 67th Annual Meeting in Washington, DC. There were no safety or tolerability concerns in the MN-166 (ibudilast) treatment group compared with the placebo treatment group after three months of treatment, and the independent safety medical monitor recommended that the ALS study continue as planned. In September 2015, we announced that the first advanced ALS patient, using non-invasive ventilation (NIV), enrolled in the ongoing ALS study. We amended the protocol to expand its recruitment to include advanced ALS patients in the trial, and this amendment was approved by the FDA (U.S. Food and Drug Administration). The amended protocol plans enrollment of 60 advanced ALS patients with NIV support in the study in addition to 60 patients without NIV support. In November 2015, we announced that the FDA approved the protocol of a new clinical trial in ALS patients to evaluate MN-166 (ibudilast) by measuring its effects using a novel imaging technology that will complement the conventional assays typically utilized in ALS trials. On February 17, 2016, we entered into an agreement to collaborate with Massachusetts General Hospital (MGH) to study the effects of MN-166 (ibudilast) on reducing brain microglial activation in ALS subjects which can be monitored by</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 w:name="page4"/>
    <w:bookmarkEnd w:id="3"/>
    <w:p>
      <w:pPr>
        <w:ind w:right="20"/>
        <w:spacing w:after="0" w:line="252" w:lineRule="auto"/>
        <w:rPr>
          <w:sz w:val="20"/>
          <w:szCs w:val="20"/>
          <w:color w:val="auto"/>
        </w:rPr>
      </w:pPr>
      <w:r>
        <w:rPr>
          <w:rFonts w:ascii="Times New Roman" w:cs="Times New Roman" w:eastAsia="Times New Roman" w:hAnsi="Times New Roman"/>
          <w:sz w:val="18"/>
          <w:szCs w:val="18"/>
          <w:color w:val="auto"/>
        </w:rPr>
        <w:t>a biomarker. In December 2015, we announced that the FDA granted Fast Track designation to MN-166 (ibudilast) for the treatment of patients with ALS. In June 2015, we announced that the FDA granted orphan-drug designation to MN-166 (ibudilast) for treatment of Krabbe disease. In January 2016, we announced that the FDA granted Rare Pediatric Disease Designation to MN-166 (ibudilast) for treatment of Type 1 - Early Infantile Krabbe disease. In the area of addiction, investigators at UCLA completed a Phase 1b clinical trial of MN-166 (ibudilast) in methamphetamine (MA)-dependent volunteers, funded by the National Institute on Drug Abuse (NIDA), and the results were presented at the Annual Meeting of the College on Problems of Drug Dependence (CPDD) in June 2013. In September 2012 we announced approval and funding by NIDA of a Phase 2 clinical trial studying the use of MN-166 (ibudilast) for the treatment of MA addiction. In collaboration with UCLA, this clinical trial commenced in 2013 and is currently ongoing. In 2010, investigators at Columbia University and the New York State Psychiatric Institute (NYSPI) completed a Phase 1b/2a clinical trial of MN-166 (ibudilast) in opioid withdrawal that was funded by NIDA. Investigators at Columbia University and the NYSPI are currently conducting a NIDA-funded, Phase 2a clinical trial to evaluate the efficacy of MN-166 (ibudilast) in the treatment of patients addicted to prescription opioids or heroin. Positive interim data from this study was reported in August 2014, and data from this study was presented at the 77th Annual Meeting of the College on Problems of Drug Dependence (CPDD) in June 2015. In August 2013, we announced that researchers at UCLA were granted approval and funding by National Institute on Alcoholism and Alcohol Abuse (NIAAA) of a clinical trial to evaluate the use of MN-166 (ibudilast) for the treatment of alcohol dependence, and we announced in June 2015 that the study completed enrollment of 24 subjects. In December 2015, we announced that results of the alcohol dependence study were presented at the American College of Neuropsychopharmacology (ACNP)’s 54th Annual Meeting.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w:t>
      </w:r>
    </w:p>
    <w:p>
      <w:pPr>
        <w:spacing w:after="0" w:line="195"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MN-001 (tipelukast) is currently in development for fibrotic diseases including nonalcoholic steatohepatitis (NASH) and idiopathic pulmonary fibrosis (IPF). In 2014, we announced positive results of MN-001 (tipelukast) in two different NASH mouse models and began preparing for clinical development of MN-001 (tipelukast) for the treatment of NASH in the U.S. In January 2015, we announced that the IND (Investigation New Drug) application for MN-001 (tipelukast) for the treatment of NASH is open with the FDA (U.S. Food and Drug Administration) and the FDA agreed that we may proceed with a Phase 2 study. In April 2015, the FDA granted Fast Track designation to MN-001 (tipelukast) for the treatment of patients with NASH with fibrosis. In July 2015, we announced that the FDA approved a second protocol for a clinical trial evaluating MN-001 (tipelukast) for a NASH indication which targets NASH patients with hypertriglyceridemia. In November 2015, we announced initiation of a clinical trial to investigate MN-001 (tipelukast) for the treatment of hypertriglyceridemia in NASH patients. In June 2014, we announced positive results of MN-001 (tipelukast) in a mouse model of pulmonary fibrosis and began preparations to pursue clinical development of MN-001 (tipelukast) in IPF. In October 2014, we announced that the FDA granted Orphan-Drug designation to MN-001 (tipelukast) for treatment of IPF, which will provide seven years of marketing exclusivity if MN-001 (tipelukast) is approved for IPF. In February 2015, we announced that the FDA approved the protocol for a clinical trial of MN-001 (tipelukast) for the treatment of moderate to severe IPF. Importantly, due to safety data from previous clinical studies of MN-001 (tipelukast), the FDA agreed that we may proceed with a Phase 2 study as the first clinical trial of MN-001 (tipelukast) in IPF. In September 2015, we announced that the FDA granted Fast Track designation to MN-001 (tipelukast) for the treatment of patients with idiopathic pulmonary fibrosis (IPF). In October 2015, we announced initiation of a Phase 2 clinical trial of MN-001 (tipelukast) to treat moderate to severe IPF at Penn State.</w:t>
      </w:r>
    </w:p>
    <w:p>
      <w:pPr>
        <w:spacing w:after="0" w:line="19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completed a Phase 2 clinical trial of MN-221 for the treatment of acute exacerbations of asthma treated in the emergency room and conducted an End-of-Phase 2 (EOP2) meeting with the U.S. Food and Drug Administration (FDA) in October 2012. We plan to conduct further development of MN-221 according to the feedback received from the FDA following the EOP2 meeting. In that meeting, the FDA identified the risk/benefit profile of MN-221 as a focal point for further development and advised that a clinical outcome, such as a reduction in hospitalizations, would need to be a pivotal trial primary endpoint. Previously completed Phase 2 studies have evaluated the potential for MN-221 to reduce hospitalizations due to acute exacerbations of asthma. We believe the appropriate clinical development for MN-221 will involve conducting dose regimen and acute exacerbations of asthma trial design optimization studies prior to commencing pivotal trials. Currently, we are working to identify a partner for financial support before further clinical development is commenced.</w:t>
      </w:r>
    </w:p>
    <w:p>
      <w:pPr>
        <w:spacing w:after="0" w:line="185"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We have acquired licenses to MN-166, MN-001, MN-221, and MN-029 for the development of these product candidates. We have pursued development of these product candidates in various indications including progressive MS, ALS, various addictions, NASH, IPF, acute exacerbations of asthma, and solid tumor cancers.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primarily through non-dilutive financings.</w:t>
      </w:r>
    </w:p>
    <w:p>
      <w:pPr>
        <w:spacing w:after="0" w:line="119" w:lineRule="exact"/>
        <w:rPr>
          <w:rFonts w:ascii="Times New Roman" w:cs="Times New Roman" w:eastAsia="Times New Roman" w:hAnsi="Times New Roman"/>
          <w:sz w:val="18"/>
          <w:szCs w:val="18"/>
          <w:color w:val="auto"/>
        </w:rPr>
      </w:pPr>
    </w:p>
    <w:p>
      <w:pPr>
        <w:ind w:left="104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primarily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National Institutes of Health (NIH), and are contributing financially to the Carolinas Neuromuscular ALS-MDA Center clinical trial of MN-166 (ibudilast) for the treatment of ALS. We intend to enter into additional strategic alliances to support further clinical development of MN-166 (ibudilast).</w:t>
      </w:r>
    </w:p>
    <w:p>
      <w:pPr>
        <w:spacing w:after="0" w:line="7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diseases such as NASH and IPF.</w:t>
      </w:r>
    </w:p>
    <w:p>
      <w:pPr>
        <w:spacing w:after="0" w:line="119" w:lineRule="exact"/>
        <w:rPr>
          <w:rFonts w:ascii="Times New Roman" w:cs="Times New Roman" w:eastAsia="Times New Roman" w:hAnsi="Times New Roman"/>
          <w:sz w:val="18"/>
          <w:szCs w:val="18"/>
          <w:color w:val="auto"/>
        </w:rPr>
      </w:pPr>
    </w:p>
    <w:p>
      <w:pPr>
        <w:ind w:left="1040"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combination of investigator-sponsored trials with or without grant funding as well as trials we may fund.</w:t>
      </w:r>
    </w:p>
    <w:p>
      <w:pPr>
        <w:spacing w:after="0" w:line="51" w:lineRule="exact"/>
        <w:rPr>
          <w:rFonts w:ascii="Times New Roman" w:cs="Times New Roman" w:eastAsia="Times New Roman" w:hAnsi="Times New Roman"/>
          <w:sz w:val="18"/>
          <w:szCs w:val="18"/>
          <w:color w:val="auto"/>
        </w:rPr>
      </w:pPr>
    </w:p>
    <w:p>
      <w:pPr>
        <w:ind w:left="1040" w:right="620" w:hanging="519"/>
        <w:spacing w:after="0" w:line="28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Strategically partner with one or more leading pharmaceutical companies to complete late-stage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ind w:left="1040"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Programs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76"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Our product acquisitions have focused primarily on product candidates with significant preclinical and early clinical testing data that have been developed by the licensors outside of the U.S. We utilize the existing data in preparing Investigational New Drug Applications (INDs) or their foreign equivalents, and in designing and implementing additional preclinical or clinical trials to advance the regulatory approval process in the U.S. or abroad.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are the details of our product development programs: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MN-166 (ibudilast) is a novel, first-in-class, oral, anti-inflammatory and neuroprotective agent. Ibudilast inhibits macrophage migration inhibitory factor (MIF) and certain phosphodiesterases (PDEs). Ibudilast also attenuates activated glia cells, which play a major role in certain neurological conditions. While it has been in use for more than 20 years in Japan and Korea for the treatment of asthma and post-stroke dizziness, we are developing ibudilast for the treatment of primary progressive and secondary progressive MS, ALS, and drug dependence. We licensed MN-166 (ibudilast) from Kyorin Pharmaceuticals (Kyorin) in 2004. FDA has granted Fast Track designation to MN-166 (ibudilast) for the treatment of methamphetamine dependence and for the treatment of ALS.</w:t>
      </w:r>
    </w:p>
    <w:p>
      <w:pPr>
        <w:spacing w:after="0" w:line="188"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have filed patent applications for multiple uses of ibudilast for the treatment of neurological conditions, as well as patent applications on analogs that have the potential to be second generation molecules. Some of the patent estate has received allowance in the U.S. and foreign countries.</w:t>
      </w:r>
    </w:p>
    <w:p>
      <w:pPr>
        <w:spacing w:after="0" w:line="160"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Primary and Secondary Progressive Multiple Sclerosis: </w:t>
      </w:r>
      <w:r>
        <w:rPr>
          <w:rFonts w:ascii="Times New Roman" w:cs="Times New Roman" w:eastAsia="Times New Roman" w:hAnsi="Times New Roman"/>
          <w:sz w:val="18"/>
          <w:szCs w:val="18"/>
          <w:color w:val="auto"/>
        </w:rPr>
        <w:t>MS is a complex disease with predominantly unknown etiology and affects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million people worldwide, according to the National Multiple Sclerosis Society, or NMSS. Also according to NMSS, approximately 85 percent of people with MS are initially diagnosed with relapsing-remitting MS, or RRMS, and most people who are initially diagnosed with RRMS will eventually transition to secondary progressive MS, or SPMS. About 10 percent of people with MS are diagnosed with primary progressive MS, or PPMS. There are no therapies generally considered safe and efficacious in PPMS or SPMS in the absence of relapses. There is a great need for a safe, effective, and conveniently administered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 w:name="page6"/>
    <w:bookmarkEnd w:id="5"/>
    <w:p>
      <w:pPr>
        <w:ind w:right="140"/>
        <w:spacing w:after="0" w:line="258" w:lineRule="auto"/>
        <w:rPr>
          <w:sz w:val="20"/>
          <w:szCs w:val="20"/>
          <w:color w:val="auto"/>
        </w:rPr>
      </w:pPr>
      <w:r>
        <w:rPr>
          <w:rFonts w:ascii="Times New Roman" w:cs="Times New Roman" w:eastAsia="Times New Roman" w:hAnsi="Times New Roman"/>
          <w:sz w:val="18"/>
          <w:szCs w:val="18"/>
          <w:color w:val="auto"/>
        </w:rPr>
        <w:t>therapy for patients with PPMS and SPMS. MN-166 (ibudilast) may meet these needs. Based on promising results from a Phase 2a trial in relapsing MS completed in 2008, investigators from NeuroNEXT, a NIH-funded Phase 2 clinical trial network, have begun to evaluate ibudilast in PPMS and SPMS patients in the U.S. SPRINT-MS is a Phase 2, randomized, placebo-controlled trial evaluating the safety and tolerability of ibudilast (up to 100 mg/day) over two years in PPMS and SPMS patients. Recruitment and enrollment at 28 medical centers in the U.S. commenced in late 2013 and randomization of 255 subjects was completed in June 2015. The trial is expected to be completed in 2017.</w:t>
      </w:r>
    </w:p>
    <w:p>
      <w:pPr>
        <w:spacing w:after="0" w:line="182"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Amyotrophic Lateral Sclerosis (ALS): </w:t>
      </w:r>
      <w:r>
        <w:rPr>
          <w:rFonts w:ascii="Times New Roman" w:cs="Times New Roman" w:eastAsia="Times New Roman" w:hAnsi="Times New Roman"/>
          <w:sz w:val="18"/>
          <w:szCs w:val="18"/>
          <w:color w:val="auto"/>
        </w:rPr>
        <w:t>ALS, also known as Lou Gehrig’s disease, is a progressive neurodegenerative disease that affects nerve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brain and the spinal cord. The nerves lose the ability to trigger specific muscles, which causes the muscles to become weak. As a result, ALS affects voluntary movement and patients in the later stages of the disease may become totally paralyzed. Life expectancy of an ALS patient is usually 2-5 years. According to the ALS Association, there are approximately 30,000 ALS patients in the U.S. and approximately 5,600 people in the U.S. are diagnosed with ALS each year. Riluzole is the only pharmaceutical treatment approved for ALS in the U.S., but it has limited efficacy. We are working with Carolinas Neuromuscular/ALS-MDA Center at Carolinas HealthCare System Neurosciences Institute, which is conducting an ongoing clinical trial of ibudilast in ALS. The trial is a randomized, double-blind, placebo-controlled study which includes a six-month treatment period followed by a six-month open-label extension. The study will evaluate several efficacy endpoints in addition to monitoring the safety and tolerability of MN-166 (ibudilast) 60 mg/day versus placebo when administered in combination with riluzole in 60 subjects with ALS. Subject enrollment began in October 2014. In February 2015, we announced that the ALS study had enrolled 30 of the 60 subjects planned for participation. In September 2015, we announced that the first advanced ALS patient, using non-invasive ventilation (NIV), enrolled in the ongoing ALS study. We amended the protocol to expand its recruitment to include advanced ALS patients in the trial. The amended protocol plans enrollment of 60 advanced ALS patients with NIV support in the study in addition to 60 patients without NIV support. In December 2015, we announced that the FDA granted Fast Track designation to MN-166 (ibudilast) for the treatment of patients with ALS.</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Methamphetamine addiction: </w:t>
      </w:r>
      <w:r>
        <w:rPr>
          <w:rFonts w:ascii="Times New Roman" w:cs="Times New Roman" w:eastAsia="Times New Roman" w:hAnsi="Times New Roman"/>
          <w:sz w:val="18"/>
          <w:szCs w:val="18"/>
          <w:color w:val="auto"/>
        </w:rPr>
        <w:t>Methamphetamine (MA) is a central nervous system stimulant drug that is similar in structure to amphetamine. It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II drug, meaning that it has high abuse potential and low therapeutic potential. According to the SAMHSA 2014 National Survey on Drug Use and Health, there are approximately 569,000 current MA abusers age 12 and older in the U.S. According to the Rand Corporation, the national estimate of the economic burden of MA use, based on the most recent year for which data are available, is approximately $23.4 billion. Currently, there is no pharmaceutical treatment approved for MA dependence. Based on non-clinical results with ibudilast’s effects in an animal model of MA relapse, investigators at UCLA conducted a Phase 1b clinical trial funded by NIDA to examine the safety and preliminary efficacy of ibudilast in non-treatment-seeking, MA-dependent users in an inpatient trial that was completed in 2012. Subsequently, UCLA investigators received NIDA grant funding for an ongoing Phase 2 clinical trial that commenced in 2013 for evaluation of ibudilast in MA-dependent users in an outpatient trial setting.</w:t>
      </w:r>
    </w:p>
    <w:p>
      <w:pPr>
        <w:spacing w:after="0" w:line="18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were granted Fast Track designation from the FDA for ibudilast for the treatment of MA dependence in February 2013.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8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Opioid withdrawal and dependency: </w:t>
      </w:r>
      <w:r>
        <w:rPr>
          <w:rFonts w:ascii="Times New Roman" w:cs="Times New Roman" w:eastAsia="Times New Roman" w:hAnsi="Times New Roman"/>
          <w:sz w:val="18"/>
          <w:szCs w:val="18"/>
          <w:color w:val="auto"/>
        </w:rPr>
        <w:t>According to the Substance Abuse and Mental Health Services Administration’s (SAMHSA) 2014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Survey on Drug Use and Health, there are approximately 1.9 million people age 12 or older with pain reliever use disorder (includes those with dependence or abuse) and approximately 586,000 people age 12 or older with heroin use disorder (includes those with dependence or abuse) in the U.S. Access to prescription opioids has recently become more difficult due to more stringent policies on prescribing opioids. An unintended consequence of this policy is increased use of heroin. Heroin is attractive to prescription opioid addicts because it is cheaper and more accessible than prescription opioids. Heroin poses serious health issues, such as risk of HIV and Hepatitis C infection, overdose and death (Knopf, 2012). The economic costs of nonmedical use of prescription opioids in the U.S. in 2006 (Hansen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2011) was estimated to total more than $50 billion annually; lost productivity and crime accounted for 94% of the total economic burden. There is an urgent, significant unmet medical need for a safe, effective non-addictive, non-opioid therapy for the treatment of prescription opioid and heroin addiction. In 2010, investigators at Columbia University and NYSPI completed a double-blind, randomized, placebo-controlled in-unit Phase 1b/2a clinical trial to evaluate the ability of ibudilast to reduce opioid withdrawal symptoms in humans. The trial was funded by NIDA. Subsequently, investigators at Columbia/NYSPI commenced a NINDA-funded Phase 2a clinical trial of ibudilast for the treatment of prescription opioid dependency. In August 2014, we announced positive interim results of this ongoing study and data from this study was presented at the 77th Annual Meeting of the College on Problems of Drug Dependence (CPDD) in June 2015.</w:t>
      </w:r>
    </w:p>
    <w:p>
      <w:pPr>
        <w:spacing w:after="0" w:line="189" w:lineRule="exact"/>
        <w:rPr>
          <w:sz w:val="20"/>
          <w:szCs w:val="20"/>
          <w:color w:val="auto"/>
        </w:rPr>
      </w:pPr>
    </w:p>
    <w:p>
      <w:pPr>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Alcohol addiction: </w:t>
      </w:r>
      <w:r>
        <w:rPr>
          <w:rFonts w:ascii="Times New Roman" w:cs="Times New Roman" w:eastAsia="Times New Roman" w:hAnsi="Times New Roman"/>
          <w:sz w:val="18"/>
          <w:szCs w:val="18"/>
          <w:color w:val="auto"/>
        </w:rPr>
        <w:t>According to SAMHSA’s 2014 National Survey on Drug Use and Health, there are approximately 17.0 million people with alcohol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disorder (includes those with dependence or abuse) aged 12 and older in the U.S. The Centers for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right="80"/>
        <w:spacing w:after="0" w:line="243" w:lineRule="auto"/>
        <w:rPr>
          <w:sz w:val="20"/>
          <w:szCs w:val="20"/>
          <w:color w:val="auto"/>
        </w:rPr>
      </w:pPr>
      <w:r>
        <w:rPr>
          <w:rFonts w:ascii="Times New Roman" w:cs="Times New Roman" w:eastAsia="Times New Roman" w:hAnsi="Times New Roman"/>
          <w:sz w:val="18"/>
          <w:szCs w:val="18"/>
          <w:color w:val="auto"/>
        </w:rPr>
        <w:t>Disease Control and Prevention (CDC) reports that alcohol abuse costs the U.S. $249 billion in 2010, the latest year for which complete data are available. Currently, medicines approved by the FDA to treat alcohol dependence include Antabuse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Vivitrol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Campral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Revia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However, the search for a safe and effective drug remains elusive due to limited success of these FDA-approved compounds (Witkiewitz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2012). In a non-clinical trial (Bell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2013), ibudilast was examined in rats and mice and was found to reduce alcohol drinking in alcohol-preferring P rats and high-alcohol drinking (HAD1) rats by 50%, and in mice made dependent on alcohol at doses which had no effect on non-dependent mice. Concurrently, investigators at UCLA received funding from the NIAAA to initiate a Phase 2a study to evaluate ibudilast in a randomized, double-blind, placebo-controlled within-subject crossover design to determine the safety, tolerability and initial human laboratory efficacy of ibudilast in a sample of 24 non-treatment seeking individuals with either alcohol abuse or dependence. Participants will be treated with ibudilast and placebo. The study was initiated in early 2014 and completed enrollment of 24 subjects June 2015.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(bedoradrine)</w:t>
      </w:r>
    </w:p>
    <w:p>
      <w:pPr>
        <w:spacing w:after="0" w:line="11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MN-221 (bedoradrine) is a novel, highly selective ß</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-adrenergic receptor agonist being developed for the treatment of acute exacerbations of asthma. We licensed MN-221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increased heart rate).</w:t>
      </w:r>
    </w:p>
    <w:p>
      <w:pPr>
        <w:spacing w:after="0" w:line="18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MN-221 is designed to treat acute exacerbations of asthma via intravenous (i.v.) infusion, bypassing constricted airways to deliver the drug directly to the lungs. Preclinical studies showed MN-221 to have a high affinity for the ß</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-adrenergic receptor, found primarily in the lungs, and a much lower affinity for the 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-adrenergic receptor found primarily in cardiac tissue. MN-221’s improved delivery to the lungs and its cardiac safety profile may help fill an unmet need for patients with acute exacerbations of asthma, helping them to breathe easier and avoid a costly hospital stay.</w:t>
      </w:r>
    </w:p>
    <w:p>
      <w:pPr>
        <w:spacing w:after="0" w:line="17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Acute Exacerbation of Asthma: </w:t>
      </w:r>
      <w:r>
        <w:rPr>
          <w:rFonts w:ascii="Times New Roman" w:cs="Times New Roman" w:eastAsia="Times New Roman" w:hAnsi="Times New Roman"/>
          <w:sz w:val="18"/>
          <w:szCs w:val="18"/>
          <w:color w:val="auto"/>
        </w:rPr>
        <w:t>According to the most recent data available from the U.S. National Center for Health Statistics, there were 1.75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emergency department visits, 439,000 hospitalizations, and 3,404 deaths due to asthma in 2010. According to the U.S. National Heart, Lung and Blood Institute, the direct costs associated with hospital care due to asthma were estimated at $5.5 billion in the U.S. in 2010. Nearly 10% of hospitalized patients have life-threatening asthma that requires admission to the intensive care unit (ICU).</w:t>
      </w:r>
    </w:p>
    <w:p>
      <w:pPr>
        <w:spacing w:after="0" w:line="182"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completed a Phase 2b randomized, double-blind, placebo-controlled clinical trial (N=175) evaluating MN-221 in patients with acute exacerbations of asthma in the emergency department setting. MN-221 did not statistically meet the primary endpoint, improvement in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(Forced Expiratory Volume in One Second) compared to placebo. However, MN-221 showed a significant benefit over placebo for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(liters) Area Under the Curve (AUCHr </w:t>
      </w:r>
      <w:r>
        <w:rPr>
          <w:rFonts w:ascii="Times New Roman" w:cs="Times New Roman" w:eastAsia="Times New Roman" w:hAnsi="Times New Roman"/>
          <w:sz w:val="15"/>
          <w:szCs w:val="15"/>
          <w:color w:val="auto"/>
        </w:rPr>
        <w:t>0-1,0-2,0-3</w:t>
      </w:r>
      <w:r>
        <w:rPr>
          <w:rFonts w:ascii="Times New Roman" w:cs="Times New Roman" w:eastAsia="Times New Roman" w:hAnsi="Times New Roman"/>
          <w:sz w:val="18"/>
          <w:szCs w:val="18"/>
          <w:color w:val="auto"/>
        </w:rPr>
        <w:t>) of change from baseline (p=0.043, p=0.050, p=0.066 respectively). The trial also demonstrated a reduction in hospital admissions with MN-221 added to standard drug treatments. Moreover, there was a significant improvement in clinical symptoms with MN-221-treated patients, and the safety profile of MN-221 continues to be positive as no safety/tolerability issues of clinical significance were observed.</w:t>
      </w:r>
    </w:p>
    <w:p>
      <w:pPr>
        <w:spacing w:after="0" w:line="18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October 2012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and that any future MN-221 clinical trial development for asthma will be partner-dependent from a funding perspective.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MN-001 (tipelukast)’s inhibitory effect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820"/>
        <w:spacing w:after="0" w:line="282" w:lineRule="auto"/>
        <w:rPr>
          <w:sz w:val="20"/>
          <w:szCs w:val="20"/>
          <w:color w:val="auto"/>
        </w:rPr>
      </w:pPr>
      <w:r>
        <w:rPr>
          <w:rFonts w:ascii="Times New Roman" w:cs="Times New Roman" w:eastAsia="Times New Roman" w:hAnsi="Times New Roman"/>
          <w:sz w:val="18"/>
          <w:szCs w:val="18"/>
          <w:color w:val="auto"/>
        </w:rPr>
        <w:t>MN-001 (tipelukast) Fast-Track designation for the treatment of NASH with fibrosis, the FDA has also granted MN-001 (tipelukast) Orphan-Drug designation and Fast-Track designation for treatment of idiopathic pulmonary fibrosis (IPF).</w:t>
      </w:r>
    </w:p>
    <w:p>
      <w:pPr>
        <w:spacing w:after="0" w:line="162"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Previously, we evaluated MN-001 (tipelukast) for its potential clinical efficacy in asthma and completed a Phase 2 study in asthma with positive results. MN-001 (tipelukast) has been exposed to more than 600 subjects and is considered generally safe and well-tolerated.</w:t>
      </w:r>
    </w:p>
    <w:p>
      <w:pPr>
        <w:spacing w:after="0" w:line="160"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i w:val="1"/>
          <w:iCs w:val="1"/>
          <w:color w:val="auto"/>
        </w:rPr>
        <w:t>Nonalcoholic Steatohepatitis (NASH)</w:t>
      </w:r>
      <w:r>
        <w:rPr>
          <w:rFonts w:ascii="Times New Roman" w:cs="Times New Roman" w:eastAsia="Times New Roman" w:hAnsi="Times New Roman"/>
          <w:sz w:val="18"/>
          <w:szCs w:val="18"/>
          <w:color w:val="auto"/>
        </w:rPr>
        <w:t>: Nonalcoholic steatohepatitis (NASH) is a condition in which there is fat in the liver along with inflammation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damage to liver cells. NASH is a common liver disease that resembles alcoholic liver disease but occurs in people who drink little or no alcohol. According to the U.S. National Institute of Diabetes and Digestive and Kidney Diseases (NIDDK), NASH prevalence in the U.S. is 2-5%, and an additional 10-20% of Americans have "fatty liver."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treatment for NASH. We completed a pre-clinical study evaluating MN-001 (tipelukast)’s potential clinical efficacy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MN-001 (tipelukast)’s anti-fibrotic properties.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prevents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was significantly reduced in the MN-001 (tipelukast) 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treated group (p&lt;0.001). Collectively, these results provide compelling evidence that MN-001 (tipelukast) warrants further evaluation for the treatment of NASH in humans. We have an open IND and the FDA has approved two different Phase 2 clinical trial protocols, one of which targets NASH patients with hypertriglyceridemia, for MN-001 (tipelukast) for the treatment of NASH in the U.S. We have initiated a Phase 2 clinical trial to investigate MN-001 (tipelukast) for the treatment of hypertriglyceridemia in NASH patients. The FDA has granted Fast Track designation to MN-001 (tipelukast) for the treatment of patients with NASH with fibrosis.</w:t>
      </w:r>
    </w:p>
    <w:p>
      <w:pPr>
        <w:spacing w:after="0" w:line="18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Idiopathic Pulmonary Fibrosis (IPF): </w:t>
      </w:r>
      <w:r>
        <w:rPr>
          <w:rFonts w:ascii="Times New Roman" w:cs="Times New Roman" w:eastAsia="Times New Roman" w:hAnsi="Times New Roman"/>
          <w:sz w:val="18"/>
          <w:szCs w:val="18"/>
          <w:color w:val="auto"/>
        </w:rPr>
        <w:t>Pulmonary fibrosis (PF) is a progressive disease characterized by scarring of the lungs that thickens the lining,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an irreversible loss of the tissue's ability to transport oxygen. The causes of PF vary and can be due to anti-cancer drug therapy or exposure to chemicals. Idiopathic pulmonary fibrosis (IPF) is one type of PF without a clear cause. According to the Pulmonary Fibrosis Foundation, IPF affects between 132,000 – 200,000 people in the U.S., and an estimated 50,000 new cases are diagnosed annually. The prognosis for IPF is poor with a median survival of only two to three years following diagnosis and more than two-thirds of IPF patients die within five years. We completed a pre-clinical study evaluating MN-001 (tipelukast)’s potential clinical efficacy for the treatment of pulmonary fibrosis. MN-001 (tipelukast), which was administered orally once daily (30, 100 and 300 mg/kg) for 2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Vehicle group (p&lt;0.05) after 2 weeks of treatment and MN-001 (tipelukast) reduced lung density when compared to the Vehicle-treated group. Moreover, lung hydroxyproline content was significantly reduced compared to the Vehicle group (p&lt;0.01). These results show that treatment with MN-001 (tipelukast) has significant anti-fibrogenic effects in bleomycin-induced pulmonary fibrosis in mice. We have an open IND and FDA has approved a Phase 2 clinical trial protocol for MN-001 (tipelukast) for the treatment of moderate to severe IPF in the U.S. We have initiated this Phase 2 clinical trial of MN-001 (tipelukast) to treat moderate to severe IPF at Penn State. The FDA has granted orphan-drug designation to MN-001 (tipelukast) for treatment of IPF. Orphan-drug designation will provide MediciNova with seven years of marketing exclusivity for MN-001 (tipelukast) for the treatment of IPF if it is approved for this indication. The FDA has also granted Fast Track designation to MN-001 (tipelukast) for the treatment of patients with IPF.</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MN-029 (denibulin)</w:t>
      </w:r>
    </w:p>
    <w:p>
      <w:pPr>
        <w:spacing w:after="0" w:line="11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from Angiogene Pharmaceuticals, Ltd. (Angiogene) in 2002.</w:t>
      </w:r>
    </w:p>
    <w:p>
      <w:pPr>
        <w:spacing w:after="0" w:line="174" w:lineRule="exact"/>
        <w:rPr>
          <w:sz w:val="20"/>
          <w:szCs w:val="20"/>
          <w:color w:val="auto"/>
        </w:rPr>
      </w:pPr>
    </w:p>
    <w:p>
      <w:pPr>
        <w:jc w:val="both"/>
        <w:ind w:right="40" w:firstLine="518"/>
        <w:spacing w:after="0" w:line="273" w:lineRule="auto"/>
        <w:rPr>
          <w:sz w:val="20"/>
          <w:szCs w:val="20"/>
          <w:color w:val="auto"/>
        </w:rPr>
      </w:pPr>
      <w:r>
        <w:rPr>
          <w:rFonts w:ascii="Times New Roman" w:cs="Times New Roman" w:eastAsia="Times New Roman" w:hAnsi="Times New Roman"/>
          <w:sz w:val="17"/>
          <w:szCs w:val="17"/>
          <w:color w:val="auto"/>
        </w:rPr>
        <w:t xml:space="preserve">Several preclinical pharmacology studies have assessed the mechanism of action and anti-tumor activity of MN-029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in addition to the direct effect over tumor cells.</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was well-tolerated at doses that reduced tumor blood flow.</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first Phase 1 trial determined the safety, tolerability, and maximum tolerated dose (MTD) level of single doses of MN-029 given every three weeks in 34 subjects with refractory cancer. The MTD was determined to be 180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others chemotherapies—vomiting, nausea, diarrhea, and fatigue. There were a total of nine serious adverse events (SAEs) and study discontinuations due to AEs. In a preliminary evaluation of anti-tumor activity, no patient had a complete response or partial response; however stable disease was seen in 12 patients. MN-029 had a desired vascular effect in seven of 11 patients that were administered drug at dose levels of ³120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Nine patients continued into extended cycles of treatment.</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second Phase 1 study was conducted to determine the safety, tolerability and MTD of single doses of MN-029 given every seven days for a total of three doses (Days 1, 8 and 15), followed by 13-day recovery (Days 16-28) in subjects with advanced/metastatic solid tumor cancer. Subjects who tolerated treatment with MN-029 could receive additional cycles. All 20 subjects reported at least one AE related to study drug. The most common 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up to dose levels of 180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appeared to be safe and well tolerated. One subject had a partial response which lasted for 74 days. Stable disease was observed in seven subjects. The results suggested an effect of MN-029 on vascular perfusion; however, a larger sample size is warranted.</w:t>
      </w:r>
    </w:p>
    <w:p>
      <w:pPr>
        <w:spacing w:after="0" w:line="189"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In January 2014, we were granted a new patent from the U.S.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some of them have been granted. We plan to pursue further development of MN-029 for the treatment of solid tumors.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Table 1 Product Candidates and Programs—MN-166 (ibudilast)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60" w:type="dxa"/>
            <w:vAlign w:val="bottom"/>
          </w:tcPr>
          <w:p>
            <w:pPr>
              <w:spacing w:after="0"/>
              <w:rPr>
                <w:sz w:val="15"/>
                <w:szCs w:val="15"/>
                <w:color w:val="auto"/>
              </w:rPr>
            </w:pPr>
          </w:p>
        </w:tc>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Clinical Study</w:t>
            </w:r>
          </w:p>
        </w:tc>
      </w:tr>
      <w:tr>
        <w:trPr>
          <w:trHeight w:val="31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Primary Progressive and Secondary</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Randomized, Double-Blind, Placebo-</w:t>
            </w:r>
          </w:p>
        </w:tc>
      </w:tr>
      <w:tr>
        <w:trPr>
          <w:trHeight w:val="216"/>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Progressive Multiple Sclerosis</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Controlled Study to Evaluate the Safety,</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Tolerability and Activity of Ibudilast (MN-166)</w:t>
            </w:r>
          </w:p>
        </w:tc>
      </w:tr>
      <w:tr>
        <w:trPr>
          <w:trHeight w:val="234"/>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Subjects with Progressive Multiple Sclerosis</w:t>
            </w:r>
          </w:p>
        </w:tc>
      </w:tr>
      <w:tr>
        <w:trPr>
          <w:trHeight w:val="53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Amyotrophic Lateral Sclerosis</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Single-Center, Randomized, Double-Blind,</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Placebo-Controlled, Six Month Clinical Trial</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Followed by an Open-Label Extension to</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Evaluate the Safety, Tolerability, and Clinical</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Endpoint Responsiveness of Ibudilast (MN-166)</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Subjects with Amyotrophic Lateral Sclerosis</w:t>
            </w:r>
          </w:p>
        </w:tc>
      </w:tr>
      <w:tr>
        <w:trPr>
          <w:trHeight w:val="234"/>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(ALS)</w:t>
            </w:r>
          </w:p>
        </w:tc>
      </w:tr>
      <w:tr>
        <w:trPr>
          <w:trHeight w:val="3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Addiction</w:t>
            </w:r>
          </w:p>
        </w:tc>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Methamphetamine Dependence</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Randomized Trial of Ibudilast for</w:t>
            </w:r>
          </w:p>
        </w:tc>
      </w:tr>
      <w:tr>
        <w:trPr>
          <w:trHeight w:val="234"/>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Methamphetamine Dependence</w:t>
            </w:r>
          </w:p>
        </w:tc>
      </w:tr>
      <w:tr>
        <w:trPr>
          <w:trHeight w:val="53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Opioid Dependence</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Effects of Ibudilast (MN-166), a Glial Activation</w:t>
            </w: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Inhibitor, on Oxycodone Self-Administration in</w:t>
            </w:r>
          </w:p>
        </w:tc>
      </w:tr>
      <w:tr>
        <w:trPr>
          <w:trHeight w:val="234"/>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Opioid Abusers</w:t>
            </w:r>
          </w:p>
        </w:tc>
      </w:tr>
      <w:tr>
        <w:trPr>
          <w:trHeight w:val="53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Alcohol Dependence</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 of Ibudilast (MN-166) as a Novel</w:t>
            </w:r>
          </w:p>
        </w:tc>
      </w:tr>
      <w:tr>
        <w:trPr>
          <w:trHeight w:val="234"/>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Treatment for Alcoholism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Principal Investigator /Institution</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/Funding Agency(s)</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Fox, M.D., M.S., FAAN</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Ongoing</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Cleveland Clinic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Institute on Neurological Diseases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Stroke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MediciNova,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R. Brooks, M.D.</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Ongoing</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Carolinas HealthCare System Neurosciences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MediciNova,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Keith Heinzerling, M.D., MPH</w:t>
      </w:r>
      <w:r>
        <w:rPr>
          <w:sz w:val="20"/>
          <w:szCs w:val="20"/>
          <w:color w:val="auto"/>
        </w:rPr>
        <w:tab/>
      </w:r>
      <w:r>
        <w:rPr>
          <w:rFonts w:ascii="Times New Roman" w:cs="Times New Roman" w:eastAsia="Times New Roman" w:hAnsi="Times New Roman"/>
          <w:sz w:val="17"/>
          <w:szCs w:val="17"/>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UCLA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112"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Sandra D. Comer, Ph.D.</w:t>
      </w:r>
      <w:r>
        <w:rPr>
          <w:sz w:val="20"/>
          <w:szCs w:val="20"/>
          <w:color w:val="auto"/>
        </w:rPr>
        <w:tab/>
      </w:r>
      <w:r>
        <w:rPr>
          <w:rFonts w:ascii="Times New Roman" w:cs="Times New Roman" w:eastAsia="Times New Roman" w:hAnsi="Times New Roman"/>
          <w:sz w:val="17"/>
          <w:szCs w:val="17"/>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University/NYSPI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112"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Lara Ray, Ph.D.</w:t>
      </w:r>
      <w:r>
        <w:rPr>
          <w:sz w:val="20"/>
          <w:szCs w:val="20"/>
          <w:color w:val="auto"/>
        </w:rPr>
        <w:tab/>
      </w:r>
      <w:r>
        <w:rPr>
          <w:rFonts w:ascii="Times New Roman" w:cs="Times New Roman" w:eastAsia="Times New Roman" w:hAnsi="Times New Roman"/>
          <w:sz w:val="17"/>
          <w:szCs w:val="17"/>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UCLA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Alcohol Abuse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Alcoholism</w:t>
      </w:r>
    </w:p>
    <w:p>
      <w:pPr>
        <w:sectPr>
          <w:pgSz w:w="11900" w:h="16838" w:orient="portrait"/>
          <w:cols w:equalWidth="0" w:num="2">
            <w:col w:w="6620" w:space="160"/>
            <w:col w:w="464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We currently have no marketing and sales capabilities and we expect to rely on a strategic partner to complete late stage product development and commercialize our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bulk active pharmaceutical ingredients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For the MN-166 (ibudilast) development program, we have sourced and imported delayed-release ibudilast capsules, marketed in Japan as Pinatos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from Taisho Pharmaceutical Co., Ltd. (Taisho).</w:t>
      </w:r>
    </w:p>
    <w:p>
      <w:pPr>
        <w:spacing w:after="0" w:line="162"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Pursuant to the terms of our license agreement with Kissei for MN-221, Kissei has the exclusive right to manufacture the commercial supply of the API for MN-221. If we enter into a supply agreement with Kissei, we will purchase from Kissei all API that we require for the commercial supply of MN-221, if such product candidate is approved for commercial sale by the FDA or other regulatory authorities.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 Agreements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Since our inception in September 2000, we have entered into license agreements with pharmaceutical companies which cover our current product candidates. We have also entered into license agreements with universities, including the University of Colorado, which cover additional intellectual property related to our product candidates. In general, we seek to procure patent protection for our anticipated products, or obtain such protection from the relevant patents owned by our licensors. We hold licensed rights under two issued and active U.S. patents. We also hold licensed rights to 52 issued foreign patents corresponding to these U.S. patents. In addition to these licensed rights, we hold 20 issued U.S. patents and have filed 11 additional U.S. patent applications. We also hold 57 issued and pending foreign patents and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and know-how related to MN-166 (ibudilast) for the treatment of MS, except for ophthalmic solution formulations. MN-166 (ibudilast) is not covered by a composition of matter patent. The U.S. method of use patent for MN-166 (ibudilast) in MS underlying the license is set to expire on August 10, 2018. Corresponding method of use patents in certain foreign countries are set to expire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8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1" w:name="page12"/>
    <w:bookmarkEnd w:id="11"/>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62"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We own, co-own or hold licenses to six issued U.S. patents and four pending U.S. patent applications as well as 29 issued and pending foreign patent applications covering MN-166 (ibudilast) and its analogs. These patents and patent applications are primarily related to our development portfolio of small molecule-based products and are currently directed to methods of treating various indications using ibudilast and its analogs.</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been granted a U.S. patent which covers the use of MN-166 (ibudilast) for the treatment of progressive forms of MS. The patent, which was granted in March 2012, will expire no earlier than November 2029, not including a potential extension under patent term restoration rules, and covers a method of treating PPMS or SPMS by administering ibudilast either alone or in combination with other drugs. Counterparts of this patent application have been granted in certain foreign jurisdictions. We have been granted a patent which covers the use of MN-166 (ibudilast) for the treatment of neuropathic pain in the U.S. and it expires no earlier than December 2025. We have been granted a patent which covers the use of MN-166 (ibudilast) for the treatment of drug addiction or drug dependence or withdrawal syndrome in the U.S. and it expires no earlier than January 2030. Counterparts of this patent application have been granted in certain foreign jurisdictions. We have been granted a patent that covers the use of MN-166 (ibudilast) to enhance opioid analgesia in acute pain settings from the European Patent Office (EPO) and it expires no earlier than January 2028.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(bedoradrine)</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February 25, 2004, we entered into an exclusive license agreement with Kissei for the development and commercialization of MN-221. Kissei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U.S. patent for MN-221 has composition of matter and method of use claims. The U.S. composition of matter patent underlying the license issued on October 17, 2000 and is set to expire no earlier than February 18, 2017, which does not include a potential extension under patent term restoration rules. Corresponding composition of matter patents in various other countries are set to expire no earlier than February 18, 2017.</w:t>
      </w:r>
    </w:p>
    <w:p>
      <w:pPr>
        <w:spacing w:after="0" w:line="18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licensed patents, we have filed patent applications in the U.S. and certain foreign countries regarding additional uses and formulations of MN-221. We have been granted a U.S. patent which covers the use of MN-221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Counterparts of this patent application are pending in certain foreign jurisdictions. We have been granted a U.S. patent that covers the use of MN-221 for the treatment of irritable bowel syndrome and it expires no earlier than April 2031.</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7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the letter agreement we entered into with Kissei in September 2011, we agreed to renegotiate in good faith with Kissei the existing levels of the milestone payment amounts and royalty rates.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includes an exclusive, sub-licensable license under two U.S. patents and certain corresponding patents in foreign countries. The U.S. composition of matter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right="60"/>
        <w:spacing w:after="0" w:line="255" w:lineRule="auto"/>
        <w:rPr>
          <w:sz w:val="20"/>
          <w:szCs w:val="20"/>
          <w:color w:val="auto"/>
        </w:rPr>
      </w:pPr>
      <w:r>
        <w:rPr>
          <w:rFonts w:ascii="Times New Roman" w:cs="Times New Roman" w:eastAsia="Times New Roman" w:hAnsi="Times New Roman"/>
          <w:sz w:val="18"/>
          <w:szCs w:val="18"/>
          <w:color w:val="auto"/>
        </w:rPr>
        <w:t>patent for MN-001 (tipelukast) underlying the license expired on February 23, 2009, and the U.S. composition of matter patent for MN-002 underlying the license expired on December 30, 2011. Foreign composition of matter patents for MN-001 (tipelukast) and MN-002 have also expired. We have been granted 11 U.S. patents covering certain compositions, uses and manufacturing processes associated with MN-001 (tipelukast) and MN-002. Some of the uses covered by these patents include non-alcoholic steatohepatitis (NASH), non-alcoholic fatty liver disease (NAFLD), steatosis, ulcerative colitis, and irritable bowel syndrome. We also received a notice of allowance in January 2016 for a pending U.S. patent application which covers MN-001 (tipelukast) and MN-002 for the treatment of advanced NASH with fibrosis. Patent applications corresponding to these U.S. patents were filed in certain foreign countries and some of the foreign patents have issued.</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4"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$4.0 million to date, and we are obligated to make payments of up to $5.0 million based on the achievement of certain clinical and regulatory milestones. We are also obligated to pay a royalty on net sales of the licensed products.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(denibulin)</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or allowed in some of those countries.</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62"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Angiogene $1.4 million to date and are obligated to make payments of up to $16.5 million based on the achievement of certain clinical and regulatory milestones. We are also obligated to pay a royalty on net sales of the licensed products.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(ibudilast) to treat MS and progressive MS, the method of using MN-166 (ibudilast) to treat addiction and the method of using MN-166 (ibudilast) to treat neuropathic pain,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 or any patents we may obtain for MN-166 (ibudilast).</w:t>
      </w:r>
    </w:p>
    <w:p>
      <w:pPr>
        <w:spacing w:after="0" w:line="189"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In addition, if we develop certain products that are not covered by any patents, we will be dependent on obtaining market exclusivity under the five-year new chemical entity exclusivity provisions of Hatch-Waxman Act for such products in the U.S. and/or 10-year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Progressive Multiple Sclerosis (Progressive MS)</w:t>
      </w:r>
    </w:p>
    <w:p>
      <w:pPr>
        <w:spacing w:after="0" w:line="11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MN-166 (ibudilast) product candidate is in development for the treatment of progressive MS. Only one drug, mitoxantrone, is approved for treating progressive MS. However, mitoxantrone cannot be used on a long-term basis because of the potential for cardiac toxicity. Other programs in clinical development for progressive MS include Roche’s ocrelizumab, Novartis’s BAF312 (siponimod), and AB Science’s masitinib.</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Amyotrophic Lateral Sclerosis (ALS)</w:t>
      </w:r>
    </w:p>
    <w:p>
      <w:pPr>
        <w:spacing w:after="0" w:line="119"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Our MN-166 (ibudilast) product candidate is in development for the treatment of ALS. Only one drug, riluzole, is approved for treating ALS, and it has limited efficacy. We are aware of additional compounds in clinical development for the treatment of ALS at other companies including Cytokinetics, BrainStorm Cell Therapeutics Inc. and AB Science.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Drug Addiction</w:t>
      </w:r>
    </w:p>
    <w:p>
      <w:pPr>
        <w:spacing w:after="0" w:line="119" w:lineRule="exact"/>
        <w:rPr>
          <w:sz w:val="20"/>
          <w:szCs w:val="20"/>
          <w:color w:val="auto"/>
        </w:rPr>
      </w:pPr>
    </w:p>
    <w:p>
      <w:pPr>
        <w:ind w:right="80" w:firstLine="518"/>
        <w:spacing w:after="0" w:line="273" w:lineRule="auto"/>
        <w:rPr>
          <w:sz w:val="20"/>
          <w:szCs w:val="20"/>
          <w:color w:val="auto"/>
        </w:rPr>
      </w:pPr>
      <w:r>
        <w:rPr>
          <w:rFonts w:ascii="Times New Roman" w:cs="Times New Roman" w:eastAsia="Times New Roman" w:hAnsi="Times New Roman"/>
          <w:sz w:val="18"/>
          <w:szCs w:val="18"/>
          <w:color w:val="auto"/>
        </w:rPr>
        <w:t>Our MN-166 (ibudilast) product candidate has been in development for treatment of opioid withdrawal and dependence, methamphetamine addiction, and alcohol dependence. Current treatments for opioid withdrawal symptoms include narcotics such as generic methadone and Reckitt Benckiser Pharmaceuticals, Inc.’s Subutex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(buprenorphine) and Suboxone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(buprenorphine + the</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4" w:name="page15"/>
    <w:bookmarkEnd w:id="14"/>
    <w:p>
      <w:pPr>
        <w:ind w:right="20"/>
        <w:spacing w:after="0" w:line="189" w:lineRule="auto"/>
        <w:rPr>
          <w:sz w:val="20"/>
          <w:szCs w:val="20"/>
          <w:color w:val="auto"/>
        </w:rPr>
      </w:pPr>
      <w:r>
        <w:rPr>
          <w:rFonts w:ascii="Times New Roman" w:cs="Times New Roman" w:eastAsia="Times New Roman" w:hAnsi="Times New Roman"/>
          <w:sz w:val="18"/>
          <w:szCs w:val="18"/>
          <w:color w:val="auto"/>
        </w:rPr>
        <w:t>opioid antagonist naloxone). Other products approved for opioid dependence include Alkermes’ Vivitrol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(naltrexone monthly injection), Orexo’s Zubsolv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(buprenorphine and naloxone), and BioDelivery Sciences’s Bunavail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(buprenorphine and naloxone). We are aware of additional compounds in development for the treatment of opioid dependence at companies including Titan Pharmaceuticals. Limited non-narcotic drug candidates for opioid withdrawal symptoms exist. Britannia Pharmaceuticals Limited’s BritLofex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(Lofexidine), licensed for development in U.S. clinical trials to US WorldMeds LLC, is an 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adrenergic receptor agonist like clonidine which may have somewhat less orthostatic hypotension limitations. There are no pharmaceuticals currently approved for the treatment of methamphetamine addiction. Current treatments for alcohol dependence include Antabuse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(disulfiram), Vivitrol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(naltrexone), Campral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(acamprosate), and Revia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(naltrexone). We are aware of additional compounds in development for the treatment of alcohol dependence at other companies including XenoPort, Inc.</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(bedoradrine) for Acute Exacerbations of Asthma</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Our MN-221 product candidate is being developed for the treatment of acute exacerbations of asthma in the emergency room setting. The current standard of care for acute exacerbations of asthma is inhaled albuterol (a ß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-adrenergic receptor agonist), inhaled ipratropium (an anticholinergic) and oral or injected corticosteroids. In addition, subcutaneously administered terbutaline (a ß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-adrenergic receptor agonist) is sometimes used to treat this condition, particularly in pediatric patients.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 for Nonalcoholic Steatohepatitis (NASH)</w:t>
      </w:r>
    </w:p>
    <w:p>
      <w:pPr>
        <w:spacing w:after="0" w:line="119"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Our MN-001 (tipelukast) product candidate is being developed for the treatment of NASH. There are currently no therapeutic products approved for the treatment of NASH. We are aware of compounds in clinical development for the treatment of NASH at other companies including Intercept Pharmaceuticals, Genfit, Galectin Therapeutics, Gilead Sciences, Tobira Therapeutics, Galmed Pharmaceuticals and Conatus Pharmaceuticals.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 for Idiopathic Pulmonary Fibrosis (IPF)</w:t>
      </w:r>
    </w:p>
    <w:p>
      <w:pPr>
        <w:spacing w:after="0" w:line="119" w:lineRule="exact"/>
        <w:rPr>
          <w:sz w:val="20"/>
          <w:szCs w:val="20"/>
          <w:color w:val="auto"/>
        </w:rPr>
      </w:pPr>
    </w:p>
    <w:p>
      <w:pPr>
        <w:jc w:val="both"/>
        <w:ind w:right="540" w:firstLine="518"/>
        <w:spacing w:after="0" w:line="266" w:lineRule="auto"/>
        <w:rPr>
          <w:sz w:val="20"/>
          <w:szCs w:val="20"/>
          <w:color w:val="auto"/>
        </w:rPr>
      </w:pPr>
      <w:r>
        <w:rPr>
          <w:rFonts w:ascii="Times New Roman" w:cs="Times New Roman" w:eastAsia="Times New Roman" w:hAnsi="Times New Roman"/>
          <w:sz w:val="18"/>
          <w:szCs w:val="18"/>
          <w:color w:val="auto"/>
        </w:rPr>
        <w:t>Our MN-001 (tipelukast) product candidate is also being developed for the treatment of IPF. Products approved in the U.S. for treatment of IPF include Roche’s (formerly InterMune) Esbriet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(pirfenidone) and Boehringer Ingelheim’s OFEV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(nintedanib). Other companies working on clinical development programs for treatment of IPF include MedImmune (AstraZeneca) and FibroGen.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(denibulin) for Solid Tumor Cancer</w:t>
      </w:r>
    </w:p>
    <w:p>
      <w:pPr>
        <w:spacing w:after="0" w:line="119"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Our MN-029 product candidate is being developed for the treatment of solid tumor cancers. Genentech’s Kadcyla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HER2-targeted antibody and microtubule inhibitor conjugate, is approved for treatment of patients with HER2-positive metastatic breast cancer who previously were treated with trastuzumab and/or a taxane. Bayer’s Stivarga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kinase inhibitor approved for metastatic colorectal cancer, was also approved for patients with advanced, unresectable (not subject to surgical removal) or metastatic gastrointestinal stromal tumor. We are aware of additional compounds in development for the treatment of solid tumor cancers at companies including Eli Lilly &amp; Company, Hoffmann-La Roche, Novartis AG, and Celgene.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Government authorities in the U.S. and other countries extensively regulate the research, development, testing, manufacture, labeling, promotion, advertising, distribution, sampling, marketing and import and export of pharmaceutical products and biologics such as those we are developing. In the U.S.,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U.S. Regulatory Approval</w:t>
      </w:r>
    </w:p>
    <w:p>
      <w:pPr>
        <w:spacing w:after="0" w:line="117"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In the U.S., drugs and drug testing are regulated by the FDA under the Federal Food, Drug and Cosmetic Act, or FDCA, as well as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74"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animal studies, and formulation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which must become effective before human clinical trials may begin in the U.S.;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adequate and well-controlled human clinical trials to establish the safety and efficacy of the product candidate for each indication for which approval is sought;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accompanied by a substantial user fee;</w:t>
      </w:r>
    </w:p>
    <w:p>
      <w:pPr>
        <w:spacing w:after="0" w:line="117" w:lineRule="exact"/>
        <w:rPr>
          <w:rFonts w:ascii="Times New Roman" w:cs="Times New Roman" w:eastAsia="Times New Roman" w:hAnsi="Times New Roman"/>
          <w:sz w:val="18"/>
          <w:szCs w:val="18"/>
          <w:color w:val="auto"/>
        </w:rPr>
      </w:pPr>
    </w:p>
    <w:p>
      <w:pPr>
        <w:ind w:left="1040" w:right="160" w:hanging="519"/>
        <w:spacing w:after="0" w:line="313" w:lineRule="auto"/>
        <w:tabs>
          <w:tab w:leader="none" w:pos="1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30" w:lineRule="exact"/>
        <w:rPr>
          <w:rFonts w:ascii="Times New Roman" w:cs="Times New Roman" w:eastAsia="Times New Roman" w:hAnsi="Times New Roman"/>
          <w:sz w:val="17"/>
          <w:szCs w:val="17"/>
          <w:color w:val="auto"/>
        </w:rPr>
      </w:pPr>
    </w:p>
    <w:p>
      <w:pPr>
        <w:ind w:left="1040" w:right="1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6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78"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Tests. </w:t>
      </w:r>
      <w:r>
        <w:rPr>
          <w:rFonts w:ascii="Times New Roman" w:cs="Times New Roman" w:eastAsia="Times New Roman" w:hAnsi="Times New Roman"/>
          <w:sz w:val="18"/>
          <w:szCs w:val="18"/>
          <w:color w:val="auto"/>
        </w:rPr>
        <w:t>Preclinical tests include laboratory evaluation of the product candidate, its chemistry, toxicity, formulation and stability,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80"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IND Process. </w:t>
      </w:r>
      <w:r>
        <w:rPr>
          <w:rFonts w:ascii="Times New Roman" w:cs="Times New Roman" w:eastAsia="Times New Roman" w:hAnsi="Times New Roman"/>
          <w:sz w:val="18"/>
          <w:szCs w:val="18"/>
          <w:color w:val="auto"/>
        </w:rPr>
        <w:t>An IND must be effective to administer an investigational drug to humans. The IND will automatically become effective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85"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119" w:lineRule="exact"/>
        <w:rPr>
          <w:sz w:val="20"/>
          <w:szCs w:val="20"/>
          <w:color w:val="auto"/>
        </w:rPr>
      </w:pPr>
    </w:p>
    <w:p>
      <w:pPr>
        <w:ind w:left="1040" w:hanging="519"/>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potential drug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68"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potential drug is introduced into a limited patient population to assess the efficacy of the drug in specific, targeted indications, assess dosage tolerance and optimal dosage, and to identify possible adverse effects and safety risks.</w:t>
      </w:r>
    </w:p>
    <w:p>
      <w:pPr>
        <w:spacing w:after="0" w:line="53" w:lineRule="exact"/>
        <w:rPr>
          <w:rFonts w:ascii="Times New Roman" w:cs="Times New Roman" w:eastAsia="Times New Roman" w:hAnsi="Times New Roman"/>
          <w:sz w:val="18"/>
          <w:szCs w:val="18"/>
          <w:color w:val="auto"/>
        </w:rPr>
      </w:pPr>
    </w:p>
    <w:p>
      <w:pPr>
        <w:jc w:val="both"/>
        <w:ind w:left="1040" w:right="140" w:hanging="519"/>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potential drug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6" w:name="page17"/>
    <w:bookmarkEnd w:id="16"/>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development of a new drug, we may request to meet with the FDA at times such as prior to submitting an IND, at the EOP2, and before an NDA is submitted, and meetings are not limited to these certain times. The purpose of the EOP2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8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has a Fast Track program that is intended to expedite or facilitate the process for reviewing new drugs and 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9" w:lineRule="exact"/>
        <w:rPr>
          <w:sz w:val="20"/>
          <w:szCs w:val="20"/>
          <w:color w:val="auto"/>
        </w:rPr>
      </w:pPr>
    </w:p>
    <w:p>
      <w:pPr>
        <w:ind w:right="20" w:firstLine="51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U.S. patent term restoration and marketing exclusivity: </w:t>
      </w:r>
      <w:r>
        <w:rPr>
          <w:rFonts w:ascii="Times New Roman" w:cs="Times New Roman" w:eastAsia="Times New Roman" w:hAnsi="Times New Roman"/>
          <w:sz w:val="17"/>
          <w:szCs w:val="17"/>
          <w:color w:val="auto"/>
        </w:rPr>
        <w:t>Depending upon the timing, duration and specifics of the FDA approval of a drug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80"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8"/>
          <w:szCs w:val="18"/>
          <w:color w:val="auto"/>
        </w:rPr>
        <w:t>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97" w:lineRule="exact"/>
        <w:rPr>
          <w:sz w:val="20"/>
          <w:szCs w:val="20"/>
          <w:color w:val="auto"/>
        </w:rPr>
      </w:pPr>
    </w:p>
    <w:p>
      <w:pPr>
        <w:ind w:right="5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Regulation outside the United States: </w:t>
      </w:r>
      <w:r>
        <w:rPr>
          <w:rFonts w:ascii="Times New Roman" w:cs="Times New Roman" w:eastAsia="Times New Roman" w:hAnsi="Times New Roman"/>
          <w:sz w:val="18"/>
          <w:szCs w:val="18"/>
          <w:color w:val="auto"/>
        </w:rPr>
        <w:t>In addition to regulations in the U.S., we and our strategic alliance partners will be subject to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 other jurisdictions governing, among other things, clinical trials and any commercial sales and distribution of our products.</w:t>
      </w:r>
    </w:p>
    <w:p>
      <w:pPr>
        <w:spacing w:after="0" w:line="16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84"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with the exception of, among other things, country-specific document requirements.</w:t>
      </w:r>
    </w:p>
    <w:p>
      <w:pPr>
        <w:spacing w:after="0" w:line="17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We have assembled an experienced and cohesive management and support team, with core competencies in general management, clinical development, regulatory affairs and corporate development. We have 10 full-time employees as of the date of this report. We believe that our relations with our employees are good, and we have no history of work stoppages.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were originally incorporated in the State of Delaware in September 2000. Our principal executive offices are located at 4275 Executive Square, Suite 650, La Jolla, CA 92037. Our telephone number is 858-373-1500. Our website is </w:t>
      </w:r>
      <w:r>
        <w:rPr>
          <w:rFonts w:ascii="Times New Roman" w:cs="Times New Roman" w:eastAsia="Times New Roman" w:hAnsi="Times New Roman"/>
          <w:sz w:val="18"/>
          <w:szCs w:val="18"/>
          <w:u w:val="single" w:color="auto"/>
          <w:color w:val="auto"/>
        </w:rPr>
        <w:t>www.medicinova.com</w:t>
      </w:r>
      <w:r>
        <w:rPr>
          <w:rFonts w:ascii="Times New Roman" w:cs="Times New Roman" w:eastAsia="Times New Roman" w:hAnsi="Times New Roman"/>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incur continued losses for the foreseeable future.</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2015, we had a net loss of $8.8 million. At December 31, 2015, from inception, our accumulated deficit was $319.4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2015, we had available cash and cash equivalents of $22.1 million and working capital of $21.2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cash requirements will also depend on many factors, including:</w:t>
      </w:r>
    </w:p>
    <w:p>
      <w:pPr>
        <w:spacing w:after="0" w:line="117"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agreements and other arrangements;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16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2016 relative to 2015 as we continue our focus on the development of MN-001 (tipelukast) and MN-166 (ibudilast) in 2016. Our estimate of cash requirements for future operating expenses assumes that we do not incur significant additional new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8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the capital necessary to fund our operations, we will be unable to develop and commercialize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consumed substantial amounts of capital since our inception.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ind w:firstLine="518"/>
        <w:spacing w:after="0" w:line="256" w:lineRule="auto"/>
        <w:rPr>
          <w:sz w:val="20"/>
          <w:szCs w:val="20"/>
          <w:color w:val="auto"/>
        </w:rPr>
      </w:pPr>
      <w:r>
        <w:rPr>
          <w:rFonts w:ascii="Times New Roman" w:cs="Times New Roman" w:eastAsia="Times New Roman" w:hAnsi="Times New Roman"/>
          <w:sz w:val="18"/>
          <w:szCs w:val="18"/>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29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160" w:firstLine="518"/>
        <w:spacing w:after="0" w:line="274" w:lineRule="auto"/>
        <w:rPr>
          <w:sz w:val="20"/>
          <w:szCs w:val="20"/>
          <w:color w:val="auto"/>
        </w:rPr>
      </w:pPr>
      <w:r>
        <w:rPr>
          <w:rFonts w:ascii="Times New Roman" w:cs="Times New Roman" w:eastAsia="Times New Roman" w:hAnsi="Times New Roman"/>
          <w:sz w:val="17"/>
          <w:szCs w:val="17"/>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27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 development process, and therefore we have not submitted an NDA or foreign equivalent or received marketing approval.</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clinical development program for our product candidates may not lead to commercial products for a number of reasons, including our clinical trials’ failure to demonstrate to the FDA’s satisfaction that this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51"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2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5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rely on the joint venture company formed in China in 2011 to develop and commercialize our product candidates in China and there is no assurance that the joint venture will be successful in doing so.</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2015, Beijing Medfron Medical Technologies Co., Ltd. and MediciNova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93"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2015, we reflect a long-term asset on our consolidated balance sheet which represents our investment in Zhejiang Sunmy, net of our portion of any generated loss or income.</w:t>
      </w:r>
    </w:p>
    <w:p>
      <w:pPr>
        <w:spacing w:after="0" w:line="2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5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8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conduct of clinical trials for each of our product candidates, we face many risks, including the risks that:</w:t>
      </w:r>
    </w:p>
    <w:p>
      <w:pPr>
        <w:spacing w:after="0" w:line="117"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prove to be effective in treating the targeted indication;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participants and/or patients may experience serious adverse events or other undesirable drug-related side effects;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agree with our proposed development plans or accept the results of completed clinical trials;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1" w:name="page22"/>
    <w:bookmarkEnd w:id="21"/>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regulation of our product candidates, which could delay the development and commercialization of our product candidates.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our third-party manufacturers, service providers, suppliers and partners, if any, and our product candidates are subject to stringent regulation by the FDA and other regulatory agencies in the U.S. and by comparable authorities in other countries. None of our product candidates can be marketed in the U.S.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U.S. or abroad.</w:t>
      </w:r>
    </w:p>
    <w:p>
      <w:pPr>
        <w:spacing w:after="0" w:line="18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order to market any of our products outside of the U.S.,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U.S. Regulatory approval in one country, including FDA approval in the U.S.,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8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in the U.S.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80"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that we advance into clinical trials may cause undesirable side effects or have other properties that could delay or prevent regulatory approval or commercialization or limit its commercial potential.</w:t>
      </w:r>
    </w:p>
    <w:p>
      <w:pPr>
        <w:spacing w:after="0" w:line="51"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80"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we may develop receives marketing approval and we or others later identify undesirable side effects caused by the product, a number of significant negative consequences could result, including:</w:t>
      </w:r>
    </w:p>
    <w:p>
      <w:pPr>
        <w:spacing w:after="0" w:line="54"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place restrictions on the way it is prescribed;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larger clinical benefit for approval to offset the risk;</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that could diminish the usage of the product or otherwise limit the commercial success of the product;</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 or implement a risk evaluation and mitigation strategy;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discontinue sale of the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our business model;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delayed for a variety of other reasons, including delays in:</w:t>
      </w:r>
    </w:p>
    <w:p>
      <w:pPr>
        <w:spacing w:after="0" w:line="117"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or amend a clinical trial;</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 approval or approval from foreign counterparts to conduct or amend a clinical trial at a prospective site.</w:t>
      </w:r>
    </w:p>
    <w:p>
      <w:pPr>
        <w:spacing w:after="0" w:line="225"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In addition, a clinical trial may be delayed, suspended or terminated by us, the FDA or other regulatory authorities due to a number of factors, including:</w:t>
      </w:r>
    </w:p>
    <w:p>
      <w:pPr>
        <w:spacing w:after="0" w:line="54" w:lineRule="exact"/>
        <w:rPr>
          <w:sz w:val="20"/>
          <w:szCs w:val="20"/>
          <w:color w:val="auto"/>
        </w:rPr>
      </w:pPr>
    </w:p>
    <w:p>
      <w:pPr>
        <w:ind w:left="1040" w:right="180" w:hanging="519"/>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71" w:lineRule="exact"/>
        <w:rPr>
          <w:rFonts w:ascii="Times New Roman" w:cs="Times New Roman" w:eastAsia="Times New Roman" w:hAnsi="Times New Roman"/>
          <w:sz w:val="18"/>
          <w:szCs w:val="18"/>
          <w:color w:val="auto"/>
        </w:rPr>
      </w:pPr>
    </w:p>
    <w:p>
      <w:pPr>
        <w:ind w:left="1040" w:right="4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68"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enrollment or retention rates of patients in clinical trials;</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information suggesting unacceptable risk to subjects or unforeseen safety issues or any determination that a trial presents unacceptable health risks;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candidates or other materials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62"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rights to develop and market any of our product candidates could significantly harm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license the rights to certain compounds to develop and market our product candidates.</w:t>
      </w:r>
    </w:p>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80"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If any of our license agreements is terminated, we would have no further rights to develop and commercialize the product candidate that is the subject of the license. The termination of any of the remainder of our license agreements could materially and adversely affect our business.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67"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76"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68" w:lineRule="exact"/>
        <w:rPr>
          <w:sz w:val="20"/>
          <w:szCs w:val="20"/>
          <w:color w:val="auto"/>
        </w:rPr>
      </w:pPr>
    </w:p>
    <w:p>
      <w:pPr>
        <w:ind w:left="1040" w:right="32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sufficient resources or decides not to devote the necessary resources due to internal constraints such as limited cash or human resources;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decides to pursue a competitive potential product developed outside of the collaboration;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regulatory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market opportunity is not attractive;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manufacture the necessary materials in sufficient quantities from multiple sources or at a reasonable cost.</w:t>
      </w:r>
    </w:p>
    <w:p>
      <w:pPr>
        <w:spacing w:after="0" w:line="225"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76"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5" w:name="page26"/>
    <w:bookmarkEnd w:id="25"/>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under which we enter collaborations or raise additional equity or debt financing may harm our business and may significantly dilute stockholders’ ownership interests.</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6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design/or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0"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30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8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9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manufacture our product candidates in commercial quantities, which would prevent us from commercializing our product candidates.</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68"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efficacy;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cost and potential advantages of alternative treatments, including less expensive generic drugs;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which may be subject to regulatory control;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any of our partners’ sales and marketing strategies;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labeling or product insert required by the FDA or regulatory authority in other countries;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insurance coverage or reimbursement.</w:t>
      </w:r>
    </w:p>
    <w:p>
      <w:pPr>
        <w:spacing w:after="0" w:line="22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51"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18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Market acceptance and sales of our current or future product candidates will depend in large part on global reimbursement policies and may be affected by future healthcare reform measures, both in the U.S. and other key international markets. For example, continuing health care reform in the U.S.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8" w:name="page29"/>
    <w:bookmarkEnd w:id="28"/>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6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8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8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280"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51"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U.S., we may be required to market our product candidates outside of the U.S. directly if we are unable to establish such collaborations. In that event, we may need to build a corresponding international sales and marketing capability with technical expertise and with supporting distribution capabilities.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adversely affect our business.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business and financial condition of pharmaceutical and biotechnology companies are affected by the efforts of governmental and third-party payers to contain or reduce the costs of health care. In the U.S.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U.S. to continue. Another example of proposed reform that could affect our business is drug reimportation into the U.S.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for product liability, which could result in substantial liabilities that exceed our available resources and damage our reputation.</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68"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clinical trial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which may make it difficult to predict our future performance from period to period.</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4" w:lineRule="exact"/>
        <w:rPr>
          <w:sz w:val="20"/>
          <w:szCs w:val="20"/>
          <w:color w:val="auto"/>
        </w:rPr>
      </w:pPr>
    </w:p>
    <w:p>
      <w:pPr>
        <w:ind w:left="1040" w:right="50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53"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other collaboration, licensing and similar arrangements and the timing of payments we may make or receive under these arrangements;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product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effects of collaborations during these periods;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satisfaction of applicable regulatory requirements, if at all;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of our clinical development and other internal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products and market developments;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believe that quarterly or yearly comparisons of our financial results are not necessarily meaningful and should not be relied upon as indications of our future performance.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30" w:name="page31"/>
    <w:bookmarkEnd w:id="30"/>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8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Sarbanes-Oxley Act requires that we maintain effective internal controls for financial reporting and disclosure controls and procedures. Our listing obligations under the JASDAQ Market of the Tokyo Stock Exchange, or TSE,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independent registered public accounting firm regarding our internal controls over financial reporting as of December 31, 2015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8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and natural disasters.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and marketing our products internationally could materially adversely affect our business.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68"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or unexpected regulatory requirements for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taxes, regulations and permit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government tariffs, trade restrictions,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natural disasters, war, events of terrorism or political instability in particular foreign countries;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result in increased operating expenses and reduced revenues, and other obligations related to doing business in another country;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1" w:name="page32"/>
    <w:bookmarkEnd w:id="31"/>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regulations and restrictions for employees living or traveling abroad;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U.S.</w:t>
      </w:r>
    </w:p>
    <w:p>
      <w:pPr>
        <w:spacing w:after="0" w:line="162"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2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and MN-001 (tipelukast) product candidates, although we do have patent protection for a particular crystalline polymorph of MN-001 (tipelukast) and we have composition of matter protection on an analog of ibudilast. As a result, competitors that obtain the requisite regulatory approval will be able to offer products with the same API as found in our MN-166 (ibudilast) and MN-001 (tipelukast)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and MN-001 (tipelukast) although we have compound patents for MN-029 and MN-221.</w:t>
      </w:r>
    </w:p>
    <w:p>
      <w:pPr>
        <w:spacing w:after="0" w:line="18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9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8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54"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patents to protect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any required or desirable licenses to use certain technologies of third parties, which may be protected by patents;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issued patents under which we hold rights;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proprietary technologies that are patentable.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For example:</w:t>
      </w:r>
    </w:p>
    <w:p>
      <w:pPr>
        <w:spacing w:after="0" w:line="117"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make the inventions covered by each of our pending patent applications or issued patents;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issued patents;</w:t>
      </w:r>
    </w:p>
    <w:p>
      <w:pPr>
        <w:spacing w:after="0" w:line="117"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68"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U.S. may be less willing to protect trade secrets or know-how. The failure to obtain or maintain trade secret protection could adversely affect our competitive position.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jc w:val="both"/>
        <w:ind w:right="20" w:firstLine="518"/>
        <w:spacing w:after="0" w:line="272" w:lineRule="auto"/>
        <w:rPr>
          <w:sz w:val="20"/>
          <w:szCs w:val="20"/>
          <w:color w:val="auto"/>
        </w:rPr>
      </w:pPr>
      <w:r>
        <w:rPr>
          <w:rFonts w:ascii="Times New Roman" w:cs="Times New Roman" w:eastAsia="Times New Roman" w:hAnsi="Times New Roman"/>
          <w:sz w:val="17"/>
          <w:szCs w:val="17"/>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U.S. may be maintained in secrecy until the patents are issued, and because patent applications in the U.S.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84" w:lineRule="exact"/>
        <w:rPr>
          <w:sz w:val="20"/>
          <w:szCs w:val="20"/>
          <w:color w:val="auto"/>
        </w:rPr>
      </w:pPr>
    </w:p>
    <w:p>
      <w:pPr>
        <w:ind w:left="1040" w:right="10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or other equitable relief that may effectively block our ability to further develop, commercialize and sell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enter into license arrangements that may not be available on reasonable or commercially acceptable terms;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 and expense, as well as distraction of our management from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we could lose our ability to develop and commercialize current or future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Investment in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resell our shares at a profit or at all.</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Despite the listing of our common stock on The NASDAQ Global Market and the JASDAQ Market of the Tokyo Stock Exchange in Japan, trading volume in our securities has been light and an active trading market may not develop for our common stock. In December 2015, our average trading volume was approximately 31,300 shares per day on The NASDAQ Global Market and approximately 113,300 shares per day on the JASDAQ Market.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4" w:name="page35"/>
    <w:bookmarkEnd w:id="34"/>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2015,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76" w:lineRule="exact"/>
        <w:rPr>
          <w:sz w:val="20"/>
          <w:szCs w:val="20"/>
          <w:color w:val="auto"/>
        </w:rPr>
      </w:pPr>
    </w:p>
    <w:p>
      <w:pPr>
        <w:ind w:left="1040" w:right="4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status of our product candidates, including clinical trial results and determinations by regulatory authorities with respect to our product candidates;</w:t>
      </w:r>
    </w:p>
    <w:p>
      <w:pPr>
        <w:spacing w:after="0" w:line="53"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termination, or reduction in the scope of any collaboration arrangements or any disputes or developments regarding such collaborations;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regulatory actions, including failure to receive regulatory approval for any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other material events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securities analysts’ or investors’ expectations of our financial performance;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of our business, management, products, financial performance, prospects or stock price by the financial and scientific press and online investor communities;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and legislative action with respect to, the pricing and availability of prescription drugs or the safety of drugs and drug delivery techniques;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in foreign countries.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Broad market and industry factors, as well as economic and political factors, also may materially adversely affect the market price of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on The NASDAQ Global Market or the JASDAQ Market of the Tokyo Stock Exchange.</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29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additional common stock to MLV &amp; Co. LLC (MLV) may cause substantial dilution to our existing stockholders and/or the price of our common stock to decline.</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Pursuant to the at-the-market equity issuance sales agreement with MLV dated May 22, 2015, we may sell additional shares of our common stock to MLV in the future. Depending upon market liquidity at the time, sales of shares of our common stock under the agreement may cause the trading price of our common stock to decline and may result in substantial dilution to the interests of other holders of our common stock. The sale of a substantial number of shares of our common stock to MLV, or anticipation of such sales, could make it more difficult for us to sell equity or equity-related securities in the future at a time and at a price that we might otherwise wish to effect sales.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right="160"/>
        <w:spacing w:after="0" w:line="266" w:lineRule="auto"/>
        <w:rPr>
          <w:sz w:val="20"/>
          <w:szCs w:val="20"/>
          <w:color w:val="auto"/>
        </w:rPr>
      </w:pPr>
      <w:r>
        <w:rPr>
          <w:rFonts w:ascii="Times New Roman" w:cs="Times New Roman" w:eastAsia="Times New Roman" w:hAnsi="Times New Roman"/>
          <w:sz w:val="18"/>
          <w:szCs w:val="18"/>
          <w:color w:val="auto"/>
        </w:rPr>
        <w:t>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51" w:lineRule="exact"/>
        <w:rPr>
          <w:sz w:val="20"/>
          <w:szCs w:val="20"/>
          <w:color w:val="auto"/>
        </w:rPr>
      </w:pPr>
    </w:p>
    <w:p>
      <w:pPr>
        <w:jc w:val="both"/>
        <w:ind w:right="380" w:firstLine="518"/>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72" w:lineRule="exact"/>
        <w:rPr>
          <w:sz w:val="20"/>
          <w:szCs w:val="20"/>
          <w:color w:val="auto"/>
        </w:rPr>
      </w:pPr>
    </w:p>
    <w:p>
      <w:pPr>
        <w:ind w:left="1040" w:right="34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the board of directors may be removed only for cause upon the affirmative vote of stockholders owning at least a majority of our capital stock;</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at stockholder meetings;</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making certain changes to our restated certificate of incorporation or amended and restated bylaws except with 66-2/3% stockholder approval;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terms.</w:t>
      </w:r>
    </w:p>
    <w:p>
      <w:pPr>
        <w:spacing w:after="0" w:line="225"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cash dividends in the foreseeable future.</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executed a sublease agreement for our headquarters effective March 1, 2013 (the “Sublease”) with Denali Advisors, LLC, the sublessor, to which Irvine Company, the master landlord, has provided its consent. The Sublease is for 5,219 square feet, and has a term of four years and nine months. In June 2005, we leased office space in Tokyo, Japan under a non-cancelable operating lease with an original expiration date of May 2013 and an auto-renewal two-year extension, which we have extended through May 2017, with the acceptance of the extensions for those given periods.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1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high and low sale prices per share of our common stock as reported on The NASDAQ Global Market.</w:t>
      </w:r>
    </w:p>
    <w:p>
      <w:pPr>
        <w:spacing w:after="0" w:line="232"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Common</w:t>
      </w: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Stock Price</w:t>
      </w:r>
    </w:p>
    <w:tbl>
      <w:tblPr>
        <w:tblLayout w:type="fixed"/>
        <w:tblInd w:w="17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date of this filing, there were approximately 8,200 holders of record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retain our future earnings, if any, to fund the growth and development of our business.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can be found under Item 12 of this Annual Report on Form 10-K.</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development and patent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gridSpan w:val="2"/>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26,578,770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24,067,781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(319,427)</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(310,582)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2"/>
        </w:trPr>
        <w:tc>
          <w:tcPr>
            <w:tcW w:w="71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for the treatment of serious diseases with unmet medical needs and a commercial focus on the U.S. market. We were incorporated in Delaware in September 2000.</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2015, we had a net loss of $8.8 million. At December 31, 2015, from inception, our accumulated deficit was $319.4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current strategy is to focus our development activities on MN-166 (ibudilast) for neurological disorders such as progressive multiple sclerosis (MS), amyotrophic lateral sclerosis (ALS) and substance dependence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methamphetamine dependence, opioid dependence, and alcohol dependence), and MN-001 (tipelukast) for nonalcoholic steatohepatitis (NASH), idiopathic pulmonary fibrosis (IPF) and other fibrotic diseases. Our pipeline also includes MN-221 (bedoradrine) for the treatment of acute exacerbation of asthma and MN-029 (denibulin) for solid tumor cancers.</w:t>
      </w:r>
    </w:p>
    <w:p>
      <w:pPr>
        <w:spacing w:after="0" w:line="180"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Zhejiang Sunmy, in March 2012 we paid $680,000 for our 30% interest in Zhejiang Sunmy. The other parties to the joint venture agreement provided funding for their combined 70% interest. In December 2013, the Board of Directors of the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2015, Beijing Medfron Medical Technologies Co., Ltd. and MediciNova each have a 50% interest in Zhejiang Sunmy. No additional capital was contributed by either remaining party. We have not entered into the sublicense of MN-221 with Zhejiang Sunmy. There is no assurance the sublicense will be executed and there is no assurance that Zhejiang Sunmy will be able to proceed with the development of MN-221 in China.</w:t>
      </w:r>
    </w:p>
    <w:p>
      <w:pPr>
        <w:spacing w:after="0" w:line="193"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2015 we reflect a long-term asset on our consolidated balance sheet which represents our investment in Zhejiang Sunmy, net of our portion of any generated loss or income.</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Upon completion of proof-of-concept Phase 2 clinical trials, we intend to enter into strategic alliances with leading pharmaceutical or biotech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recognize any revenue for the years ending December 31, 2015 and 2014.</w:t>
      </w:r>
    </w:p>
    <w:p>
      <w:pPr>
        <w:spacing w:after="0" w:line="22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services. The $2.5 million was initially recorded as deferred revenue of which $0.8 million has been recognized through December 31, 2015. No revenue was recorded in 2015 and 2014 associated with the Kissei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12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in 2016 as our development programs progress.</w:t>
      </w:r>
    </w:p>
    <w:p>
      <w:pPr>
        <w:spacing w:after="0" w:line="18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MN-221</w:t>
            </w:r>
          </w:p>
        </w:tc>
        <w:tc>
          <w:tcPr>
            <w:tcW w:w="700" w:type="dxa"/>
            <w:vAlign w:val="bottom"/>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MN-166</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1,065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MN-001</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MN-029</w:t>
            </w:r>
          </w:p>
        </w:tc>
        <w:tc>
          <w:tcPr>
            <w:tcW w:w="7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1,499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1,404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1,199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3,017</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3,260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Our focus is on the U.S. market. Key elements of our strategy are as follows:</w:t>
      </w:r>
    </w:p>
    <w:p>
      <w:pPr>
        <w:spacing w:after="0" w:line="52"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primarily through non-dilutive financings.</w:t>
      </w:r>
    </w:p>
    <w:p>
      <w:pPr>
        <w:spacing w:after="0" w:line="119" w:lineRule="exact"/>
        <w:rPr>
          <w:rFonts w:ascii="Times New Roman" w:cs="Times New Roman" w:eastAsia="Times New Roman" w:hAnsi="Times New Roman"/>
          <w:sz w:val="18"/>
          <w:szCs w:val="18"/>
          <w:color w:val="auto"/>
        </w:rPr>
      </w:pPr>
    </w:p>
    <w:p>
      <w:pPr>
        <w:ind w:left="10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National Institutes of Health (NIH), and are contributing financially to the Carolinas Neuromuscular ALS-MDA Center clinical trial of MN-166 (ibudilast) for the treatment of ALS. We intend to enter into additional strategic alliances to support further clinical development of MN-166 (ibudilast).</w:t>
      </w:r>
    </w:p>
    <w:p>
      <w:pPr>
        <w:spacing w:after="0" w:line="7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diseases including NASH and IPF.</w:t>
      </w:r>
    </w:p>
    <w:p>
      <w:pPr>
        <w:spacing w:after="0" w:line="119" w:lineRule="exact"/>
        <w:rPr>
          <w:rFonts w:ascii="Times New Roman" w:cs="Times New Roman" w:eastAsia="Times New Roman" w:hAnsi="Times New Roman"/>
          <w:sz w:val="18"/>
          <w:szCs w:val="18"/>
          <w:color w:val="auto"/>
        </w:rPr>
      </w:pPr>
    </w:p>
    <w:p>
      <w:pPr>
        <w:ind w:left="1040"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combination of investigator-sponsored trials with or without grant funding as well as trials we may fund.</w:t>
      </w:r>
    </w:p>
    <w:p>
      <w:pPr>
        <w:spacing w:after="0" w:line="51" w:lineRule="exact"/>
        <w:rPr>
          <w:rFonts w:ascii="Times New Roman" w:cs="Times New Roman" w:eastAsia="Times New Roman" w:hAnsi="Times New Roman"/>
          <w:sz w:val="18"/>
          <w:szCs w:val="18"/>
          <w:color w:val="auto"/>
        </w:rPr>
      </w:pPr>
    </w:p>
    <w:p>
      <w:pPr>
        <w:ind w:left="1040" w:right="620" w:hanging="519"/>
        <w:spacing w:after="0" w:line="284"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Strategically partner with one or more leading pharmaceutical companies to complete late-stage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ind w:left="1040"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76"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Other income primarily consists of interest earned on our cash and cash equivalents. In 2015 and 2014, other expense primarily consists of losses from the joint venture and net foreign exchange losses related to vendor invoices denominated in foreign currencies. We had no outstanding debt and had no interest expense in 2015 or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share-based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share-based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subsequently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9"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Valuation of our stock option grants requires us to estimate certain variables, such as estimated volatility and expected life. If any of our estimations change, such changes could have a significant impact on the share-based compensation amount we recognize.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We recorded goodwill and in-process research and development, or IPR&amp;D, of $9.6 million and $4.8 million, respectively, as of December 31, 2015 and 2014.</w:t>
      </w:r>
    </w:p>
    <w:p>
      <w:pPr>
        <w:spacing w:after="0" w:line="185" w:lineRule="exact"/>
        <w:rPr>
          <w:sz w:val="20"/>
          <w:szCs w:val="20"/>
          <w:color w:val="auto"/>
        </w:rPr>
      </w:pPr>
    </w:p>
    <w:p>
      <w:pPr>
        <w:ind w:right="60" w:firstLine="518"/>
        <w:spacing w:after="0" w:line="277" w:lineRule="auto"/>
        <w:rPr>
          <w:sz w:val="20"/>
          <w:szCs w:val="20"/>
          <w:color w:val="auto"/>
        </w:rPr>
      </w:pPr>
      <w:r>
        <w:rPr>
          <w:rFonts w:ascii="Times New Roman" w:cs="Times New Roman" w:eastAsia="Times New Roman" w:hAnsi="Times New Roman"/>
          <w:sz w:val="17"/>
          <w:szCs w:val="17"/>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is more fully described in Note 1 of our consolidated financial statements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recognize any revenue for the years ended December 31, 2015 and 2014.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Research, development and patent expenses for the year ended December 31, 2015 were $3.0 million, a decrease of $0.3 million compared to $3.3 million for the year ended December 31, 2014. This decrease in research, development and patent expenses primarily relates to a decrease in patent expenses and external development costs associated with MN-166 and MN-001 of $0.5 million in 2015 as compared to 2014, partially offset by an increase in personnel costs of $0.2 million driven by increased share-based compensation expense in 2015.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2015 were $5.8 million, a decrease of $0.2 million compared to $6.0 million for the year ended December 31, 2014. The decrease in general and administrative expenses relates to a decrease in professional fees of $0.1 million for 2015 as compared to 2014 along with a $100,000 payment received from a vendor to offset the cost of manufactured drug product that was inadvertently destroyed by the vendor, which was offset against general and administrative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Other expense for the year ended December 31, 2015 was approximately $54,000, as compared to approximately $13,000 for the year ended December 31, 2014. In 2015 and 2014, other expense consisted of losses from the joint venture accounted for under the equity method according to our percentage ownership, and net transaction losses related to vendor invoices denominated in foreign currencies. The increase in other expense is primarily due to the fluctuation of the exchange rate for the Chinese Yuan Renminbi resulting in additional loss in the joint venture translation for 2015.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Other income for the year ended December 31, 2015 was approximately $39,000, as compared to approximately $37,000 for the year ended December 31, 2014. Other income consisted of interest income on our cash and cash equivalents in both 2015 and 2014.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incurred losses of $8.8 million and $9.2 million for the years ended December 31, 2015, and 2014, respectively. At December 31, 2015, our accumulated deficit was $319.4 million. For the year ended December 31, 2015, we used net cash of $7.2 million to fund operating activities. For the year ended December 31, 2014, net cash of $0.8 million was provided by operating activities.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October 16, 2013, we entered into an at-the-market equity distribution agreement with Macquarie Capital (USA) Inc., or MCUSA, pursuant to which we could sell our common stock through MCUSA from time to time up to an aggregate offering price of $10.0 million. The at-the-market equity distribution agreement with MCUSA was terminated on May 22, 2015, and as of such date, we had completed sales to MCUSA totaling 2,127,500 shares of common stock at prices ranging from $2.01 to $4.45 per share, generating gross and net proceeds of $5.3 million and $4.5 million, respectively. For the year ended December 31, 2015, we generated gross and net proceeds of $0.9 million and $0.7 million, respectively, on the sale of 225,000 shares of common stock under this agreement. For the year ended December 31, 2014, we generated gross and net proceeds of $4.1 million and $3.7 million, respectively, on the sale of 1,785,000 shares of common stock. Net proceeds are calculated as gross proceeds less commissions and other issuance costs.</w:t>
      </w:r>
    </w:p>
    <w:p>
      <w:pPr>
        <w:spacing w:after="0" w:line="189" w:lineRule="exact"/>
        <w:rPr>
          <w:sz w:val="20"/>
          <w:szCs w:val="20"/>
          <w:color w:val="auto"/>
        </w:rPr>
      </w:pPr>
    </w:p>
    <w:p>
      <w:pPr>
        <w:ind w:right="60" w:firstLine="518"/>
        <w:spacing w:after="0" w:line="271" w:lineRule="auto"/>
        <w:rPr>
          <w:sz w:val="20"/>
          <w:szCs w:val="20"/>
          <w:color w:val="auto"/>
        </w:rPr>
      </w:pPr>
      <w:r>
        <w:rPr>
          <w:rFonts w:ascii="Times New Roman" w:cs="Times New Roman" w:eastAsia="Times New Roman" w:hAnsi="Times New Roman"/>
          <w:sz w:val="17"/>
          <w:szCs w:val="17"/>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For the year ended December 31, 2015, we generated gross proceeds of $32,700 and incurred issuance costs of $121,500 under this agreement on sales of 7,800 shares of our common stock at prices ranging from $4.16 to $4.23 per share.</w:t>
      </w:r>
    </w:p>
    <w:p>
      <w:pPr>
        <w:spacing w:after="0" w:line="17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2015, we have the following warrants outstanding:</w:t>
      </w:r>
    </w:p>
    <w:p>
      <w:pPr>
        <w:spacing w:after="0" w:line="117"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2,339,300 common stock warrants at an exercise price of $3.56 and expire on March 29, 2016</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common stock warrants at an exercise price of $3.15 and expire on May 9, 2018</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198,020 common stock warrants at an exercise price of $6.06 and expire on May 10, 2017</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119,047 common stock warrants at an exercise price of $3.38 and expire on May 9,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Financial Condition and Liquidity</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2015, we had available cash and cash equivalents of $22.1 million and working capital of $21.2 million. As of the date of this report, we believe we have working capital sufficient to fund operations into the second half of 2017.</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4" w:name="page45"/>
    <w:bookmarkEnd w:id="44"/>
    <w:p>
      <w:pPr>
        <w:ind w:left="1040" w:right="5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 and to complete acquisitions of additional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management, personnel, systems and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Contractual Obligations</w:t>
      </w:r>
    </w:p>
    <w:p>
      <w:pPr>
        <w:spacing w:after="0" w:line="119" w:lineRule="exact"/>
        <w:rPr>
          <w:sz w:val="20"/>
          <w:szCs w:val="20"/>
          <w:color w:val="auto"/>
        </w:rPr>
      </w:pPr>
    </w:p>
    <w:p>
      <w:pPr>
        <w:ind w:right="840" w:firstLine="518"/>
        <w:spacing w:after="0" w:line="282" w:lineRule="auto"/>
        <w:rPr>
          <w:sz w:val="20"/>
          <w:szCs w:val="20"/>
          <w:color w:val="auto"/>
        </w:rPr>
      </w:pPr>
      <w:r>
        <w:rPr>
          <w:rFonts w:ascii="Times New Roman" w:cs="Times New Roman" w:eastAsia="Times New Roman" w:hAnsi="Times New Roman"/>
          <w:sz w:val="18"/>
          <w:szCs w:val="18"/>
          <w:color w:val="auto"/>
        </w:rPr>
        <w:t>The following summarizes our scheduled long-term contractual obligations that may affect our future liquidity as of December 31, 2015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200" w:type="dxa"/>
            <w:vAlign w:val="bottom"/>
          </w:tcPr>
          <w:p>
            <w:pPr>
              <w:spacing w:after="0"/>
              <w:rPr>
                <w:sz w:val="13"/>
                <w:szCs w:val="13"/>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73"/>
        </w:trPr>
        <w:tc>
          <w:tcPr>
            <w:tcW w:w="5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services(1)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Total(2)</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18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We are responsible for all costs to be incurred in the performance of these services. The estimated remaining costs to be incurred in the performance of all such remaining services are included above.</w:t>
      </w:r>
    </w:p>
    <w:p>
      <w:pPr>
        <w:spacing w:after="0" w:line="6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enter into agreements with third parties to conduct our clinical trials, manufacture our product candidates, and perform data collection,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At December 31, 2015,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0" w:right="1440"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MediciNova, Inc. (“Company”) as of December 31, 2015 and the related consolidated statements of operations and comprehensive loss, stockholders’ equity, and cash flows for the year then ended.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MediciNova, Inc. at December 31, 2015, and the results of its operations and its cash flows for the year then ended, in conformity with accounting principles generally accepted in the United States of America.</w:t>
      </w:r>
    </w:p>
    <w:p>
      <w:pPr>
        <w:spacing w:after="0" w:line="176"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MediciNova, Inc.’s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25, 2016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7" w:name="page48"/>
    <w:bookmarkEnd w:id="47"/>
    <w:p>
      <w:pPr>
        <w:ind w:left="346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MediciNova, Inc.</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MediciNova, Inc. as of December 31, 2014, and the related consolidated statement of operations and comprehensive loss, stockholders’ equity, and cash flows for the year ended December 31, 2014.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MediciNova,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2014, and the consolidated results of its operations and its cash flows for the year ended December 31, 2014, in conformity with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w:t>
      </w:r>
    </w:p>
    <w:p>
      <w:pPr>
        <w:spacing w:after="0" w:line="20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22,076,749</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22,726,206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12,132,921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37,906,323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27,273,494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170,786</w:t>
            </w:r>
          </w:p>
        </w:tc>
        <w:tc>
          <w:tcPr>
            <w:tcW w:w="160" w:type="dxa"/>
            <w:vAlign w:val="bottom"/>
          </w:tcPr>
          <w:p>
            <w:pPr>
              <w:spacing w:after="0"/>
              <w:rPr>
                <w:sz w:val="19"/>
                <w:szCs w:val="19"/>
                <w:color w:val="auto"/>
              </w:rPr>
            </w:pPr>
          </w:p>
        </w:tc>
        <w:tc>
          <w:tcPr>
            <w:tcW w:w="5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1,319,720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rent and lease liability</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5,153,349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3,000,000 shares authorized at December 31, 2015</w:t>
            </w: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2014; 220,000 shares issued and outstanding at December 31, 2015 and 2014</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 December 31,</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2015 and 2014; 29,956,495 and 24,436,317 shares issued and outstanding at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2015 and 2014, respectively</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352,250,667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332,666,935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(100,977)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(319,427,085)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(310,582,006)</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32,752,974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22,010,589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37,906,323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27,273,494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development and patent</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3,017,169</w:t>
            </w:r>
          </w:p>
        </w:tc>
        <w:tc>
          <w:tcPr>
            <w:tcW w:w="160" w:type="dxa"/>
            <w:vAlign w:val="bottom"/>
          </w:tcPr>
          <w:p>
            <w:pPr>
              <w:spacing w:after="0"/>
              <w:rPr>
                <w:sz w:val="19"/>
                <w:szCs w:val="19"/>
                <w:color w:val="auto"/>
              </w:rPr>
            </w:pP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5,805,217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8,822,386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9,223,011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(8,822,386)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(12,518)</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(8,837,720)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(8,845,079)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(9,195,292)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1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26,578,770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(8,845,079)</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(9,195,292)</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(20,174)</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(8,846,867)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(9,215,466)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ectPr>
          <w:pgSz w:w="11900" w:h="16838" w:orient="portrait"/>
          <w:cols w:equalWidth="0" w:num="1">
            <w:col w:w="11400"/>
          </w:cols>
          <w:pgMar w:left="240" w:top="117" w:right="25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453"/>
        </w:trPr>
        <w:tc>
          <w:tcPr>
            <w:tcW w:w="3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Balance at December 31, 2013</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6"/>
        </w:trPr>
        <w:tc>
          <w:tcPr>
            <w:tcW w:w="3460" w:type="dxa"/>
            <w:vAlign w:val="bottom"/>
            <w:vMerge w:val="continue"/>
          </w:tcPr>
          <w:p>
            <w:pPr>
              <w:spacing w:after="0"/>
              <w:rPr>
                <w:sz w:val="12"/>
                <w:szCs w:val="12"/>
                <w:color w:val="auto"/>
              </w:rPr>
            </w:pPr>
          </w:p>
        </w:tc>
        <w:tc>
          <w:tcPr>
            <w:tcW w:w="7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220,000</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at-the-market equity</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agreement</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46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Balance at December 31, 2014</w:t>
            </w:r>
          </w:p>
        </w:tc>
        <w:tc>
          <w:tcPr>
            <w:tcW w:w="7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220,000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at-the-market equity</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 and</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agreements</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4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December 31, 2015</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220,000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9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2"/>
            <w:vMerge w:val="continue"/>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8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0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7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22,495,443</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22,495</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$ 326,868,578</w:t>
            </w:r>
          </w:p>
        </w:tc>
        <w:tc>
          <w:tcPr>
            <w:tcW w:w="20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(80,803)</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97"/>
              </w:rPr>
              <w:t>$ (301,386,714)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25,425,756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1,638,038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51,330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60,422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3,683,770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3,685,555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364,797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(9,195,292)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(9,195,292)</w:t>
            </w:r>
          </w:p>
        </w:tc>
        <w:tc>
          <w:tcPr>
            <w:tcW w:w="0" w:type="dxa"/>
            <w:vAlign w:val="bottom"/>
          </w:tcPr>
          <w:p>
            <w:pPr>
              <w:spacing w:after="0"/>
              <w:rPr>
                <w:sz w:val="1"/>
                <w:szCs w:val="1"/>
                <w:color w:val="auto"/>
              </w:rPr>
            </w:pPr>
          </w:p>
        </w:tc>
      </w:tr>
      <w:tr>
        <w:trPr>
          <w:trHeight w:val="171"/>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(20,174)</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0" w:type="dxa"/>
            <w:vAlign w:val="bottom"/>
          </w:tcPr>
          <w:p>
            <w:pPr>
              <w:spacing w:after="0"/>
              <w:rPr>
                <w:sz w:val="1"/>
                <w:szCs w:val="1"/>
                <w:color w:val="auto"/>
              </w:rPr>
            </w:pPr>
          </w:p>
        </w:tc>
      </w:tr>
      <w:tr>
        <w:trPr>
          <w:trHeight w:val="146"/>
        </w:trPr>
        <w:tc>
          <w:tcPr>
            <w:tcW w:w="7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24,436,317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24,437</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332,666,935</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(100,977)</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(310,582,006)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22,010,589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2,025,500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89,874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607,295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607,528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15,988,683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15,993,683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872,380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(8,845,079)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(8,845,079)</w:t>
            </w:r>
          </w:p>
        </w:tc>
        <w:tc>
          <w:tcPr>
            <w:tcW w:w="0" w:type="dxa"/>
            <w:vAlign w:val="bottom"/>
          </w:tcPr>
          <w:p>
            <w:pPr>
              <w:spacing w:after="0"/>
              <w:rPr>
                <w:sz w:val="1"/>
                <w:szCs w:val="1"/>
                <w:color w:val="auto"/>
              </w:rPr>
            </w:pPr>
          </w:p>
        </w:tc>
      </w:tr>
      <w:tr>
        <w:trPr>
          <w:trHeight w:val="171"/>
        </w:trPr>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(1,788)</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29,956,495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29,957</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$ 352,250,667</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(102,765)</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(319,427,085</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32,752,974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-2366010</wp:posOffset>
            </wp:positionV>
            <wp:extent cx="724662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-2152015</wp:posOffset>
            </wp:positionV>
            <wp:extent cx="72466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-1851660</wp:posOffset>
            </wp:positionV>
            <wp:extent cx="72466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-1457325</wp:posOffset>
            </wp:positionV>
            <wp:extent cx="72466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-1251585</wp:posOffset>
            </wp:positionV>
            <wp:extent cx="7246620"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-1036955</wp:posOffset>
            </wp:positionV>
            <wp:extent cx="724662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-548005</wp:posOffset>
            </wp:positionV>
            <wp:extent cx="724662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-342265</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-136525</wp:posOffset>
            </wp:positionV>
            <wp:extent cx="724662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220"/>
            <w:col w:w="6100"/>
          </w:cols>
          <w:pgMar w:left="240" w:top="117" w:right="25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56"/>
        </w:trPr>
        <w:tc>
          <w:tcPr>
            <w:tcW w:w="70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(8,845,079)</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(9,195,292)</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1,638,038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benefit from fluctuations in other comprehensive income</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(9,557)</w:t>
            </w: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equity method investment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(3,807)</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(284,538)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1,186,352</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6,008,553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income tax payable, accrued expenses and deferred rent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(181,932)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600,101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(7,152,370)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816,529</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(3,523)</w:t>
            </w:r>
          </w:p>
        </w:tc>
      </w:tr>
      <w:tr>
        <w:trPr>
          <w:trHeight w:val="223"/>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3,797,361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364,900</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17,563,752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4,162,261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foreign exchange rates on cash</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10,407,314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4,968,942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11,669,435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6,700,493</w:t>
            </w:r>
          </w:p>
        </w:tc>
        <w:tc>
          <w:tcPr>
            <w:tcW w:w="12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22,076,749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11,669,435</w:t>
            </w:r>
          </w:p>
        </w:tc>
        <w:tc>
          <w:tcPr>
            <w:tcW w:w="12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paid</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60" w:type="dxa"/>
            <w:vAlign w:val="bottom"/>
          </w:tcPr>
          <w:p>
            <w:pPr>
              <w:spacing w:after="0"/>
              <w:rPr>
                <w:sz w:val="20"/>
                <w:szCs w:val="20"/>
                <w:color w:val="auto"/>
              </w:rPr>
            </w:pP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20" w:type="dxa"/>
            <w:vAlign w:val="bottom"/>
          </w:tcPr>
          <w:p>
            <w:pPr>
              <w:spacing w:after="0"/>
              <w:rPr>
                <w:sz w:val="20"/>
                <w:szCs w:val="20"/>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with a commercial focus on the U.S. market. The Company’s current strategy is to focus our development activities on MN-166 (ibudilast) for neurological disorders such as progressive multiple sclerosis (MS), amyotrophic lateral sclerosis (ALS) and substance dependence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methamphetamine dependence, opioid dependence, and alcohol dependence), and MN-001 (tipelukast) for nonalcoholic steatohepatitis (NASH), idiopathic pulmonary fibrosis (IPF) and other fibrotic diseases. The Company’s pipeline also includes MN-221 (bedoradrine) for the treatment of acute exacerbation of asthma and MN-029 (denibulin) for solid tumor cancers.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2015, the Company had available cash and cash equivalents of $22.1 million and working capital of $21.2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380" w:firstLine="518"/>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MediciNova, Inc. and its wholly-owned subsidiaries MediciNova (Europe) Limited, MediciNova Japan, Inc. and Avigen, Inc. All intercompany transactions and balances are eliminated in consolidation. MediciNova (Europe) Limited was incorporated under the laws of England in 2006. As of December 31, 2015, there have been no significant transactions related to MediciNova (Europe)</w:t>
      </w:r>
    </w:p>
    <w:p>
      <w:pPr>
        <w:spacing w:after="0" w:line="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Limited. MediciNova Japan, Inc. was incorporated in Japan in 2007. On December 18, 2009, the Company acquired Avigen, Inc., a Delaware corporation (Avigen), and it became a wholly-owned subsidiary.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Company operates in a single operating segment – the acquisition and development of small molecule therapeutics for the treatment of serious diseases with unmet medical needs.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8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with original maturities of three months or less from the date of purchase. Cash equivalents at December 31, 2015 consisted of money market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and Credit Risk</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Financial instruments, including cash and cash equivalents, accounts payable and accrued liabilities, are carried at cost, which management believes approximates fair value because of the short-term maturity of these instruments.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Company records goodwill and other intangible assets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76"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 Company assesses goodwill and indefinite lived intangible assets for impairment using fair value measurement techniques on an annual basis during the fourth quarter of the year, or more frequently if indicators of impairment exist. The Company periodically re-evaluates the original assumptions and rationale utilized in the establishment of the carrying value and estimated lives of its long-lived assets. The criteria used for these evaluations include management’s estimate of the asset’s continuing ability to generate income from operations and positive cash flows in future periods as well as the strategic significance of any intangible assets in the Company’s business objectives. If assets are considered to be impaired, the impairment recognized is the amount by which the carrying value of the assets exceeds the fair value of the assets.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$2.7 million and $2.9 million for the years ended December 31, 2015 and 2014, respectively.</w:t>
      </w:r>
    </w:p>
    <w:p>
      <w:pPr>
        <w:spacing w:after="0" w:line="176"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$0.3 million and $0.4 million for the years ended December 31, 2015 and 2014,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Potentially dilutive outstanding securities excluded from diluted net loss per common share because of their anti-dilutive effect:</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5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62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1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7"/>
              </w:rPr>
              <w:t>2,200,000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2,200,000</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4,133,969</w:t>
            </w:r>
          </w:p>
        </w:tc>
        <w:tc>
          <w:tcPr>
            <w:tcW w:w="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3,447,969</w:t>
            </w:r>
          </w:p>
        </w:tc>
        <w:tc>
          <w:tcPr>
            <w:tcW w:w="6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3,406,367</w:t>
            </w: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7"/>
              </w:rPr>
              <w:t>3,658,567</w:t>
            </w:r>
          </w:p>
        </w:tc>
        <w:tc>
          <w:tcPr>
            <w:tcW w:w="60" w:type="dxa"/>
            <w:vAlign w:val="bottom"/>
            <w:shd w:val="clear" w:color="auto" w:fill="CFF0FC"/>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7"/>
              </w:rPr>
              <w:t>9,740,336</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9,306,536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Certain reclassifications have been made to the consolidated financial statements to conform to the current year’s presentation.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4" w:name="page55"/>
    <w:bookmarkEnd w:id="54"/>
    <w:p>
      <w:pPr>
        <w:ind w:right="140"/>
        <w:spacing w:after="0" w:line="261" w:lineRule="auto"/>
        <w:rPr>
          <w:sz w:val="20"/>
          <w:szCs w:val="20"/>
          <w:color w:val="auto"/>
        </w:rPr>
      </w:pPr>
      <w:r>
        <w:rPr>
          <w:rFonts w:ascii="Times New Roman" w:cs="Times New Roman" w:eastAsia="Times New Roman" w:hAnsi="Times New Roman"/>
          <w:sz w:val="18"/>
          <w:szCs w:val="18"/>
          <w:color w:val="auto"/>
        </w:rPr>
        <w:t>or services. The Company is required to adopt the amendments beginning January 1, 2018. Early adoption is permitted as of January 1, 2017. The amendments may be applied retrospectively to each prior period presented or retrospectively with the cumulative effect recognized as of the date of initial application. The Company is currently evaluating the impact these amendments will have on its consolidated financial statements and has not decided on the method of adoption.</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August 2014, the FASB issued ASU 2014-15, Presentation of Financial Statements – Going Concern,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will be required to make this evaluation for both annual and interim reporting periods and will have to make certain disclosures if it concludes that substantial doubt exists or when its plans alleviate substantial doubt about the entity’s ability to continue as a going concern. The standard is effective for annual periods ending after December 15, 2016. Early adoption is permitted. After adoption the Company will apply this guidance to assess going concern.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Corporation</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In December 2005, Avigen and Genzyme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us.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in 2013, and license revenue and a receivable of $6.0 million were recorded as no future performance obligation exists. The Company received payment of the amount receivable in January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after 2015. The Company assessed the deliverables in accordance with the authoritative guidance and concluded the existence of one deliverable, research and development services. As such, revenue is being recognizing as the research and development services are performed. The amount received from Kissei, net of the amount recorded as revenue, is included on the balance sheet as long-term deferred revenue and will be recognized as revenue as the remaining services are performed. No revenue was recorded in 2015 or 2014 in connection with the agreement with Kissei.</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6"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prices in active markets;</w:t>
      </w:r>
    </w:p>
    <w:p>
      <w:pPr>
        <w:spacing w:after="0" w:line="131" w:lineRule="exact"/>
        <w:rPr>
          <w:sz w:val="20"/>
          <w:szCs w:val="20"/>
          <w:color w:val="auto"/>
        </w:rPr>
      </w:pPr>
    </w:p>
    <w:p>
      <w:pPr>
        <w:ind w:left="1560" w:right="660" w:hanging="1039"/>
        <w:spacing w:after="0" w:line="282" w:lineRule="auto"/>
        <w:tabs>
          <w:tab w:leader="none" w:pos="15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67"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due to little or no market data, which require the reporting entity to develop its own assumptions</w:t>
      </w:r>
    </w:p>
    <w:p>
      <w:pPr>
        <w:spacing w:after="0" w:line="225"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Cash equivalents, including money market accounts of $21.9 million and $11.5 million measured at fair value as of December 31, 2015 and 2014, respectively, are classified within Level 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2"/>
                <w:szCs w:val="12"/>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250,286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253,350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238,651</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238,655</w:t>
            </w:r>
          </w:p>
        </w:tc>
      </w:tr>
      <w:tr>
        <w:trPr>
          <w:trHeight w:val="210"/>
        </w:trPr>
        <w:tc>
          <w:tcPr>
            <w:tcW w:w="5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506,792</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(483,242)</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(461,948)</w:t>
            </w:r>
          </w:p>
        </w:tc>
      </w:tr>
      <w:tr>
        <w:trPr>
          <w:trHeight w:val="263"/>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44,844</w:t>
            </w:r>
          </w:p>
        </w:tc>
        <w:tc>
          <w:tcPr>
            <w:tcW w:w="80" w:type="dxa"/>
            <w:vAlign w:val="bottom"/>
            <w:tcBorders>
              <w:bottom w:val="single" w:sz="8" w:color="CFF0FC"/>
            </w:tcBorders>
          </w:tcPr>
          <w:p>
            <w:pPr>
              <w:spacing w:after="0"/>
              <w:rPr>
                <w:sz w:val="22"/>
                <w:szCs w:val="22"/>
                <w:color w:val="auto"/>
              </w:rPr>
            </w:pPr>
          </w:p>
        </w:tc>
      </w:tr>
      <w:tr>
        <w:trPr>
          <w:trHeight w:val="197"/>
        </w:trPr>
        <w:tc>
          <w:tcPr>
            <w:tcW w:w="54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26,704</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40,186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uses the straight-line method to record depreciation expense with useful lives of three to five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92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2"/>
                <w:szCs w:val="12"/>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218,096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151,126</w:t>
            </w:r>
          </w:p>
        </w:tc>
        <w:tc>
          <w:tcPr>
            <w:tcW w:w="8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83,914</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66,761</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859,151</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786,494</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158,559</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127,643</w:t>
            </w:r>
          </w:p>
        </w:tc>
      </w:tr>
      <w:tr>
        <w:trPr>
          <w:trHeight w:val="210"/>
        </w:trPr>
        <w:tc>
          <w:tcPr>
            <w:tcW w:w="392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1,319,720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1,132,024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December 31, 2015, is included on the balance sheet at December 31, 2015 as deferred revenue and will be recognized as revenue in future periods as the Company performs the remaining services.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May 9, 2013, the Company entered into a securities purchase agreement with certain accredited investors pursuant to which the Company agreed to sell to the investors 1,158,730 shares of common stock and warrants to purchase an aggregate of 869,047 shares of common stock (the “Private Placement”). The Private Placement closed on May 14, 2013. The Private Placement included issuance of shares of common stock and a warrant to purchase shares of common stock to Fountain Erika LLC (“Fountain Erika”), an entity of which Tatsuo Izumi, a member of the Company’s board of directors at that time, is a principal. The warrant was subsequently</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56" w:name="page57"/>
    <w:bookmarkEnd w:id="56"/>
    <w:p>
      <w:pPr>
        <w:ind w:right="240"/>
        <w:spacing w:after="0" w:line="282" w:lineRule="auto"/>
        <w:rPr>
          <w:sz w:val="20"/>
          <w:szCs w:val="20"/>
          <w:color w:val="auto"/>
        </w:rPr>
      </w:pPr>
      <w:r>
        <w:rPr>
          <w:rFonts w:ascii="Times New Roman" w:cs="Times New Roman" w:eastAsia="Times New Roman" w:hAnsi="Times New Roman"/>
          <w:sz w:val="18"/>
          <w:szCs w:val="18"/>
          <w:color w:val="auto"/>
        </w:rPr>
        <w:t>amended on May 29, 2013. Fountain Erika’s acquisition of the shares of common stock and a warrant to purchase shares of the Company’s common stock was at an “at the market” price.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subleases its office space under an operating lease with an initial term of four years and nine months, expiring in November 2017. Rent expense for the years ended December 31, 2015 and 2014 was $240,419 and $231,143, respectively. The difference between the minimum lease payments and the straight-line amount of total rent expense is recorded as deferred rent. Deferred rent at December 31, 2015 and 2014 was $16,921 and $16,536, respectively.</w:t>
      </w:r>
    </w:p>
    <w:p>
      <w:pPr>
        <w:spacing w:after="0" w:line="180"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2015, the total estimated future annual minimum lease payments under the Company’s non-cancelable building and copier leases for the years ending after December 31, 2015 are as follows: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178,574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439,141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No amounts have been expended under these agreements during the years ended December 31, 2015 or 2014. For products currently in development, future potential milestone payments based on product development are $10.0 million as of December 31, 2015. For all other products, future potential milestone payments related to development milestones and commercialization milestones totaled $50.8 million as of December 31, 2015.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Joint Venture</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7" w:name="page58"/>
    <w:bookmarkEnd w:id="57"/>
    <w:p>
      <w:pPr>
        <w:ind w:right="40"/>
        <w:spacing w:after="0" w:line="269" w:lineRule="auto"/>
        <w:rPr>
          <w:sz w:val="20"/>
          <w:szCs w:val="20"/>
          <w:color w:val="auto"/>
        </w:rPr>
      </w:pPr>
      <w:r>
        <w:rPr>
          <w:rFonts w:ascii="Times New Roman" w:cs="Times New Roman" w:eastAsia="Times New Roman" w:hAnsi="Times New Roman"/>
          <w:sz w:val="17"/>
          <w:szCs w:val="17"/>
          <w:color w:val="auto"/>
        </w:rPr>
        <w:t>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2015, Beijing Medfron Medical Technologies Co., Ltd. and MediciNova each have a 50% interest in Zhejiang</w:t>
      </w: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Sunmy. No additional capital was contributed by either remaining party</w:t>
      </w:r>
      <w:r>
        <w:rPr>
          <w:sz w:val="20"/>
          <w:szCs w:val="20"/>
          <w:color w:val="auto"/>
        </w:rPr>
        <w:tab/>
      </w:r>
      <w:r>
        <w:rPr>
          <w:rFonts w:ascii="Times New Roman" w:cs="Times New Roman" w:eastAsia="Times New Roman" w:hAnsi="Times New Roman"/>
          <w:sz w:val="17"/>
          <w:szCs w:val="17"/>
          <w:color w:val="auto"/>
        </w:rPr>
        <w:t>and the Company has no future funding obligations.</w:t>
      </w:r>
    </w:p>
    <w:p>
      <w:pPr>
        <w:spacing w:after="0" w:line="20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December 31, 2015, the investment is reflected as a long-term asset on the Company’s consolidated balance sheet which represents the investment and maximum loss exposure in Zhejiang Sunmy, net of the Company’s portion of any generated loss or income.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2015, 1,673,825 options remain available for future grant under the 2013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Options granted under the 2013 Plan and 2004 Plan have terms of ten years from the date of grant unless earlier terminated and generally vest over a three or four-year period.</w:t>
      </w:r>
    </w:p>
    <w:p>
      <w:pPr>
        <w:spacing w:after="0" w:line="162"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 exercise price of all options granted during the years ended December 31, 2015 and 2014 was equal to the market value of the Company’s common stock on the date of grant.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for the years ended December 31, 2015 and 2014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20" w:type="dxa"/>
            <w:vAlign w:val="bottom"/>
            <w:tcBorders>
              <w:top w:val="single" w:sz="8" w:color="auto"/>
            </w:tcBorders>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2015</w:t>
            </w:r>
          </w:p>
        </w:tc>
        <w:tc>
          <w:tcPr>
            <w:tcW w:w="17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689,000</w:t>
            </w:r>
          </w:p>
        </w:tc>
        <w:tc>
          <w:tcPr>
            <w:tcW w:w="12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4,133,969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Exercisable at December 31, 2015</w:t>
            </w:r>
          </w:p>
        </w:tc>
        <w:tc>
          <w:tcPr>
            <w:tcW w:w="2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gridSpan w:val="2"/>
            <w:vMerge w:val="continue"/>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3,252,473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2015</w:t>
            </w:r>
          </w:p>
        </w:tc>
        <w:tc>
          <w:tcPr>
            <w:tcW w:w="17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4,133,969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00" w:type="dxa"/>
            <w:vAlign w:val="bottom"/>
            <w:vMerge w:val="restart"/>
          </w:tcPr>
          <w:p>
            <w:pPr>
              <w:jc w:val="right"/>
              <w:ind w:right="1294"/>
              <w:spacing w:after="0"/>
              <w:rPr>
                <w:sz w:val="20"/>
                <w:szCs w:val="20"/>
                <w:color w:val="auto"/>
              </w:rPr>
            </w:pPr>
            <w:r>
              <w:rPr>
                <w:rFonts w:ascii="Times New Roman" w:cs="Times New Roman" w:eastAsia="Times New Roman" w:hAnsi="Times New Roman"/>
                <w:sz w:val="18"/>
                <w:szCs w:val="18"/>
                <w:color w:val="auto"/>
              </w:rPr>
              <w:t>56</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58" w:name="page59"/>
    <w:bookmarkEnd w:id="58"/>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60" w:type="dxa"/>
            <w:vAlign w:val="bottom"/>
          </w:tcPr>
          <w:p>
            <w:pPr>
              <w:spacing w:after="0"/>
              <w:rPr>
                <w:sz w:val="11"/>
                <w:szCs w:val="11"/>
                <w:color w:val="auto"/>
              </w:rPr>
            </w:pPr>
          </w:p>
        </w:tc>
        <w:tc>
          <w:tcPr>
            <w:tcW w:w="130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11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3,217,043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(49,074)</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3,008,317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Cash received from stock option exercises for the years ended December 31, 2015 and 2014 was $0 and $51,350, respectively. The aggregate intrinsic value of options exercised during 2014 was $8,485. Options outstanding and exercisable at December 31, 2015 had a weighted average contractual life of 5.76 and 4.92 years,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2015, the total intrinsic value of options outstanding and exercisable was $1.9 million and $1.6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88"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2015, an aggregate of 35,178 shares were issued under the ESPP, leaving 195,775 shares available for future issuance.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6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54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6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54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62.65%</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4" w:right="319" w:bottom="1440" w:gutter="0" w:footer="0" w:header="0"/>
        </w:sectPr>
      </w:pPr>
    </w:p>
    <w:bookmarkStart w:id="59" w:name="page60"/>
    <w:bookmarkEnd w:id="59"/>
    <w:p>
      <w:pPr>
        <w:ind w:right="240"/>
        <w:spacing w:after="0" w:line="266" w:lineRule="auto"/>
        <w:rPr>
          <w:sz w:val="20"/>
          <w:szCs w:val="20"/>
          <w:color w:val="auto"/>
        </w:rPr>
      </w:pPr>
      <w:r>
        <w:rPr>
          <w:rFonts w:ascii="Times New Roman" w:cs="Times New Roman" w:eastAsia="Times New Roman" w:hAnsi="Times New Roman"/>
          <w:sz w:val="18"/>
          <w:szCs w:val="18"/>
          <w:color w:val="auto"/>
        </w:rPr>
        <w:t>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76"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years ended December 31, 2015 and 2014, estimated as of the grant date using the Black-Scholes option valuation model, was $2.08 per option and $1.58 per option, respectively.</w:t>
      </w:r>
    </w:p>
    <w:p>
      <w:pPr>
        <w:spacing w:after="0" w:line="162"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stock option awards and ESPP shares are reflected in total operating expense for each respective year. For the years ended December 31, 2015 and 2014, share-based compensation expense related to stock options and the ESPP was $2.0 million and $1.6 million, respectively, of which $1.5 million and $1.2 million was recorded as a component of general and administrative expense, respectively, and $0.5 million and $0.4 million was recorded as a component of research, development and patents expense, respectively.</w:t>
      </w:r>
    </w:p>
    <w:p>
      <w:pPr>
        <w:spacing w:after="0" w:line="180"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2015, there was $0.6 million of unamortized compensation cost related to unvested stock option awards which is expected to be recognized over a remaining weighted-average vesting period of 0.5 years, on a straight-line basis.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On August 24, 2015, the Company completed a firm-commitment underwritten public offering of 5,000,000 shares of common stock at a purchase price of $3.50 per share for aggregate gross proceeds of $17.5 million, and received aggregate net proceeds of approximately $16.0 million, net of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For the year ended December 31, 2015, the Company has generated gross proceeds of $32,700 and incurred issuance costs of $121,500 under this agreement on sales of 7,800 shares of the Company’s common stock at prices ranging from $4.16 to $4.23 per share.</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October 16, 2013, the Company entered into an at-the-market equity distribution agreement with Macquarie Capital (USA) Inc., or MCUSA, pursuant to which the Company could sell common stock through MCUSA from time to time up to an aggregate offering price of $10.0 million. The at-the-market equity distribution agreement with MCUSA was terminated on May 22, 2015, and as of such date, the Company had completed sales to MCUSA totaling 2,127,500 shares of common stock at prices ranging from $2.01 to $4.45 per share, generating gross and net proceeds of $5.3 million and $4.5 million, respectively. For the year ended December 31, 2015, the Company generated gross and net proceeds of $0.9 million and $0.7 million, respectively, on the sale of 225,000 shares of common stock under this agreement. For the year ended December 31, 2014, the Company generated gross and net proceeds of $4.1 million and $3.7 million, respectively, on the sale of 1,785,000 shares of common stock. Net proceeds are calculated as gross proceeds less commissions and other issuance costs.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Stock Purchase</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In October 2011, pursuant to a stock purchase agreement by and between the Company and Kissei Pharmaceutical Co., Ltd., or Kissei, Kissei purchased (i) an aggregate of 800,000 shares of the Company’s common stock, par value $0.001 per share at a price of $2.50 per share, and (ii) 220,000 shares of the Company’s Series B Convertible Preferred Stock, par value $0.01 per share, at a price of $25.00 per share. In October 2011 the Company received gross proceeds of $7.5 million related to this purchase agreement. The purchase agreement contains a standstill agreement from Kissei that terminates if Kissei beneficially owns less than three percent of the Company’s outstanding voting stock. Each share of the Series B Preferred Stock is convertible into 10 shares of common stock. The Series B Preferred ranks pari passu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tc>
        <w:tc>
          <w:tcPr>
            <w:tcW w:w="14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Company has the following warrants outstanding as of December 31, 2015:</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2,339,300 common stock warrants at an exercise price of $3.56 and expire on March 29, 2016</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750,000 common stock warrants at an exercise price of $3.15 and expire on May 9, 2018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198,020 common stock warrants at an exercise price of $6.06 and expire on May 10, 2017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119,047 common stock warrants at an exercise price of $3.38 and expire on May 9, 2018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common stock reserved for future issuance at December 31, 2015:</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5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issuance upon conversion of</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2,200,000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issuance under the ESPP</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issuance upon exercise of warrants</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3,406,367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issuance upon exercise of options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(under the 2004 Plan and 2013 Plan)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4,133,969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equity awards (under the 2013</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1,673,825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11,609,936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loss before income taxes for domestic and foreign locations for the years ended December 31, 2015 and 2014 is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54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(8,866,201)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(9,227,509)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(8,837,720</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(9,199,264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income tax expense for the years ended December 31, 2015 and 2014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Current:</w:t>
            </w: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9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9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9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9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19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color w:val="auto"/>
        </w:rPr>
        <w:t>The significant components of deferred income taxes at December 31, 2015 and 2014 are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5"/>
                <w:szCs w:val="15"/>
                <w:color w:val="auto"/>
              </w:rPr>
            </w:pPr>
          </w:p>
        </w:tc>
        <w:tc>
          <w:tcPr>
            <w:tcW w:w="24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88,900,000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licenses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tax credits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7,677,000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763,000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101,048,000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99,850,000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process R&amp;D</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(1,956,000)</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99,092,000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(101,048,000)</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(99,850,000)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2015, the Company has federal and California net operating losses, or NOL, carryforwards of approximately $223.1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$188.1 million, respectively. The federal NOL carryforwards begin to expire in 2020, and the California NOL carryforwards continue to expire in 2016.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that $74.3 million in California NOL carryforwards will expire by 2017 and the remaining $113.8 million in California NOL carryforwards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begin to expire in 2028. At December 31, 2015, the Company also had federal and California research tax credit carryforwards of approximately $6.6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$1.6 million, respectively. The federal research tax credit carryforwards begin to expire in 2024, and the California research tax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 does not expire and can be carried forward indefinitely until utilized. As of December 31, 2015, the Company’s federal and California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carryovers have expired.</w:t>
      </w:r>
    </w:p>
    <w:p>
      <w:pPr>
        <w:spacing w:after="0" w:line="207"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3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530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6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attributes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530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300" w:type="dxa"/>
            <w:vAlign w:val="bottom"/>
            <w:tcBorders>
              <w:top w:val="single" w:sz="8" w:color="CFF0FC"/>
              <w:bottom w:val="single" w:sz="8" w:color="CFF0FC"/>
            </w:tcBorders>
            <w:vMerge w:val="restart"/>
          </w:tcPr>
          <w:p>
            <w:pPr>
              <w:ind w:left="3900"/>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vMerge w:val="continue"/>
          </w:tcPr>
          <w:p>
            <w:pPr>
              <w:spacing w:after="0"/>
              <w:rPr>
                <w:sz w:val="24"/>
                <w:szCs w:val="24"/>
                <w:color w:val="auto"/>
              </w:rPr>
            </w:pPr>
          </w:p>
        </w:tc>
        <w:tc>
          <w:tcPr>
            <w:tcW w:w="53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2" w:right="219" w:bottom="1440" w:gutter="0" w:footer="0" w:header="0"/>
        </w:sectPr>
      </w:pPr>
    </w:p>
    <w:bookmarkStart w:id="62" w:name="page63"/>
    <w:bookmarkEnd w:id="62"/>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2015, there are no unrecognized tax benefits, and there are not significant accruals for interest related to unrecognized tax benefits or tax penalties.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Savings Plan</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Company has an employee savings plan available to substantially all employees. Under the plan, an employee may elect salary reductions which are contributed to the plan. The plan provides for discretionary contributions by us, which totaled $64,749 and $63,935 for the years ended December 31, 2015 and 2014,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Quarterly Financial Data (Unaudited)</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quarterly financial data for eight consecutive quarters ended December 31, 2015. The unaudited quarterly information has been prepared on the same basis as the audited consolidated financial statements and, in the opinion of management, includes all adjustments, necessary for a fair presentation of this data (in thousands, except per share data).</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2nd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4th</w:t>
            </w:r>
          </w:p>
        </w:tc>
        <w:tc>
          <w:tcPr>
            <w:tcW w:w="100" w:type="dxa"/>
            <w:vAlign w:val="bottom"/>
          </w:tcPr>
          <w:p>
            <w:pPr>
              <w:spacing w:after="0"/>
              <w:rPr>
                <w:sz w:val="11"/>
                <w:szCs w:val="11"/>
                <w:color w:val="auto"/>
              </w:rPr>
            </w:pPr>
          </w:p>
        </w:tc>
      </w:tr>
      <w:tr>
        <w:trPr>
          <w:trHeight w:val="173"/>
        </w:trPr>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(2,735)</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(2,735)</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share(1)</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r>
      <w:tr>
        <w:trPr>
          <w:trHeight w:val="378"/>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2nd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4th</w:t>
            </w:r>
          </w:p>
        </w:tc>
        <w:tc>
          <w:tcPr>
            <w:tcW w:w="100" w:type="dxa"/>
            <w:vAlign w:val="bottom"/>
          </w:tcPr>
          <w:p>
            <w:pPr>
              <w:spacing w:after="0"/>
              <w:rPr>
                <w:sz w:val="11"/>
                <w:szCs w:val="11"/>
                <w:color w:val="auto"/>
              </w:rPr>
            </w:pPr>
          </w:p>
        </w:tc>
      </w:tr>
      <w:tr>
        <w:trPr>
          <w:trHeight w:val="173"/>
        </w:trPr>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share(1)</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30" w:lineRule="exact"/>
        <w:rPr>
          <w:sz w:val="20"/>
          <w:szCs w:val="20"/>
          <w:color w:val="auto"/>
        </w:rPr>
      </w:pPr>
    </w:p>
    <w:p>
      <w:pPr>
        <w:ind w:left="520" w:right="2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loss per share is computed independently for each of the quarters presented. The sum of the quarterly net income and loss per share will not necessarily equal the total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690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Subsequent to December 31, 2015 through the date of this report, the Company has generated gross proceeds of $0.4 million from the exercise of warrants to purchase an aggregate of 125,300 shares of common stock and gross proceeds of $40,000 from the exercise of options to purchase 16,715 shares of common stock.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2015, our disclosure controls and procedures were effective.</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280" w:hanging="25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520" w:right="220" w:firstLine="501"/>
        <w:spacing w:after="0" w:line="266" w:lineRule="auto"/>
        <w:tabs>
          <w:tab w:leader="none" w:pos="1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68" w:lineRule="exact"/>
        <w:rPr>
          <w:rFonts w:ascii="Times New Roman" w:cs="Times New Roman" w:eastAsia="Times New Roman" w:hAnsi="Times New Roman"/>
          <w:sz w:val="18"/>
          <w:szCs w:val="18"/>
          <w:color w:val="auto"/>
        </w:rPr>
      </w:pPr>
    </w:p>
    <w:p>
      <w:pPr>
        <w:ind w:left="520" w:right="380" w:firstLine="501"/>
        <w:spacing w:after="0" w:line="282" w:lineRule="auto"/>
        <w:tabs>
          <w:tab w:leader="none" w:pos="1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89"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2015.</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0" w:right="299" w:bottom="1440" w:gutter="0" w:footer="0" w:header="0"/>
        </w:sectPr>
      </w:pPr>
    </w:p>
    <w:bookmarkStart w:id="64" w:name="page65"/>
    <w:bookmarkEnd w:id="64"/>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BDO USA,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2015.</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MediciNova, Inc.’s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(the COSO criteria). MediciNova, Inc.’s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MediciNova, Inc. maintained, in all material respects, effective internal control over financial reporting as of December 31, 2015, based on the COSO criteria</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 of MediciNova, Inc. as of December 31, 2015, and the related consolidated statements of operations and comprehensive loss, stockholders’ equity, and cash flows for the year then ended and our report dated February 25, 2016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bookmarkStart w:id="67" w:name="page68"/>
    <w:bookmarkEnd w:id="6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2016 Annual Meeting of Stockholders to be filed with the SEC within 120 days after the conclusion of our fiscal year ended December 31, 2015 and is incorporated in this Annual Report on Form 10-K by reference.</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Times New Roman" w:cs="Times New Roman" w:eastAsia="Times New Roman" w:hAnsi="Times New Roman"/>
          <w:sz w:val="18"/>
          <w:szCs w:val="18"/>
          <w:i w:val="1"/>
          <w:iCs w:val="1"/>
          <w:color w:val="auto"/>
        </w:rPr>
        <w:t>www.medicinova.com</w:t>
      </w:r>
      <w:r>
        <w:rPr>
          <w:rFonts w:ascii="Times New Roman" w:cs="Times New Roman" w:eastAsia="Times New Roman" w:hAnsi="Times New Roman"/>
          <w:sz w:val="18"/>
          <w:szCs w:val="18"/>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 titled “Executive Compensation” in our Proxy Statement and is incorporated in this Annual Report on Form 10-K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940" w:firstLine="518"/>
        <w:spacing w:after="0" w:line="282" w:lineRule="auto"/>
        <w:rPr>
          <w:sz w:val="20"/>
          <w:szCs w:val="20"/>
          <w:color w:val="auto"/>
        </w:rPr>
      </w:pPr>
      <w:r>
        <w:rPr>
          <w:rFonts w:ascii="Times New Roman" w:cs="Times New Roman" w:eastAsia="Times New Roman" w:hAnsi="Times New Roman"/>
          <w:sz w:val="18"/>
          <w:szCs w:val="18"/>
          <w:color w:val="auto"/>
        </w:rPr>
        <w:t>Certain of the information required by this item will be contained in section titled “Security Ownership of Certain Beneficial Owners and Management” the Proxy Statement and is incorporated in this Annual Report on Form 10-K by reference.</w:t>
      </w:r>
    </w:p>
    <w:p>
      <w:pPr>
        <w:spacing w:after="0" w:line="16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2015 with respect to the shares of our common stock that may be issued under our existing equity compensation plans.</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3"/>
        </w:trPr>
        <w:tc>
          <w:tcPr>
            <w:tcW w:w="4100" w:type="dxa"/>
            <w:vAlign w:val="bottom"/>
            <w:gridSpan w:val="3"/>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Stockholders(1)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4,133,969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right="300" w:hanging="512"/>
        <w:spacing w:after="0" w:line="289"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9690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80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780" w:hanging="254"/>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filed as part of this report.</w:t>
      </w:r>
    </w:p>
    <w:p>
      <w:pPr>
        <w:spacing w:after="0" w:line="225" w:lineRule="exact"/>
        <w:rPr>
          <w:sz w:val="20"/>
          <w:szCs w:val="20"/>
          <w:color w:val="auto"/>
        </w:rPr>
      </w:pPr>
    </w:p>
    <w:p>
      <w:pPr>
        <w:ind w:right="280" w:firstLine="526"/>
        <w:spacing w:after="0" w:line="284" w:lineRule="auto"/>
        <w:tabs>
          <w:tab w:leader="none" w:pos="6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of MediciNova, Inc. and Reports of BDO USA, LLP and Ernst &amp; Young, LLP, each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are included in this Annual Report on Form 10-K: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60" w:type="dxa"/>
            <w:vAlign w:val="bottom"/>
            <w:gridSpan w:val="11"/>
            <w:vMerge w:val="restart"/>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Reports of Independent Registered Public Accounting Firms</w:t>
              </w:r>
            </w:hyperlink>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60" w:type="dxa"/>
            <w:vAlign w:val="bottom"/>
            <w:gridSpan w:val="11"/>
            <w:vMerge w:val="continue"/>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Consolidated Balance Sheets</w:t>
              </w:r>
            </w:hyperlink>
          </w:p>
        </w:tc>
        <w:tc>
          <w:tcPr>
            <w:tcW w:w="9080" w:type="dxa"/>
            <w:vAlign w:val="bottom"/>
            <w:gridSpan w:val="7"/>
          </w:tcPr>
          <w:p>
            <w:pPr>
              <w:spacing w:after="0"/>
              <w:rPr>
                <w:sz w:val="17"/>
                <w:szCs w:val="17"/>
                <w:color w:val="auto"/>
              </w:rPr>
            </w:pPr>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180" w:type="dxa"/>
            <w:vAlign w:val="bottom"/>
            <w:gridSpan w:val="12"/>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Statements of Operations and Comprehensive Loss</w:t>
              </w:r>
            </w:hyperlink>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Consolidated Statements of Stockholders’ Equity</w:t>
              </w:r>
            </w:hyperlink>
          </w:p>
        </w:tc>
        <w:tc>
          <w:tcPr>
            <w:tcW w:w="1120" w:type="dxa"/>
            <w:vAlign w:val="bottom"/>
            <w:tcBorders>
              <w:top w:val="single" w:sz="8" w:color="0000EE"/>
            </w:tcBorders>
            <w:gridSpan w:val="2"/>
          </w:tcPr>
          <w:p>
            <w:pPr>
              <w:spacing w:after="0"/>
              <w:rPr>
                <w:sz w:val="17"/>
                <w:szCs w:val="17"/>
                <w:color w:val="auto"/>
              </w:rPr>
            </w:pPr>
          </w:p>
        </w:tc>
        <w:tc>
          <w:tcPr>
            <w:tcW w:w="6500" w:type="dxa"/>
            <w:vAlign w:val="bottom"/>
            <w:gridSpan w:val="2"/>
          </w:tcPr>
          <w:p>
            <w:pPr>
              <w:spacing w:after="0"/>
              <w:rPr>
                <w:sz w:val="17"/>
                <w:szCs w:val="17"/>
                <w:color w:val="auto"/>
              </w:rPr>
            </w:pPr>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Consolidated Statements of Cash Flows</w:t>
              </w:r>
            </w:hyperlink>
          </w:p>
        </w:tc>
        <w:tc>
          <w:tcPr>
            <w:tcW w:w="8300" w:type="dxa"/>
            <w:vAlign w:val="bottom"/>
            <w:gridSpan w:val="6"/>
          </w:tcPr>
          <w:p>
            <w:pPr>
              <w:spacing w:after="0"/>
              <w:rPr>
                <w:sz w:val="17"/>
                <w:szCs w:val="17"/>
                <w:color w:val="auto"/>
              </w:rPr>
            </w:pPr>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1180" w:type="dxa"/>
            <w:vAlign w:val="bottom"/>
            <w:gridSpan w:val="12"/>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Notes to Consolidated Financial Statements</w:t>
              </w:r>
            </w:hyperlink>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80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None.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Exhibits.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300" w:type="dxa"/>
            <w:vAlign w:val="bottom"/>
            <w:gridSpan w:val="8"/>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540" w:type="dxa"/>
            <w:vAlign w:val="bottom"/>
            <w:tcBorders>
              <w:top w:val="single" w:sz="8" w:color="auto"/>
            </w:tcBorders>
            <w:gridSpan w:val="9"/>
          </w:tcPr>
          <w:p>
            <w:pPr>
              <w:spacing w:after="0" w:line="191" w:lineRule="exact"/>
              <w:rPr>
                <w:sz w:val="20"/>
                <w:szCs w:val="20"/>
                <w:color w:val="auto"/>
              </w:rPr>
            </w:pPr>
            <w:r>
              <w:rPr>
                <w:rFonts w:ascii="Times New Roman" w:cs="Times New Roman" w:eastAsia="Times New Roman" w:hAnsi="Times New Roman"/>
                <w:sz w:val="18"/>
                <w:szCs w:val="18"/>
                <w:color w:val="auto"/>
              </w:rPr>
              <w:t>Restated Certificate of Incorporation of the Registrant, as amended (incorporated by reference to Exhibit 3.1 of the Registrant’s Quarterly Report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on Form 10-Q filed August 9, 2012).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3.4 of the Registrant’s Registration Statement on Form S-1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 No. 333-119433) filed October 1, 2004).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 of Designation, Preferences and Rights of the Series B Convertible Preferred Stock (incorporated by reference to Exhibit 3.1 of the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 No. 001-33185) filed September 27, 2011).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Specimen of Common Stock Certificate (incorporated by reference to Exhibit 4.1 of the Registrant’s Annual Report on Form 10-K (File No. 001-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33185) filed February 15, 2007).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September 2, 2004, by and among the Registrant, its founders and the investors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named therein (incorporated by reference to Exhibit 4.2 of the Registrant’s Registration Statement on Form S-1 (File No. 333-119433) filed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October 1, 2004).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80" w:right="140" w:hanging="78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Warrant, dated May 10, 2010, issued to Oxford Finance Corporation (incorporated by reference to Exhibit 4.1 of the Registrant’s Current Report on Form 8-K (File No. 001-33185) filed May 14, 2010).</w:t>
      </w:r>
    </w:p>
    <w:p>
      <w:pPr>
        <w:spacing w:after="0" w:line="67" w:lineRule="exact"/>
        <w:rPr>
          <w:sz w:val="20"/>
          <w:szCs w:val="20"/>
          <w:color w:val="auto"/>
        </w:rPr>
      </w:pPr>
    </w:p>
    <w:p>
      <w:pPr>
        <w:ind w:left="880" w:right="680" w:hanging="78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Form of Warrant to Purchase Common Stock, dated March 29, 2011 (incorporated by reference to Exhibit 4.1 of the Registrant’s Current Report 8-K (File No. 001-33185) filed March 24, 2011).</w:t>
      </w:r>
    </w:p>
    <w:p>
      <w:pPr>
        <w:spacing w:after="0" w:line="67" w:lineRule="exact"/>
        <w:rPr>
          <w:sz w:val="20"/>
          <w:szCs w:val="20"/>
          <w:color w:val="auto"/>
        </w:rPr>
      </w:pPr>
    </w:p>
    <w:p>
      <w:pPr>
        <w:ind w:left="880" w:right="340" w:hanging="78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Warrant, dated August 22, 2012, issued to Redington, Inc., as amended (incorporated by reference to Exhibit 4.8 of the Registrant’s Quarterly Report on Form 10-Q filed November 8, 2012).</w:t>
      </w:r>
    </w:p>
    <w:p>
      <w:pPr>
        <w:spacing w:after="0" w:line="67" w:lineRule="exact"/>
        <w:rPr>
          <w:sz w:val="20"/>
          <w:szCs w:val="20"/>
          <w:color w:val="auto"/>
        </w:rPr>
      </w:pPr>
    </w:p>
    <w:p>
      <w:pPr>
        <w:ind w:left="880" w:right="480" w:hanging="78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Form of Warrant to Purchase Common Stock, dated May 14, 2013, issued to Samurai Investments San Diego LLC and Fountain Erika LLC (incorporated by reference to Exhibit 4.1 of the Registrant’s Current Report on Form 8-K filed May 10, 2013).</w:t>
      </w:r>
    </w:p>
    <w:p>
      <w:pPr>
        <w:spacing w:after="0" w:line="67" w:lineRule="exact"/>
        <w:rPr>
          <w:sz w:val="20"/>
          <w:szCs w:val="20"/>
          <w:color w:val="auto"/>
        </w:rPr>
      </w:pPr>
    </w:p>
    <w:p>
      <w:pPr>
        <w:ind w:left="880" w:right="280" w:hanging="78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Amendment No. 1 to Warrant, dated May 29, 2013, entered into between the Registrant and Fountain Erika LLC (incorporated by reference to Exhibit 4.8 of the Registrant’s Annual Report on Form 10-K filed March 27, 2014).</w:t>
      </w:r>
    </w:p>
    <w:p>
      <w:pPr>
        <w:spacing w:after="0" w:line="67" w:lineRule="exact"/>
        <w:rPr>
          <w:sz w:val="20"/>
          <w:szCs w:val="20"/>
          <w:color w:val="auto"/>
        </w:rPr>
      </w:pPr>
    </w:p>
    <w:p>
      <w:pPr>
        <w:ind w:left="880" w:right="1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Amended and Restated 2004 Stock Incentive Plan of the Registrant (incorporated by reference to Exhibit 10.2 of the Registrant’s Annual Report on Form 10-K filed March 29, 2012).</w:t>
      </w:r>
    </w:p>
    <w:p>
      <w:pPr>
        <w:spacing w:after="0" w:line="67" w:lineRule="exact"/>
        <w:rPr>
          <w:sz w:val="20"/>
          <w:szCs w:val="20"/>
          <w:color w:val="auto"/>
        </w:rPr>
      </w:pPr>
    </w:p>
    <w:p>
      <w:pPr>
        <w:ind w:left="880" w:right="1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Indemnity Agreement between the Registrant and its officers and directors (incorporated by reference to Exhibit 10.3 of the Registrant’s Annual Report on Form 10-K filed March 28, 2013).</w:t>
      </w:r>
    </w:p>
    <w:p>
      <w:pPr>
        <w:spacing w:after="0" w:line="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License Agreement, dated March 14, 2002, between the Registrant and Kyorin Pharmaceutical Co., Ltd. (incorporated by reference to Exhibit</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10.4 of the Registrant’s Registration Statement on Form S-1, as amended (File No. 333-119433), originally filed on October 1, 2004).</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License Agreement, dated June 19, 2002, between the Registrant and Angiogene Pharmaceuticals, Ltd. (incorporated by</w:t>
      </w:r>
    </w:p>
    <w:p>
      <w:pPr>
        <w:spacing w:after="0" w:line="7" w:lineRule="exact"/>
        <w:rPr>
          <w:sz w:val="20"/>
          <w:szCs w:val="20"/>
          <w:color w:val="auto"/>
        </w:rPr>
      </w:pPr>
    </w:p>
    <w:p>
      <w:pPr>
        <w:ind w:left="880" w:right="120"/>
        <w:spacing w:after="0" w:line="261" w:lineRule="auto"/>
        <w:rPr>
          <w:sz w:val="20"/>
          <w:szCs w:val="20"/>
          <w:color w:val="auto"/>
        </w:rPr>
      </w:pPr>
      <w:r>
        <w:rPr>
          <w:rFonts w:ascii="Times New Roman" w:cs="Times New Roman" w:eastAsia="Times New Roman" w:hAnsi="Times New Roman"/>
          <w:sz w:val="18"/>
          <w:szCs w:val="18"/>
          <w:color w:val="auto"/>
        </w:rPr>
        <w:t>reference to Exhibit 10.5 of the Registrant’s Registration Statement on Form S-1, as amended (File No. 333-119433), originally filed on October 1, 2004).</w:t>
      </w:r>
    </w:p>
    <w:p>
      <w:pPr>
        <w:spacing w:after="0" w:line="85" w:lineRule="exact"/>
        <w:rPr>
          <w:sz w:val="20"/>
          <w:szCs w:val="20"/>
          <w:color w:val="auto"/>
        </w:rPr>
      </w:pPr>
    </w:p>
    <w:p>
      <w:pPr>
        <w:ind w:left="880" w:hanging="877"/>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Exclusive License Agreement, dated February 25, 2004, between the Registrant and Kissei Pharmaceutical Co., Ltd. (incorporated by reference to Exhibit 10.7 of the Registrant’s Registration Statement on Form S-1, as amended</w:t>
      </w:r>
    </w:p>
    <w:p>
      <w:pPr>
        <w:ind w:left="880"/>
        <w:spacing w:after="0"/>
        <w:rPr>
          <w:sz w:val="20"/>
          <w:szCs w:val="20"/>
          <w:color w:val="auto"/>
        </w:rPr>
      </w:pPr>
      <w:r>
        <w:rPr>
          <w:rFonts w:ascii="Times New Roman" w:cs="Times New Roman" w:eastAsia="Times New Roman" w:hAnsi="Times New Roman"/>
          <w:sz w:val="18"/>
          <w:szCs w:val="18"/>
          <w:color w:val="auto"/>
        </w:rPr>
        <w:t>(File No. 333-119433), originally filed on October 1, 2004).</w:t>
      </w:r>
    </w:p>
    <w:p>
      <w:pPr>
        <w:spacing w:after="0" w:line="112" w:lineRule="exact"/>
        <w:rPr>
          <w:sz w:val="20"/>
          <w:szCs w:val="20"/>
          <w:color w:val="auto"/>
        </w:rPr>
      </w:pPr>
    </w:p>
    <w:p>
      <w:pPr>
        <w:ind w:left="880" w:right="340" w:hanging="877"/>
        <w:spacing w:after="0" w:line="313" w:lineRule="auto"/>
        <w:tabs>
          <w:tab w:leader="none" w:pos="8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License Agreement, dated April 27, 2004, between the Registrant and Mitsubishi Tanabe Pharma Corporation (incorporated by reference to Exhibit 10.8 of the Registrant’s Registration Statement on Form S-1, as amended (File No. 333-119433), originally filed on October 1, 2004).</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License Agreement, dated October 22, 2004, between the Registrant and Kyorin Pharmaceutical Co., Ltd., (incorporated by reference to Exhibit</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10.18 of the Registrant’s Registration Statement on Form S-1, as amended (File No. 333-119433), originally filed on October 1, 2004).</w:t>
      </w:r>
    </w:p>
    <w:p>
      <w:pPr>
        <w:spacing w:after="0" w:line="112" w:lineRule="exact"/>
        <w:rPr>
          <w:sz w:val="20"/>
          <w:szCs w:val="20"/>
          <w:color w:val="auto"/>
        </w:rPr>
      </w:pPr>
    </w:p>
    <w:p>
      <w:pPr>
        <w:jc w:val="right"/>
        <w:ind w:right="220"/>
        <w:spacing w:after="0" w:line="282" w:lineRule="auto"/>
        <w:rPr>
          <w:sz w:val="20"/>
          <w:szCs w:val="20"/>
          <w:color w:val="auto"/>
        </w:rPr>
      </w:pPr>
      <w:r>
        <w:rPr>
          <w:rFonts w:ascii="Times New Roman" w:cs="Times New Roman" w:eastAsia="Times New Roman" w:hAnsi="Times New Roman"/>
          <w:sz w:val="18"/>
          <w:szCs w:val="18"/>
          <w:color w:val="auto"/>
        </w:rPr>
        <w:t>10.8†     License Agreement, dated December 8, 2004, between the Registrant and Mitsubishi Tanabe Pharma Corporation (incorporated by reference to Exhibit 10.21 of the Registrant’s Registration Statement on Form S-1, as amended (File No. 333-119433), originally filed on October 1, 2004).</w:t>
      </w:r>
    </w:p>
    <w:p>
      <w:pPr>
        <w:spacing w:after="0" w:line="67" w:lineRule="exact"/>
        <w:rPr>
          <w:sz w:val="20"/>
          <w:szCs w:val="20"/>
          <w:color w:val="auto"/>
        </w:rPr>
      </w:pPr>
    </w:p>
    <w:p>
      <w:pPr>
        <w:ind w:left="880" w:right="2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Employment Agreement, dated September 1, 2006, between the Registrant and Masatsune Okajima (incorporated by reference to Exhibit 10.12 of the Registrant’s Annual Report on Form 10-K (File No. 001-33185) filed February 15, 2007).</w:t>
      </w:r>
    </w:p>
    <w:p>
      <w:pPr>
        <w:spacing w:after="0" w:line="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License Agreement, dated October 31, 2006, by and between the Registrant and Meiji Seika Kaisha, Ltd. (incorporated by reference to Exhibit</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10.1 of the Registrant’s Current Report on Form 8-K (File No. 000-51133) filed November 2, 2006).</w:t>
      </w:r>
    </w:p>
    <w:p>
      <w:pPr>
        <w:spacing w:after="0" w:line="11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License Agreement, dated October 31, 2006, by and between the Registrant and Meiji Seika Kaisha, Ltd. (incorporated by reference to Exhibit</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10.2 of the Registrant’s Current Report on Form 8-K (File No. 000-51133) filed November 2, 2006).</w:t>
      </w:r>
    </w:p>
    <w:p>
      <w:pPr>
        <w:spacing w:after="0" w:line="112" w:lineRule="exact"/>
        <w:rPr>
          <w:sz w:val="20"/>
          <w:szCs w:val="20"/>
          <w:color w:val="auto"/>
        </w:rPr>
      </w:pPr>
    </w:p>
    <w:p>
      <w:pPr>
        <w:ind w:left="880" w:right="38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Executive Employment Agreement, dated April 1, 2007, between the Registrant and Yuichi Iwaki, M.D., Ph.D. (incorporated by reference to Exhibit 10.1 of the Registrant’s Current Report on Form 8-K (File No. 001-33185) filed April 4, 2007).</w:t>
      </w:r>
    </w:p>
    <w:p>
      <w:pPr>
        <w:spacing w:after="0" w:line="67" w:lineRule="exact"/>
        <w:rPr>
          <w:sz w:val="20"/>
          <w:szCs w:val="20"/>
          <w:color w:val="auto"/>
        </w:rPr>
      </w:pPr>
    </w:p>
    <w:p>
      <w:pPr>
        <w:ind w:left="880" w:right="2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2007 Employee Stock Purchase Plan of the Registrant (incorporated by reference to Appendix A of the Registrant’s Definitive Proxy Statement on Schedule 14A (File No. 001-33185) filed March 13, 2007).</w:t>
      </w:r>
    </w:p>
    <w:p>
      <w:pPr>
        <w:spacing w:after="0" w:line="67" w:lineRule="exact"/>
        <w:rPr>
          <w:sz w:val="20"/>
          <w:szCs w:val="20"/>
          <w:color w:val="auto"/>
        </w:rPr>
      </w:pPr>
    </w:p>
    <w:p>
      <w:pPr>
        <w:ind w:left="880" w:right="7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Development and Supply Agreement, dated as of March 26, 2009, between the Registrant and Hospira Worldwide, Inc. (incorporated by reference to Exhibit 10.1 of the Registrant’s Current Report on Form 8-K filed March 30, 2009).</w:t>
      </w:r>
    </w:p>
    <w:p>
      <w:pPr>
        <w:spacing w:after="0" w:line="67" w:lineRule="exact"/>
        <w:rPr>
          <w:sz w:val="20"/>
          <w:szCs w:val="20"/>
          <w:color w:val="auto"/>
        </w:rPr>
      </w:pPr>
    </w:p>
    <w:p>
      <w:pPr>
        <w:ind w:left="880" w:right="16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Assignment Agreement, dated December 19, 2005, between Genzyme Corporation and Avigen, Inc. (incorporated by reference to Exhibit 10.58 of Avigen, Inc.’s Annual Report on Form 10-K (File No. 000-28272) filed March 16, 2006).</w:t>
      </w:r>
    </w:p>
    <w:p>
      <w:pPr>
        <w:spacing w:after="0" w:line="67" w:lineRule="exact"/>
        <w:rPr>
          <w:sz w:val="20"/>
          <w:szCs w:val="20"/>
          <w:color w:val="auto"/>
        </w:rPr>
      </w:pPr>
    </w:p>
    <w:p>
      <w:pPr>
        <w:ind w:left="880" w:right="140" w:hanging="877"/>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Asset Purchase Agreement, dated December 17, 2008, between Baxter Healthcare Corporation, Baxter International Inc., and Baxter Healthcare S.A. and Avigen, Inc. (incorporated by reference to Exhibit 2.2 of Avigen, Inc.’s Annual Report on Form 10-K (File No. 000-28272) filed March 16, 2009).</w:t>
      </w:r>
    </w:p>
    <w:p>
      <w:pPr>
        <w:spacing w:after="0" w:line="82" w:lineRule="exact"/>
        <w:rPr>
          <w:sz w:val="20"/>
          <w:szCs w:val="20"/>
          <w:color w:val="auto"/>
        </w:rPr>
      </w:pPr>
    </w:p>
    <w:p>
      <w:pPr>
        <w:ind w:left="880" w:right="8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Form of Amendment to Employment Agreement, dated December 31, 2011, between the Registrant and Yuichi Iwaki, M.D., Ph.D. (incorporated by reference to Exhibit 10.1 of the Registrant’s Current Report on Form 8-K (File No. 001-33185) filed January 4, 2011).</w:t>
      </w:r>
    </w:p>
    <w:p>
      <w:pPr>
        <w:spacing w:after="0" w:line="67" w:lineRule="exact"/>
        <w:rPr>
          <w:sz w:val="20"/>
          <w:szCs w:val="20"/>
          <w:color w:val="auto"/>
        </w:rPr>
      </w:pPr>
    </w:p>
    <w:p>
      <w:pPr>
        <w:ind w:left="880" w:right="320" w:hanging="877"/>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Joint Venture Agreement, dated June 29, 2011, among the Registrant, Zhejiang Medicine Co., Ltd. and Beijing Make-Friend Medicine Technology Co., Ltd. (incorporated by reference to Exhibit 10.44 of the Registrant’s Current Report on Form 10-Q (File No. 001-33185) filed August 15, 2011).</w:t>
      </w:r>
    </w:p>
    <w:p>
      <w:pPr>
        <w:spacing w:after="0" w:line="82" w:lineRule="exact"/>
        <w:rPr>
          <w:sz w:val="20"/>
          <w:szCs w:val="20"/>
          <w:color w:val="auto"/>
        </w:rPr>
      </w:pPr>
    </w:p>
    <w:p>
      <w:pPr>
        <w:ind w:left="880" w:right="1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Stock Purchase Agreement, dated September 26, 2011, between the Registrant and Kissei Pharmaceutical Co. Ltd., (incorporated by reference to Exhibit 10.1 of the Registrant’s Current Report on Form 8-K (File No. 001-33185) filed September 27, 2011).</w:t>
      </w:r>
    </w:p>
    <w:p>
      <w:pPr>
        <w:spacing w:after="0" w:line="67" w:lineRule="exact"/>
        <w:rPr>
          <w:sz w:val="20"/>
          <w:szCs w:val="20"/>
          <w:color w:val="auto"/>
        </w:rPr>
      </w:pPr>
    </w:p>
    <w:p>
      <w:pPr>
        <w:ind w:left="880" w:right="2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Sublease Agreement, dated February 27, 2013, between the Registrant and Denali Advisors LLC (incorporated by reference to Exhibit 10.1 of the Registrant’s Current Report on Form 8-K filed March 1, 2013).</w:t>
      </w:r>
    </w:p>
    <w:p>
      <w:pPr>
        <w:spacing w:after="0" w:line="67" w:lineRule="exact"/>
        <w:rPr>
          <w:sz w:val="20"/>
          <w:szCs w:val="20"/>
          <w:color w:val="auto"/>
        </w:rPr>
      </w:pPr>
    </w:p>
    <w:p>
      <w:pPr>
        <w:ind w:left="880" w:right="240" w:hanging="877"/>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Securities Purchase Agreement, dated May 9, 2013, between the Registrant and Samurai Investments San Diego LLC and Fountain Erika LLC (incorporated by reference to Exhibit 10.1 of the Registrant’s Current Report on</w:t>
      </w:r>
    </w:p>
    <w:p>
      <w:pPr>
        <w:ind w:left="880"/>
        <w:spacing w:after="0"/>
        <w:rPr>
          <w:sz w:val="20"/>
          <w:szCs w:val="20"/>
          <w:color w:val="auto"/>
        </w:rPr>
      </w:pPr>
      <w:r>
        <w:rPr>
          <w:rFonts w:ascii="Times New Roman" w:cs="Times New Roman" w:eastAsia="Times New Roman" w:hAnsi="Times New Roman"/>
          <w:sz w:val="18"/>
          <w:szCs w:val="18"/>
          <w:color w:val="auto"/>
        </w:rPr>
        <w:t>Form 8-K filed May 10, 2013).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880" w:right="4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2013 Equity Incentive Plan of the Registrant (incorporated by reference to Exhibit 4.8 of the Registrant’s Annual Report on Form 10-K filed March 27, 2014).</w:t>
      </w:r>
    </w:p>
    <w:p>
      <w:pPr>
        <w:spacing w:after="0" w:line="67" w:lineRule="exact"/>
        <w:rPr>
          <w:sz w:val="20"/>
          <w:szCs w:val="20"/>
          <w:color w:val="auto"/>
        </w:rPr>
      </w:pPr>
    </w:p>
    <w:p>
      <w:pPr>
        <w:ind w:left="880" w:right="8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Equity Distribution Agreement, dated October 16, 2013, between the Registrant and Macquarie Capital (USA) Inc. (incorporated by reference to Exhibit 10.1 of the Registrant’s Current Report on Form 8-K filed October 16, 2013).</w:t>
      </w:r>
    </w:p>
    <w:p>
      <w:pPr>
        <w:spacing w:after="0" w:line="67" w:lineRule="exact"/>
        <w:rPr>
          <w:sz w:val="20"/>
          <w:szCs w:val="20"/>
          <w:color w:val="auto"/>
        </w:rPr>
      </w:pPr>
    </w:p>
    <w:p>
      <w:pPr>
        <w:ind w:left="880" w:right="4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Form of Notice of Stock Option Grant and Stock Option Agreement for awards pursuant to the 2013 Equity Incentive Plan (incorporated by reference to Exhibit 10.3 of the Registrant’s Quarterly Report on Form 10-Q filed November 7, 2013).</w:t>
      </w:r>
    </w:p>
    <w:p>
      <w:pPr>
        <w:spacing w:after="0" w:line="67" w:lineRule="exact"/>
        <w:rPr>
          <w:sz w:val="20"/>
          <w:szCs w:val="20"/>
          <w:color w:val="auto"/>
        </w:rPr>
      </w:pPr>
    </w:p>
    <w:p>
      <w:pPr>
        <w:ind w:left="880" w:right="4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Engagement Agreement, effective April 8, 2014, by and between MediciNova, Inc. and van den Boom &amp; Associates, LLC (incorporated by reference to Exhibit 10.1 of the Registrant’s Current Report on Form 8-K filed April 9, 2014).</w:t>
      </w:r>
    </w:p>
    <w:p>
      <w:pPr>
        <w:spacing w:after="0" w:line="67" w:lineRule="exact"/>
        <w:rPr>
          <w:sz w:val="20"/>
          <w:szCs w:val="20"/>
          <w:color w:val="auto"/>
        </w:rPr>
      </w:pPr>
    </w:p>
    <w:p>
      <w:pPr>
        <w:ind w:left="880" w:right="4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Dr. Yuichi Iwaki (incorporated by reference to Exhibit 10.2 of the Registrant’s Quarterly Report on Form 10-Q filed August 13, 2014).</w:t>
      </w:r>
    </w:p>
    <w:p>
      <w:pPr>
        <w:spacing w:after="0" w:line="67" w:lineRule="exact"/>
        <w:rPr>
          <w:sz w:val="20"/>
          <w:szCs w:val="20"/>
          <w:color w:val="auto"/>
        </w:rPr>
      </w:pPr>
    </w:p>
    <w:p>
      <w:pPr>
        <w:ind w:left="880" w:right="20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Masatsune Okajima (incorporated by reference to Exhibit 10.3 of the Registrant’s Quarterly Report on Form 10-Q filed August 13, 2014).</w:t>
      </w:r>
    </w:p>
    <w:p>
      <w:pPr>
        <w:spacing w:after="0" w:line="67" w:lineRule="exact"/>
        <w:rPr>
          <w:sz w:val="20"/>
          <w:szCs w:val="20"/>
          <w:color w:val="auto"/>
        </w:rPr>
      </w:pPr>
    </w:p>
    <w:p>
      <w:pPr>
        <w:ind w:left="880" w:right="1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Dr. Kazuko Matsuda (incorporated by reference to Exhibit 10.4 of the Registrant’s Quarterly Report on Form 10-Q filed August 13, 2014).</w:t>
      </w:r>
    </w:p>
    <w:p>
      <w:pPr>
        <w:spacing w:after="0" w:line="67" w:lineRule="exact"/>
        <w:rPr>
          <w:sz w:val="20"/>
          <w:szCs w:val="20"/>
          <w:color w:val="auto"/>
        </w:rPr>
      </w:pPr>
    </w:p>
    <w:p>
      <w:pPr>
        <w:ind w:left="880" w:right="3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Geoffrey O’Brien (incorporated by reference to Exhibit 10.5 of the Registrant’s Quarterly Report on Form 10-Q filed August 13, 2014).</w:t>
      </w:r>
    </w:p>
    <w:p>
      <w:pPr>
        <w:spacing w:after="0" w:line="67" w:lineRule="exact"/>
        <w:rPr>
          <w:sz w:val="20"/>
          <w:szCs w:val="20"/>
          <w:color w:val="auto"/>
        </w:rPr>
      </w:pPr>
    </w:p>
    <w:p>
      <w:pPr>
        <w:ind w:left="880" w:right="4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Engagement Agreement, effective April 3, 2015, by and between MediciNova, Inc. and van den Boom &amp; Associates, LLC (incorporated by reference to Exhibit 10.1 of the Registrant’s Current Report on Form 8-K filed April 3, 2015).</w:t>
      </w:r>
    </w:p>
    <w:p>
      <w:pPr>
        <w:spacing w:after="0" w:line="67" w:lineRule="exact"/>
        <w:rPr>
          <w:sz w:val="20"/>
          <w:szCs w:val="20"/>
          <w:color w:val="auto"/>
        </w:rPr>
      </w:pPr>
    </w:p>
    <w:p>
      <w:pPr>
        <w:ind w:left="880" w:right="64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At-the-Market Issuance Sales Agreement, dated May 22, 2015, by and between MediciNova, Inc. and MLV &amp; Co. LLC (incorporated by reference to Exhibit 10.1 of the Registrant’s Current Report on Form 8-K filed May 22, 2015).</w:t>
      </w:r>
    </w:p>
    <w:p>
      <w:pPr>
        <w:spacing w:after="0" w:line="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List of subsidiaries of the Registrant (incorporated by reference to Exhibit 21.1 of the Registrant’s Annual Report on Form 10-K (File No. 001-</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33185) filed March 24, 2010).</w:t>
      </w:r>
    </w:p>
    <w:p>
      <w:pPr>
        <w:spacing w:after="0" w:line="11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Consent of Independent Registered Public Accounting Firm.</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Independent Registered Public Accounting Firm.</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Powers of Attorney (see signature page).</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Principal Executive Officer pursuant to Rules 13a-14 and 15d-14 promulgated under the Securities Act of 1933.</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the Principal Financial Officer pursuant to Rules 13a-14 and 15d-14 promulgated under the Securities Act of 1933.</w:t>
      </w:r>
    </w:p>
    <w:p>
      <w:pPr>
        <w:spacing w:after="0" w:line="131" w:lineRule="exact"/>
        <w:rPr>
          <w:sz w:val="20"/>
          <w:szCs w:val="20"/>
          <w:color w:val="auto"/>
        </w:rPr>
      </w:pPr>
    </w:p>
    <w:p>
      <w:pPr>
        <w:ind w:left="880" w:right="26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the Principal Executive Officer pursuant to 18 U.S.C. Section 1350, as adopted pursuant to Section 906 of the Sarbanes-Oxley Act of 2002.</w:t>
      </w:r>
    </w:p>
    <w:p>
      <w:pPr>
        <w:spacing w:after="0" w:line="67" w:lineRule="exact"/>
        <w:rPr>
          <w:sz w:val="20"/>
          <w:szCs w:val="20"/>
          <w:color w:val="auto"/>
        </w:rPr>
      </w:pPr>
    </w:p>
    <w:p>
      <w:pPr>
        <w:ind w:left="880" w:right="20" w:hanging="877"/>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the Principal Financial Officer pursuant to 18 U.S.C. Section 1350, as adopted pursuant to Section 906 of the Sarbanes-Oxley Act of 2002.</w:t>
      </w:r>
    </w:p>
    <w:p>
      <w:pPr>
        <w:spacing w:after="0" w:line="67" w:lineRule="exact"/>
        <w:rPr>
          <w:sz w:val="20"/>
          <w:szCs w:val="20"/>
          <w:color w:val="auto"/>
        </w:rPr>
      </w:pPr>
    </w:p>
    <w:p>
      <w:pPr>
        <w:ind w:left="880" w:hanging="872"/>
        <w:spacing w:after="0" w:line="261"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2015 formatted in Extensible Business Reporting Language (XBRL): (i) Consolidated Balance Sheets; (ii) Consolidated Statements of Operations; (iii) Consolidated Statements of Stockholders’ Equity and Comprehensive Loss; (iv) Consolidated Statements of Cash Flows; and (v) the notes to the consolidated financial statements.</w:t>
      </w:r>
    </w:p>
    <w:p>
      <w:pPr>
        <w:spacing w:after="0" w:line="126"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209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6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EDICINOVA</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34" w:lineRule="exact"/>
        <w:rPr>
          <w:sz w:val="20"/>
          <w:szCs w:val="20"/>
          <w:color w:val="auto"/>
        </w:rPr>
      </w:pPr>
    </w:p>
    <w:p>
      <w:pPr>
        <w:spacing w:after="0"/>
        <w:tabs>
          <w:tab w:leader="none" w:pos="6380" w:val="left"/>
          <w:tab w:leader="none" w:pos="8560" w:val="left"/>
        </w:tabs>
        <w:rPr>
          <w:sz w:val="20"/>
          <w:szCs w:val="20"/>
          <w:color w:val="auto"/>
        </w:rPr>
      </w:pPr>
      <w:r>
        <w:rPr>
          <w:rFonts w:ascii="Times New Roman" w:cs="Times New Roman" w:eastAsia="Times New Roman" w:hAnsi="Times New Roman"/>
          <w:sz w:val="18"/>
          <w:szCs w:val="18"/>
          <w:color w:val="auto"/>
        </w:rPr>
        <w:t>Date: February 25,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Yuichi Iwaki</w:t>
      </w:r>
    </w:p>
    <w:p>
      <w:pPr>
        <w:spacing w:after="0" w:line="27"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80"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440"/>
          </w:cols>
          <w:pgMar w:left="240" w:top="117" w:right="219" w:bottom="1440" w:gutter="0" w:footer="0" w:header="0"/>
        </w:sectPr>
      </w:pPr>
    </w:p>
    <w:p>
      <w:pPr>
        <w:spacing w:after="0" w:line="15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044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0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Yuichi Iwaki</w:t>
      </w:r>
    </w:p>
    <w:p>
      <w:pPr>
        <w:spacing w:after="0" w:line="3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50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Esther van den Boom</w:t>
      </w:r>
    </w:p>
    <w:p>
      <w:pPr>
        <w:spacing w:after="0" w:line="3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4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Jeff Himawan</w:t>
      </w:r>
    </w:p>
    <w:p>
      <w:pPr>
        <w:spacing w:after="0" w:line="3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Jeff Himawan,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4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0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1"/>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23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60" w:type="dxa"/>
            <w:vAlign w:val="bottom"/>
          </w:tcPr>
          <w:p>
            <w:pPr>
              <w:spacing w:after="0"/>
              <w:rPr>
                <w:sz w:val="20"/>
                <w:szCs w:val="20"/>
                <w:color w:val="auto"/>
              </w:rPr>
            </w:pPr>
          </w:p>
        </w:tc>
      </w:tr>
      <w:tr>
        <w:trPr>
          <w:trHeight w:val="34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23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060" w:type="dxa"/>
            <w:vAlign w:val="bottom"/>
          </w:tcPr>
          <w:p>
            <w:pPr>
              <w:spacing w:after="0"/>
              <w:rPr>
                <w:sz w:val="20"/>
                <w:szCs w:val="20"/>
                <w:color w:val="auto"/>
              </w:rPr>
            </w:pPr>
          </w:p>
        </w:tc>
      </w:tr>
      <w:tr>
        <w:trPr>
          <w:trHeight w:val="365"/>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25, 2016</w:t>
            </w:r>
          </w:p>
        </w:tc>
      </w:tr>
    </w:tbl>
    <w:p>
      <w:pPr>
        <w:spacing w:after="0" w:line="346" w:lineRule="exact"/>
        <w:rPr>
          <w:sz w:val="20"/>
          <w:szCs w:val="20"/>
          <w:color w:val="auto"/>
        </w:rPr>
      </w:pPr>
    </w:p>
    <w:p>
      <w:pPr>
        <w:sectPr>
          <w:pgSz w:w="11900" w:h="16838" w:orient="portrait"/>
          <w:cols w:equalWidth="0" w:num="2">
            <w:col w:w="3420" w:space="720"/>
            <w:col w:w="7300"/>
          </w:cols>
          <w:pgMar w:left="240" w:top="117" w:right="21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Yoshio Ishizaka</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234"/>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Yoshio Ishizaka</w:t>
            </w:r>
          </w:p>
        </w:tc>
        <w:tc>
          <w:tcPr>
            <w:tcW w:w="122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6"/>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Yutaka Kobayashi</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2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234"/>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Yutaka Kobayashi</w:t>
            </w:r>
          </w:p>
        </w:tc>
        <w:tc>
          <w:tcPr>
            <w:tcW w:w="122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630"/>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70</w:t>
            </w:r>
          </w:p>
        </w:tc>
      </w:tr>
      <w:tr>
        <w:trPr>
          <w:trHeight w:val="115"/>
        </w:trPr>
        <w:tc>
          <w:tcPr>
            <w:tcW w:w="3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type w:val="continuous"/>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right="100" w:hanging="746"/>
        <w:spacing w:after="0" w:line="259" w:lineRule="auto"/>
        <w:tabs>
          <w:tab w:leader="none" w:pos="8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Restated Certificate of Incorporation of the Registrant, as amended (incorporated by reference to Exhibit 3.1 of the Registrant’s Quarterly Report on Form 10-Q filed August 9, 2012).</w:t>
      </w:r>
    </w:p>
    <w:p>
      <w:pPr>
        <w:spacing w:after="0" w:line="87" w:lineRule="exact"/>
        <w:rPr>
          <w:sz w:val="20"/>
          <w:szCs w:val="20"/>
          <w:color w:val="auto"/>
        </w:rPr>
      </w:pPr>
    </w:p>
    <w:p>
      <w:pPr>
        <w:ind w:left="840" w:right="40" w:hanging="74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the Registrant (incorporated by reference to Exhibit 3.4 of the Registrant’s Registration Statement on Form S-1 (File No. 333-119433) filed October 1, 2004).</w:t>
      </w:r>
    </w:p>
    <w:p>
      <w:pPr>
        <w:spacing w:after="0" w:line="67" w:lineRule="exact"/>
        <w:rPr>
          <w:sz w:val="20"/>
          <w:szCs w:val="20"/>
          <w:color w:val="auto"/>
        </w:rPr>
      </w:pPr>
    </w:p>
    <w:p>
      <w:pPr>
        <w:ind w:left="840" w:right="300" w:hanging="74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Certificate of Designation, Preferences and Rights of the Series B Convertible Preferred Stock (incorporated by reference to Exhibit 3.1 of the Registrant’s Current Report on Form 8-K (File No. 001-33185) filed September 27, 2011).</w:t>
      </w:r>
    </w:p>
    <w:p>
      <w:pPr>
        <w:spacing w:after="0" w:line="67"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Specimen of Common Stock Certificate (incorporated by reference to Exhibit 4.1 of the Registrant’s Annual Report on Form 10-K (File No. 001-</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33185) filed February 15, 2007).</w:t>
      </w:r>
    </w:p>
    <w:p>
      <w:pPr>
        <w:spacing w:after="0" w:line="112" w:lineRule="exact"/>
        <w:rPr>
          <w:sz w:val="20"/>
          <w:szCs w:val="20"/>
          <w:color w:val="auto"/>
        </w:rPr>
      </w:pPr>
    </w:p>
    <w:p>
      <w:pPr>
        <w:ind w:left="840" w:right="340" w:hanging="746"/>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Amended and Restated Registration Rights Agreement, dated September 2, 2004, by and among the Registrant, its founders and the investors named therein (incorporated by reference to Exhibit 4.2 of the Registrant’s Registration Statement on Form S-1 (File No. 333-119433) filed October 1, 2004).</w:t>
      </w:r>
    </w:p>
    <w:p>
      <w:pPr>
        <w:spacing w:after="0" w:line="82" w:lineRule="exact"/>
        <w:rPr>
          <w:sz w:val="20"/>
          <w:szCs w:val="20"/>
          <w:color w:val="auto"/>
        </w:rPr>
      </w:pPr>
    </w:p>
    <w:p>
      <w:pPr>
        <w:ind w:left="840" w:right="140" w:hanging="74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Warrant, dated May 10, 2010, issued to Oxford Finance Corporation (incorporated by reference to Exhibit 4.1 of the Registrant’s Current Report on Form 8-K (File No. 001-33185) filed May 14, 2010).</w:t>
      </w:r>
    </w:p>
    <w:p>
      <w:pPr>
        <w:spacing w:after="0" w:line="67" w:lineRule="exact"/>
        <w:rPr>
          <w:sz w:val="20"/>
          <w:szCs w:val="20"/>
          <w:color w:val="auto"/>
        </w:rPr>
      </w:pPr>
    </w:p>
    <w:p>
      <w:pPr>
        <w:ind w:left="840" w:right="680" w:hanging="74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Form of Warrant to Purchase Common Stock, dated March 29, 2011 (incorporated by reference to Exhibit 4.1 of the Registrant’s Current Report 8-K (File No. 001-33185) filed March 24, 2011).</w:t>
      </w:r>
    </w:p>
    <w:p>
      <w:pPr>
        <w:spacing w:after="0" w:line="67" w:lineRule="exact"/>
        <w:rPr>
          <w:sz w:val="20"/>
          <w:szCs w:val="20"/>
          <w:color w:val="auto"/>
        </w:rPr>
      </w:pPr>
    </w:p>
    <w:p>
      <w:pPr>
        <w:ind w:left="840" w:right="340" w:hanging="74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Warrant, dated August 22, 2012, issued to Redington, Inc., as amended (incorporated by reference to Exhibit 4.8 of the Registrant’s Quarterly Report on Form 10-Q filed November 8, 2012).</w:t>
      </w:r>
    </w:p>
    <w:p>
      <w:pPr>
        <w:spacing w:after="0" w:line="67" w:lineRule="exact"/>
        <w:rPr>
          <w:sz w:val="20"/>
          <w:szCs w:val="20"/>
          <w:color w:val="auto"/>
        </w:rPr>
      </w:pPr>
    </w:p>
    <w:p>
      <w:pPr>
        <w:ind w:left="840" w:right="480" w:hanging="746"/>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Form of Warrant to Purchase Common Stock, dated May 14, 2013, issued to Samurai Investments San Diego LLC and Fountain Erika LLC (incorporated by reference to Exhibit 4.1 of the Registrant’s Current Report on Form 8-K filed</w:t>
      </w:r>
    </w:p>
    <w:p>
      <w:pPr>
        <w:ind w:left="840"/>
        <w:spacing w:after="0"/>
        <w:rPr>
          <w:sz w:val="20"/>
          <w:szCs w:val="20"/>
          <w:color w:val="auto"/>
        </w:rPr>
      </w:pPr>
      <w:r>
        <w:rPr>
          <w:rFonts w:ascii="Times New Roman" w:cs="Times New Roman" w:eastAsia="Times New Roman" w:hAnsi="Times New Roman"/>
          <w:sz w:val="18"/>
          <w:szCs w:val="18"/>
          <w:color w:val="auto"/>
        </w:rPr>
        <w:t>May 10, 2013).</w:t>
      </w:r>
    </w:p>
    <w:p>
      <w:pPr>
        <w:spacing w:after="0" w:line="112" w:lineRule="exact"/>
        <w:rPr>
          <w:sz w:val="20"/>
          <w:szCs w:val="20"/>
          <w:color w:val="auto"/>
        </w:rPr>
      </w:pPr>
    </w:p>
    <w:p>
      <w:pPr>
        <w:ind w:left="840" w:right="280" w:hanging="74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Amendment No. 1 to Warrant, dated May 29, 2013, entered into between the Registrant and Fountain Erika LLC (incorporated by reference to Exhibit 4.8 of the Registrant’s Annual Report on Form 10-K filed March 27, 2014).</w:t>
      </w:r>
    </w:p>
    <w:p>
      <w:pPr>
        <w:spacing w:after="0" w:line="67" w:lineRule="exact"/>
        <w:rPr>
          <w:sz w:val="20"/>
          <w:szCs w:val="20"/>
          <w:color w:val="auto"/>
        </w:rPr>
      </w:pPr>
    </w:p>
    <w:p>
      <w:pPr>
        <w:ind w:left="840" w:right="1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Amended and Restated 2004 Stock Incentive Plan of the Registrant (incorporated by reference to Exhibit 10.2 of the Registrant’s Annual Report on Form 10-K filed March 29, 2012).</w:t>
      </w:r>
    </w:p>
    <w:p>
      <w:pPr>
        <w:spacing w:after="0" w:line="67" w:lineRule="exact"/>
        <w:rPr>
          <w:sz w:val="20"/>
          <w:szCs w:val="20"/>
          <w:color w:val="auto"/>
        </w:rPr>
      </w:pPr>
    </w:p>
    <w:p>
      <w:pPr>
        <w:ind w:left="840" w:right="1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Indemnity Agreement between the Registrant and its officers and directors (incorporated by reference to Exhibit 10.3 of the Registrant’s Annual Report on Form 10-K filed March 28, 2013).</w:t>
      </w:r>
    </w:p>
    <w:p>
      <w:pPr>
        <w:spacing w:after="0" w:line="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License Agreement, dated March 14, 2002, between the Registrant and Kyorin Pharmaceutical Co., Ltd. (incorporated by reference to Exhibit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10.4 of the Registrant’s Registration Statement on Form S-1, as amended (File No. 333-119433), originally filed on October 1, 2004).</w:t>
      </w:r>
    </w:p>
    <w:p>
      <w:pPr>
        <w:spacing w:after="0" w:line="112" w:lineRule="exact"/>
        <w:rPr>
          <w:sz w:val="20"/>
          <w:szCs w:val="20"/>
          <w:color w:val="auto"/>
        </w:rPr>
      </w:pPr>
    </w:p>
    <w:p>
      <w:pPr>
        <w:ind w:left="840" w:right="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License Agreement, dated June 19, 2002, between the Registrant and Angiogene Pharmaceuticals, Ltd. (incorporated by reference to Exhibit 10.5 of the Registrant’s Registration Statement on Form S-1, as amended (File No. 333-119433), originally filed on October 1, 2004).</w:t>
      </w:r>
    </w:p>
    <w:p>
      <w:pPr>
        <w:spacing w:after="0" w:line="67" w:lineRule="exact"/>
        <w:rPr>
          <w:sz w:val="20"/>
          <w:szCs w:val="20"/>
          <w:color w:val="auto"/>
        </w:rPr>
      </w:pPr>
    </w:p>
    <w:p>
      <w:pPr>
        <w:ind w:left="8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Exclusive License Agreement, dated February 25, 2004, between the Registrant and Kissei Pharmaceutical Co., Ltd. (incorporated by reference to Exhibit 10.7 of the Registrant’s Registration Statement on Form S-1, as amended (File No. 333-119433), originally filed on October 1, 2004).</w:t>
      </w:r>
    </w:p>
    <w:p>
      <w:pPr>
        <w:spacing w:after="0" w:line="67" w:lineRule="exact"/>
        <w:rPr>
          <w:sz w:val="20"/>
          <w:szCs w:val="20"/>
          <w:color w:val="auto"/>
        </w:rPr>
      </w:pPr>
    </w:p>
    <w:p>
      <w:pPr>
        <w:ind w:left="840" w:right="340" w:hanging="836"/>
        <w:spacing w:after="0" w:line="313" w:lineRule="auto"/>
        <w:tabs>
          <w:tab w:leader="none" w:pos="8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License Agreement, dated April 27, 2004, between the Registrant and Mitsubishi Tanabe Pharma Corporation (incorporated by reference to Exhibit 10.8 of the Registrant’s Registration Statement on Form S-1, as amended (File No. 333-119433), originally filed on October 1, 2004).</w:t>
      </w:r>
    </w:p>
    <w:p>
      <w:pPr>
        <w:spacing w:after="0" w:line="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License Agreement, dated October 22, 2004, between the Registrant and Kyorin Pharmaceutical Co., Ltd., (incorporated by reference to Exhibit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10.18 of the Registrant’s Registration Statement on Form S-1, as amended (File No. 333-119433), originally filed on October 1, 2004).</w:t>
      </w:r>
    </w:p>
    <w:p>
      <w:pPr>
        <w:spacing w:after="0" w:line="112" w:lineRule="exact"/>
        <w:rPr>
          <w:sz w:val="20"/>
          <w:szCs w:val="20"/>
          <w:color w:val="auto"/>
        </w:rPr>
      </w:pPr>
    </w:p>
    <w:p>
      <w:pPr>
        <w:jc w:val="right"/>
        <w:ind w:right="220"/>
        <w:spacing w:after="0" w:line="282" w:lineRule="auto"/>
        <w:rPr>
          <w:sz w:val="20"/>
          <w:szCs w:val="20"/>
          <w:color w:val="auto"/>
        </w:rPr>
      </w:pPr>
      <w:r>
        <w:rPr>
          <w:rFonts w:ascii="Times New Roman" w:cs="Times New Roman" w:eastAsia="Times New Roman" w:hAnsi="Times New Roman"/>
          <w:sz w:val="18"/>
          <w:szCs w:val="18"/>
          <w:color w:val="auto"/>
        </w:rPr>
        <w:t>10.8†     License Agreement, dated December 8, 2004, between the Registrant and Mitsubishi Tanabe Pharma Corporation (incorporated by reference to Exhibit 10.21 of the Registrant’s Registration Statement on Form S-1, as amended (File No. 333-119433), originally filed on October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384810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right="1720" w:hanging="836"/>
        <w:spacing w:after="0" w:line="288" w:lineRule="auto"/>
        <w:tabs>
          <w:tab w:leader="none" w:pos="8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Employment Agreement, dated September 1, 2006, between the Registrant and Masatsune Okajima (incorporated by reference to Exhibit 10.12 of the Registrant’s Annual Report on Form 10-K (File No. 001-33185) filed February 15, 2007).</w:t>
      </w:r>
    </w:p>
    <w:p>
      <w:pPr>
        <w:spacing w:after="0" w:line="6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License Agreement, dated October 31, 2006, by and between the Registrant and Meiji Seika Kaisha, Ltd. (incorporated by reference to Exhibit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10.1 of the Registrant’s Current Report on Form 8-K (File No. 000-51133) filed November 2, 2006).</w:t>
      </w:r>
    </w:p>
    <w:p>
      <w:pPr>
        <w:spacing w:after="0" w:line="1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License Agreement, dated October 31, 2006, by and between the Registrant and Meiji Seika Kaisha, Ltd. (incorporated by reference to Exhibit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10.2 of the Registrant’s Current Report on Form 8-K (File No. 000-51133) filed November 2, 2006).</w:t>
      </w:r>
    </w:p>
    <w:p>
      <w:pPr>
        <w:spacing w:after="0" w:line="112" w:lineRule="exact"/>
        <w:rPr>
          <w:sz w:val="20"/>
          <w:szCs w:val="20"/>
          <w:color w:val="auto"/>
        </w:rPr>
      </w:pPr>
    </w:p>
    <w:p>
      <w:pPr>
        <w:ind w:left="840" w:right="42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Executive Employment Agreement, dated April 1, 2007, between the Registrant and Yuichi Iwaki, M.D., Ph.D. (incorporated by reference to Exhibit 10.1 of the Registrant’s Current Report on Form 8-K (File No. 001-33185) filed April 4, 2007).</w:t>
      </w:r>
    </w:p>
    <w:p>
      <w:pPr>
        <w:spacing w:after="0" w:line="67" w:lineRule="exact"/>
        <w:rPr>
          <w:sz w:val="20"/>
          <w:szCs w:val="20"/>
          <w:color w:val="auto"/>
        </w:rPr>
      </w:pPr>
    </w:p>
    <w:p>
      <w:pPr>
        <w:ind w:left="8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2007 Employee Stock Purchase Plan of the Registrant (incorporated by reference to Appendix A of the Registrant’s Definitive Proxy Statement on Schedule 14A (File No. 001-33185) filed March 13, 2007).</w:t>
      </w:r>
    </w:p>
    <w:p>
      <w:pPr>
        <w:spacing w:after="0" w:line="67" w:lineRule="exact"/>
        <w:rPr>
          <w:sz w:val="20"/>
          <w:szCs w:val="20"/>
          <w:color w:val="auto"/>
        </w:rPr>
      </w:pPr>
    </w:p>
    <w:p>
      <w:pPr>
        <w:ind w:left="840" w:right="2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Development and Supply Agreement, dated as of March 26, 2009, between the Registrant and Hospira Worldwide, Inc. (incorporated by reference to Exhibit 10.1 of the Registrant’s Current Report on Form 8-K filed March 30, 2009).</w:t>
      </w:r>
    </w:p>
    <w:p>
      <w:pPr>
        <w:spacing w:after="0" w:line="67" w:lineRule="exact"/>
        <w:rPr>
          <w:sz w:val="20"/>
          <w:szCs w:val="20"/>
          <w:color w:val="auto"/>
        </w:rPr>
      </w:pPr>
    </w:p>
    <w:p>
      <w:pPr>
        <w:ind w:left="8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Assignment Agreement, dated December 19, 2005, between Genzyme Corporation and Avigen, Inc. (incorporated by reference to Exhibit 10.58 of Avigen, Inc.’s Annual Report on Form 10-K (File No. 000-28272) filed March 16, 2006).</w:t>
      </w:r>
    </w:p>
    <w:p>
      <w:pPr>
        <w:spacing w:after="0" w:line="67" w:lineRule="exact"/>
        <w:rPr>
          <w:sz w:val="20"/>
          <w:szCs w:val="20"/>
          <w:color w:val="auto"/>
        </w:rPr>
      </w:pPr>
    </w:p>
    <w:p>
      <w:pPr>
        <w:ind w:left="840" w:right="180" w:hanging="836"/>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Asset Purchase Agreement, dated December 17, 2008, between Baxter Healthcare Corporation, Baxter International Inc., and Baxter Healthcare S.A. and Avigen, Inc. (incorporated by reference to Exhibit 2.2 of Avigen, Inc.’s Annual Report on Form 10-K (File No. 000-28272) filed March 16, 2009).</w:t>
      </w:r>
    </w:p>
    <w:p>
      <w:pPr>
        <w:spacing w:after="0" w:line="82" w:lineRule="exact"/>
        <w:rPr>
          <w:sz w:val="20"/>
          <w:szCs w:val="20"/>
          <w:color w:val="auto"/>
        </w:rPr>
      </w:pPr>
    </w:p>
    <w:p>
      <w:pPr>
        <w:ind w:left="840" w:right="12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Form of Amendment to Employment Agreement, dated December 31, 2011, between the Registrant and Yuichi Iwaki, M.D., Ph.D. (incorporated by reference to Exhibit 10.1 of the Registrant’s Current Report on Form 8-K (File No. 001-33185) filed January 4, 2011).</w:t>
      </w:r>
    </w:p>
    <w:p>
      <w:pPr>
        <w:spacing w:after="0" w:line="67" w:lineRule="exact"/>
        <w:rPr>
          <w:sz w:val="20"/>
          <w:szCs w:val="20"/>
          <w:color w:val="auto"/>
        </w:rPr>
      </w:pPr>
    </w:p>
    <w:p>
      <w:pPr>
        <w:ind w:left="840" w:hanging="836"/>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Joint Venture Agreement, dated June 29, 2011, among the Registrant, Zhejiang Medicine Co., Ltd. and Beijing Make-Friend Medicine Technology Co., Ltd. (incorporated by reference to Exhibit 10.44 of the Registrant’s Current Report on Form 10-Q (File No. 001-33185) filed August 15, 2011).</w:t>
      </w:r>
    </w:p>
    <w:p>
      <w:pPr>
        <w:spacing w:after="0" w:line="82" w:lineRule="exact"/>
        <w:rPr>
          <w:sz w:val="20"/>
          <w:szCs w:val="20"/>
          <w:color w:val="auto"/>
        </w:rPr>
      </w:pPr>
    </w:p>
    <w:p>
      <w:pPr>
        <w:ind w:left="840" w:right="1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Stock Purchase Agreement, dated September 26, 2011, between the Registrant and Kissei Pharmaceutical Co. Ltd., (incorporated by reference to Exhibit 10.1 of the Registrant’s Current Report on Form 8-K (File No. 001-33185) filed September 27, 2011).</w:t>
      </w:r>
    </w:p>
    <w:p>
      <w:pPr>
        <w:spacing w:after="0" w:line="175" w:lineRule="exact"/>
        <w:rPr>
          <w:sz w:val="20"/>
          <w:szCs w:val="20"/>
          <w:color w:val="auto"/>
        </w:rPr>
      </w:pPr>
    </w:p>
    <w:p>
      <w:pPr>
        <w:ind w:left="840" w:right="6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Sublease Agreement, dated February 27, 2013, between the Registrant and Denali Advisors LLC (incorporated by reference to Exhibit 10.1 of the Registrant’s Current Report on Form 8-K filed March 1, 2013).</w:t>
      </w:r>
    </w:p>
    <w:p>
      <w:pPr>
        <w:spacing w:after="0" w:line="67" w:lineRule="exact"/>
        <w:rPr>
          <w:sz w:val="20"/>
          <w:szCs w:val="20"/>
          <w:color w:val="auto"/>
        </w:rPr>
      </w:pPr>
    </w:p>
    <w:p>
      <w:pPr>
        <w:ind w:left="840" w:right="28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Securities Purchase Agreement, dated May 9, 2013, between the Registrant and Samurai Investments San Diego LLC and Fountain Erika LLC (incorporated by reference to Exhibit 10.1 of the Registrant’s Current Report on Form 8-K filed May 10, 2013).</w:t>
      </w:r>
    </w:p>
    <w:p>
      <w:pPr>
        <w:spacing w:after="0" w:line="67" w:lineRule="exact"/>
        <w:rPr>
          <w:sz w:val="20"/>
          <w:szCs w:val="20"/>
          <w:color w:val="auto"/>
        </w:rPr>
      </w:pPr>
    </w:p>
    <w:p>
      <w:pPr>
        <w:ind w:left="840" w:right="46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2013 Equity Incentive Plan of the Registrant (incorporated by reference to Exhibit 4.8 of the Registrant’s Annual Report on Form 10-K filed March 27, 2014).</w:t>
      </w:r>
    </w:p>
    <w:p>
      <w:pPr>
        <w:spacing w:after="0" w:line="67" w:lineRule="exact"/>
        <w:rPr>
          <w:sz w:val="20"/>
          <w:szCs w:val="20"/>
          <w:color w:val="auto"/>
        </w:rPr>
      </w:pPr>
    </w:p>
    <w:p>
      <w:pPr>
        <w:ind w:left="840" w:right="14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Equity Distribution Agreement, dated October 16, 2013, between the Registrant and Macquarie Capital (USA) Inc. (incorporated by reference to Exhibit 10.1 of the Registrant’s Current Report on Form 8-K filed October 16, 2013).</w:t>
      </w:r>
    </w:p>
    <w:p>
      <w:pPr>
        <w:spacing w:after="0" w:line="67" w:lineRule="exact"/>
        <w:rPr>
          <w:sz w:val="20"/>
          <w:szCs w:val="20"/>
          <w:color w:val="auto"/>
        </w:rPr>
      </w:pPr>
    </w:p>
    <w:p>
      <w:pPr>
        <w:ind w:left="840" w:right="5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Form of Notice of Stock Option Grant and Stock Option Agreement for awards pursuant to the 2013 Equity Incentive Plan (incorporated by reference to Exhibit 10.3 of the Registrant’s Quarterly Report on Form 10-Q filed November 7, 2013).</w:t>
      </w:r>
    </w:p>
    <w:p>
      <w:pPr>
        <w:spacing w:after="0" w:line="67" w:lineRule="exact"/>
        <w:rPr>
          <w:sz w:val="20"/>
          <w:szCs w:val="20"/>
          <w:color w:val="auto"/>
        </w:rPr>
      </w:pPr>
    </w:p>
    <w:p>
      <w:pPr>
        <w:ind w:left="840" w:right="5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Engagement Agreement, effective April 8, 2014, by and between MediciNova, Inc. and van den Boom &amp; Associates, LLC (incorporated by reference to Exhibit 10.1 of the Registrant’s Current Report on Form 8-K filed April 9, 2014).</w:t>
      </w:r>
    </w:p>
    <w:p>
      <w:pPr>
        <w:spacing w:after="0" w:line="67" w:lineRule="exact"/>
        <w:rPr>
          <w:sz w:val="20"/>
          <w:szCs w:val="20"/>
          <w:color w:val="auto"/>
        </w:rPr>
      </w:pPr>
    </w:p>
    <w:p>
      <w:pPr>
        <w:ind w:left="840" w:right="5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Dr. Yuichi Iwaki (incorporated by reference to Exhibit 10.2 of the Registrant’s Quarterly Report on Form 10-Q filed August 13, 2014).</w:t>
      </w:r>
    </w:p>
    <w:p>
      <w:pPr>
        <w:spacing w:after="0" w:line="67" w:lineRule="exact"/>
        <w:rPr>
          <w:sz w:val="20"/>
          <w:szCs w:val="20"/>
          <w:color w:val="auto"/>
        </w:rPr>
      </w:pPr>
    </w:p>
    <w:p>
      <w:pPr>
        <w:ind w:left="840" w:right="26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Masatsune Okajima (incorporated by reference to Exhibit 10.3 of the Registrant’s Quarterly Report on Form 10-Q filed August 13, 2014).</w:t>
      </w:r>
    </w:p>
    <w:p>
      <w:pPr>
        <w:spacing w:after="0" w:line="67" w:lineRule="exact"/>
        <w:rPr>
          <w:sz w:val="20"/>
          <w:szCs w:val="20"/>
          <w:color w:val="auto"/>
        </w:rPr>
      </w:pPr>
    </w:p>
    <w:p>
      <w:pPr>
        <w:ind w:left="840" w:right="2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Dr. Kazuko Matsuda (incorporated by reference to Exhibit 10.4 of the Registrant’s Quarterly Report on Form 10-Q filed August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384810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right="400" w:hanging="836"/>
        <w:spacing w:after="0" w:line="259" w:lineRule="auto"/>
        <w:tabs>
          <w:tab w:leader="none" w:pos="82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Severance Protection Agreement, dated July 14, 2014, by and between MediciNova, Inc. and Geoffrey O’Brien (incorporated by reference to Exhibit 10.5 of the Registrant’s Quarterly Report on Form 10-Q filed August 13, 2014).</w:t>
      </w:r>
    </w:p>
    <w:p>
      <w:pPr>
        <w:spacing w:after="0" w:line="87" w:lineRule="exact"/>
        <w:rPr>
          <w:sz w:val="20"/>
          <w:szCs w:val="20"/>
          <w:color w:val="auto"/>
        </w:rPr>
      </w:pPr>
    </w:p>
    <w:p>
      <w:pPr>
        <w:ind w:left="840" w:right="5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Engagement Agreement, effective April 3, 2015, by and between MediciNova, Inc. and van den Boom &amp; Associates, LLC (incorporated by reference to Exhibit 10.1 of the Registrant’s Current Report on Form 8-K filed April 3, 2015).</w:t>
      </w:r>
    </w:p>
    <w:p>
      <w:pPr>
        <w:spacing w:after="0" w:line="67" w:lineRule="exact"/>
        <w:rPr>
          <w:sz w:val="20"/>
          <w:szCs w:val="20"/>
          <w:color w:val="auto"/>
        </w:rPr>
      </w:pPr>
    </w:p>
    <w:p>
      <w:pPr>
        <w:ind w:left="840" w:right="70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At-the-Market Issuance Sales Agreement, dated May 22, 2015, by and between MediciNova, Inc. and MLV &amp; Co. LLC (incorporated by reference to Exhibit 10.1 of the Registrant’s Current Report on Form 8-K filed May 22, 2015).</w:t>
      </w:r>
    </w:p>
    <w:p>
      <w:pPr>
        <w:spacing w:after="0" w:line="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List of subsidiaries of the Registrant (incorporated by reference to Exhibit 21.1 of the Registrant’s Annual Report on Form 10-K (File No. 001-</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33185) filed March 24, 2010).</w:t>
      </w:r>
    </w:p>
    <w:p>
      <w:pPr>
        <w:spacing w:after="0" w:line="1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Powers of Attorney (see signature page).</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Principal Executive Officer pursuant to Rules 13a-14 and 15d-14 promulgated under the Securities Act of 1933.</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the Principal Financial Officer pursuant to Rules 13a-14 and 15d-14 promulgated under the Securities Act of 1933.</w:t>
      </w:r>
    </w:p>
    <w:p>
      <w:pPr>
        <w:spacing w:after="0" w:line="131" w:lineRule="exact"/>
        <w:rPr>
          <w:sz w:val="20"/>
          <w:szCs w:val="20"/>
          <w:color w:val="auto"/>
        </w:rPr>
      </w:pPr>
    </w:p>
    <w:p>
      <w:pPr>
        <w:ind w:left="840" w:right="2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the Principal Executive Officer pursuant to 18 U.S.C. Section 1350, as adopted pursuant to Section 906 of the Sarbanes-Oxley Act of 2002.</w:t>
      </w:r>
    </w:p>
    <w:p>
      <w:pPr>
        <w:spacing w:after="0" w:line="67" w:lineRule="exact"/>
        <w:rPr>
          <w:sz w:val="20"/>
          <w:szCs w:val="20"/>
          <w:color w:val="auto"/>
        </w:rPr>
      </w:pPr>
    </w:p>
    <w:p>
      <w:pPr>
        <w:ind w:left="840" w:right="80" w:hanging="836"/>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ind w:left="840" w:hanging="832"/>
        <w:spacing w:after="0" w:line="26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2015 formatted in Extensible Business Reporting Language (XBRL): (i) Consolidated Balance Sheets; (ii) Consolidated Statements of Operations; (iii) Consolidated Statements of Stockholders’ Equity and Comprehensive Loss; (iv) Consolidated Statements of Cash Flows; and (v) the notes to the consolidated financial statements.</w:t>
      </w:r>
    </w:p>
    <w:p>
      <w:pPr>
        <w:spacing w:after="0" w:line="113"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9690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333-208274, 333-185022 and 333-163116) and Form S-8 (Nos. 333-190490, 333-151808, 333-141694 and 333-122665) of MediciNova, Inc. of our reports dated February 25, 2016, relating to the consolidated financial statements and the effectiveness of MediciNova, Inc.’s internal control over financial reporting, which appear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2016</w:t>
      </w:r>
    </w:p>
    <w:p>
      <w:pPr>
        <w:sectPr>
          <w:pgSz w:w="11900" w:h="16838" w:orient="portrait"/>
          <w:cols w:equalWidth="0" w:num="1">
            <w:col w:w="11420"/>
          </w:cols>
          <w:pgMar w:left="240" w:top="117"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right="3400" w:firstLine="3408"/>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9" w:lineRule="exact"/>
        <w:rPr>
          <w:sz w:val="20"/>
          <w:szCs w:val="20"/>
          <w:color w:val="auto"/>
        </w:rPr>
      </w:pPr>
    </w:p>
    <w:p>
      <w:pPr>
        <w:ind w:left="1020" w:hanging="25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Nos. 333-208274, 333-185022 and 333-163116) of MediciNova, Inc.,</w:t>
      </w:r>
    </w:p>
    <w:p>
      <w:pPr>
        <w:spacing w:after="0" w:line="117" w:lineRule="exact"/>
        <w:rPr>
          <w:rFonts w:ascii="Times New Roman" w:cs="Times New Roman" w:eastAsia="Times New Roman" w:hAnsi="Times New Roman"/>
          <w:sz w:val="18"/>
          <w:szCs w:val="18"/>
          <w:color w:val="auto"/>
        </w:rPr>
      </w:pPr>
    </w:p>
    <w:p>
      <w:pPr>
        <w:ind w:left="1020" w:hanging="25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333-190490) pertaining to the 2013 Equity Incentive Plan of MediciNova, Inc.,</w:t>
      </w:r>
    </w:p>
    <w:p>
      <w:pPr>
        <w:spacing w:after="0" w:line="117" w:lineRule="exact"/>
        <w:rPr>
          <w:rFonts w:ascii="Times New Roman" w:cs="Times New Roman" w:eastAsia="Times New Roman" w:hAnsi="Times New Roman"/>
          <w:sz w:val="18"/>
          <w:szCs w:val="18"/>
          <w:color w:val="auto"/>
        </w:rPr>
      </w:pPr>
    </w:p>
    <w:p>
      <w:pPr>
        <w:ind w:left="1020" w:hanging="25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333-151808) pertaining to the Amended and Restated 2004 Stock Incentive Plan of MediciNova, Inc.,</w:t>
      </w:r>
    </w:p>
    <w:p>
      <w:pPr>
        <w:spacing w:after="0" w:line="117" w:lineRule="exact"/>
        <w:rPr>
          <w:rFonts w:ascii="Times New Roman" w:cs="Times New Roman" w:eastAsia="Times New Roman" w:hAnsi="Times New Roman"/>
          <w:sz w:val="18"/>
          <w:szCs w:val="18"/>
          <w:color w:val="auto"/>
        </w:rPr>
      </w:pPr>
    </w:p>
    <w:p>
      <w:pPr>
        <w:ind w:left="760" w:right="320" w:firstLine="9"/>
        <w:spacing w:after="0" w:line="282" w:lineRule="auto"/>
        <w:tabs>
          <w:tab w:leader="none" w:pos="10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333-141694) pertaining to the 2004 Stock Incentive Plan and 2007 Employee Stock Purchase Plan of MediciNova, Inc., and</w:t>
      </w:r>
    </w:p>
    <w:p>
      <w:pPr>
        <w:spacing w:after="0" w:line="53" w:lineRule="exact"/>
        <w:rPr>
          <w:rFonts w:ascii="Times New Roman" w:cs="Times New Roman" w:eastAsia="Times New Roman" w:hAnsi="Times New Roman"/>
          <w:sz w:val="18"/>
          <w:szCs w:val="18"/>
          <w:color w:val="auto"/>
        </w:rPr>
      </w:pPr>
    </w:p>
    <w:p>
      <w:pPr>
        <w:ind w:left="760" w:right="460" w:firstLine="9"/>
        <w:spacing w:after="0" w:line="282" w:lineRule="auto"/>
        <w:tabs>
          <w:tab w:leader="none" w:pos="10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333-122665) pertaining to the 2004 Stock Incentive Plan and 2000 General Stock Incentive Plan of MediciNova, Inc.;</w:t>
      </w:r>
    </w:p>
    <w:p>
      <w:pPr>
        <w:spacing w:after="0" w:line="27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our report dated March 12, 2015, with respect to the consolidated financial statements of MediciNova, Inc. included in this Annual Report (Form 10-K) of MediciNova, Inc. for the year ended December 31, 2015.</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2016</w:t>
      </w:r>
    </w:p>
    <w:p>
      <w:pPr>
        <w:sectPr>
          <w:pgSz w:w="11900" w:h="16838" w:orient="portrait"/>
          <w:cols w:equalWidth="0" w:num="1">
            <w:col w:w="11420"/>
          </w:cols>
          <w:pgMar w:left="240" w:top="117"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2015 of MediciNova,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500" w:firstLine="526"/>
        <w:spacing w:after="0" w:line="266" w:lineRule="auto"/>
        <w:tabs>
          <w:tab w:leader="none" w:pos="7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526"/>
        <w:spacing w:after="0" w:line="266" w:lineRule="auto"/>
        <w:tabs>
          <w:tab w:leader="none" w:pos="7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526"/>
        <w:spacing w:after="0" w:line="282" w:lineRule="auto"/>
        <w:tabs>
          <w:tab w:leader="none" w:pos="7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0" w:firstLine="526"/>
        <w:spacing w:after="0" w:line="266" w:lineRule="auto"/>
        <w:tabs>
          <w:tab w:leader="none" w:pos="7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526"/>
        <w:spacing w:after="0" w:line="282" w:lineRule="auto"/>
        <w:tabs>
          <w:tab w:leader="none" w:pos="7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40" w:firstLine="526"/>
        <w:spacing w:after="0" w:line="282" w:lineRule="auto"/>
        <w:tabs>
          <w:tab w:leader="none" w:pos="7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Yuichi Iwaki</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2016</w:t>
      </w:r>
    </w:p>
    <w:p>
      <w:pPr>
        <w:sectPr>
          <w:pgSz w:w="11900" w:h="16838" w:orient="portrait"/>
          <w:cols w:equalWidth="0" w:num="1">
            <w:col w:w="11420"/>
          </w:cols>
          <w:pgMar w:left="240" w:top="117"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van den Boom,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2015 of MediciNova,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500" w:firstLine="526"/>
        <w:spacing w:after="0" w:line="266" w:lineRule="auto"/>
        <w:tabs>
          <w:tab w:leader="none" w:pos="7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526"/>
        <w:spacing w:after="0" w:line="266" w:lineRule="auto"/>
        <w:tabs>
          <w:tab w:leader="none" w:pos="7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526"/>
        <w:spacing w:after="0" w:line="282" w:lineRule="auto"/>
        <w:tabs>
          <w:tab w:leader="none" w:pos="7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0" w:firstLine="526"/>
        <w:spacing w:after="0" w:line="266" w:lineRule="auto"/>
        <w:tabs>
          <w:tab w:leader="none" w:pos="7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526"/>
        <w:spacing w:after="0" w:line="282" w:lineRule="auto"/>
        <w:tabs>
          <w:tab w:leader="none" w:pos="7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40" w:firstLine="526"/>
        <w:spacing w:after="0" w:line="282" w:lineRule="auto"/>
        <w:tabs>
          <w:tab w:leader="none" w:pos="7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Esther van den Boom</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2016</w:t>
      </w:r>
    </w:p>
    <w:p>
      <w:pPr>
        <w:sectPr>
          <w:pgSz w:w="11900" w:h="16838" w:orient="portrait"/>
          <w:cols w:equalWidth="0" w:num="1">
            <w:col w:w="11420"/>
          </w:cols>
          <w:pgMar w:left="240" w:top="117"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75"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2015,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00" w:hanging="17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17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Yuichi Iwaki</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Yuichi Iwaki, M.D., Ph.D.</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6" w:lineRule="exact"/>
        <w:rPr>
          <w:sz w:val="20"/>
          <w:szCs w:val="20"/>
          <w:color w:val="auto"/>
        </w:rPr>
      </w:pPr>
    </w:p>
    <w:p>
      <w:pPr>
        <w:ind w:right="3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75"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2015, as filed with the Securities and Exchange Commission on the date hereof (the “Report”), I, Esther van den Boom, as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00" w:hanging="17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17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Esther van den Boom</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Esther van den Boom</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96" w:lineRule="exact"/>
        <w:rPr>
          <w:sz w:val="20"/>
          <w:szCs w:val="20"/>
          <w:color w:val="auto"/>
        </w:rPr>
      </w:pPr>
    </w:p>
    <w:p>
      <w:pPr>
        <w:ind w:right="3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0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0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2019-12-29T13:19:10Z</dcterms:created>
  <dcterms:modified xsi:type="dcterms:W3CDTF">2019-12-29T13:19:10Z</dcterms:modified>
</cp:coreProperties>
</file>