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6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48" w:lineRule="exact"/>
        <w:rPr>
          <w:sz w:val="24"/>
          <w:szCs w:val="24"/>
          <w:color w:val="auto"/>
        </w:rPr>
      </w:pPr>
    </w:p>
    <w:p>
      <w:pPr>
        <w:ind w:left="500" w:right="24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p>
      <w:pPr>
        <w:spacing w:after="0" w:line="104"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460" w:space="720"/>
            <w:col w:w="4080"/>
          </w:cols>
          <w:pgMar w:left="320" w:top="679" w:right="31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type w:val="continuous"/>
        </w:sect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4140" w:type="dxa"/>
            <w:vAlign w:val="bottom"/>
            <w:gridSpan w:val="3"/>
          </w:tcPr>
          <w:p>
            <w:pPr>
              <w:jc w:val="center"/>
              <w:ind w:left="53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1879"/>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380" w:type="dxa"/>
            <w:vAlign w:val="bottom"/>
          </w:tcPr>
          <w:p>
            <w:pPr>
              <w:spacing w:after="0"/>
              <w:rPr>
                <w:sz w:val="12"/>
                <w:szCs w:val="12"/>
                <w:color w:val="auto"/>
              </w:rPr>
            </w:pPr>
          </w:p>
        </w:tc>
        <w:tc>
          <w:tcPr>
            <w:tcW w:w="4140" w:type="dxa"/>
            <w:vAlign w:val="bottom"/>
            <w:gridSpan w:val="3"/>
          </w:tcPr>
          <w:p>
            <w:pPr>
              <w:jc w:val="center"/>
              <w:ind w:left="5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jc w:val="center"/>
              <w:ind w:right="141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 w:type="dxa"/>
            <w:vAlign w:val="bottom"/>
          </w:tcPr>
          <w:p>
            <w:pPr>
              <w:spacing w:after="0"/>
              <w:rPr>
                <w:sz w:val="16"/>
                <w:szCs w:val="16"/>
                <w:color w:val="auto"/>
              </w:rPr>
            </w:pPr>
          </w:p>
        </w:tc>
        <w:tc>
          <w:tcPr>
            <w:tcW w:w="414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380" w:type="dxa"/>
            <w:vAlign w:val="bottom"/>
          </w:tcPr>
          <w:p>
            <w:pPr>
              <w:spacing w:after="0"/>
              <w:rPr>
                <w:sz w:val="24"/>
                <w:szCs w:val="24"/>
                <w:color w:val="auto"/>
              </w:rPr>
            </w:pPr>
          </w:p>
        </w:tc>
        <w:tc>
          <w:tcPr>
            <w:tcW w:w="4140" w:type="dxa"/>
            <w:vAlign w:val="bottom"/>
            <w:gridSpan w:val="3"/>
          </w:tcPr>
          <w:p>
            <w:pPr>
              <w:jc w:val="center"/>
              <w:ind w:left="559"/>
              <w:spacing w:after="0"/>
              <w:rPr>
                <w:sz w:val="20"/>
                <w:szCs w:val="20"/>
                <w:color w:val="auto"/>
              </w:rPr>
            </w:pPr>
            <w:r>
              <w:rPr>
                <w:rFonts w:ascii="Arial" w:cs="Arial" w:eastAsia="Arial" w:hAnsi="Arial"/>
                <w:sz w:val="18"/>
                <w:szCs w:val="18"/>
                <w:b w:val="1"/>
                <w:bCs w:val="1"/>
                <w:color w:val="auto"/>
                <w:w w:val="89"/>
              </w:rPr>
              <w:t>4275 Executive Square, Suite 300</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4140" w:type="dxa"/>
            <w:vAlign w:val="bottom"/>
            <w:gridSpan w:val="3"/>
          </w:tcPr>
          <w:p>
            <w:pPr>
              <w:jc w:val="center"/>
              <w:ind w:left="539"/>
              <w:spacing w:after="0"/>
              <w:rPr>
                <w:sz w:val="20"/>
                <w:szCs w:val="20"/>
                <w:color w:val="auto"/>
              </w:rPr>
            </w:pPr>
            <w:r>
              <w:rPr>
                <w:rFonts w:ascii="Arial" w:cs="Arial" w:eastAsia="Arial" w:hAnsi="Arial"/>
                <w:sz w:val="18"/>
                <w:szCs w:val="18"/>
                <w:b w:val="1"/>
                <w:bCs w:val="1"/>
                <w:color w:val="auto"/>
                <w:w w:val="93"/>
              </w:rPr>
              <w:t>La Jolla, CA</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2079"/>
              <w:spacing w:after="0"/>
              <w:rPr>
                <w:sz w:val="20"/>
                <w:szCs w:val="20"/>
                <w:color w:val="auto"/>
              </w:rPr>
            </w:pPr>
            <w:r>
              <w:rPr>
                <w:rFonts w:ascii="Arial" w:cs="Arial" w:eastAsia="Arial" w:hAnsi="Arial"/>
                <w:sz w:val="18"/>
                <w:szCs w:val="18"/>
                <w:b w:val="1"/>
                <w:bCs w:val="1"/>
                <w:color w:val="auto"/>
              </w:rPr>
              <w:t>92037</w:t>
            </w:r>
          </w:p>
        </w:tc>
      </w:tr>
      <w:tr>
        <w:trPr>
          <w:trHeight w:val="186"/>
        </w:trPr>
        <w:tc>
          <w:tcPr>
            <w:tcW w:w="380" w:type="dxa"/>
            <w:vAlign w:val="bottom"/>
          </w:tcPr>
          <w:p>
            <w:pPr>
              <w:spacing w:after="0"/>
              <w:rPr>
                <w:sz w:val="16"/>
                <w:szCs w:val="16"/>
                <w:color w:val="auto"/>
              </w:rPr>
            </w:pPr>
          </w:p>
        </w:tc>
        <w:tc>
          <w:tcPr>
            <w:tcW w:w="414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jc w:val="center"/>
              <w:ind w:right="67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gridSpan w:val="4"/>
          </w:tcPr>
          <w:p>
            <w:pPr>
              <w:jc w:val="center"/>
              <w:ind w:left="3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260" w:type="dxa"/>
            <w:vAlign w:val="bottom"/>
          </w:tcPr>
          <w:p>
            <w:pPr>
              <w:spacing w:after="0"/>
              <w:rPr>
                <w:sz w:val="18"/>
                <w:szCs w:val="18"/>
                <w:color w:val="auto"/>
              </w:rPr>
            </w:pPr>
          </w:p>
        </w:tc>
      </w:tr>
      <w:tr>
        <w:trPr>
          <w:trHeight w:val="425"/>
        </w:trPr>
        <w:tc>
          <w:tcPr>
            <w:tcW w:w="4520" w:type="dxa"/>
            <w:vAlign w:val="bottom"/>
            <w:gridSpan w:val="4"/>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41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2"/>
              </w:rPr>
              <w:t>Common Stock, $0.001 par value</w:t>
            </w:r>
          </w:p>
        </w:tc>
        <w:tc>
          <w:tcPr>
            <w:tcW w:w="31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MNOV</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r>
        <w:trPr>
          <w:trHeight w:val="195"/>
        </w:trPr>
        <w:tc>
          <w:tcPr>
            <w:tcW w:w="38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right="739"/>
              <w:spacing w:after="0" w:line="195" w:lineRule="exact"/>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4" w:lineRule="exact"/>
        <w:rPr>
          <w:sz w:val="24"/>
          <w:szCs w:val="24"/>
          <w:color w:val="auto"/>
        </w:rPr>
      </w:pPr>
    </w:p>
    <w:p>
      <w:pPr>
        <w:ind w:right="140"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22" w:lineRule="exact"/>
        <w:rPr>
          <w:sz w:val="24"/>
          <w:szCs w:val="24"/>
          <w:color w:val="auto"/>
        </w:rPr>
      </w:pPr>
    </w:p>
    <w:p>
      <w:pPr>
        <w:spacing w:after="0" w:line="184" w:lineRule="exact"/>
        <w:tabs>
          <w:tab w:leader="none" w:pos="10140" w:val="left"/>
          <w:tab w:leader="none" w:pos="10780" w:val="left"/>
        </w:tabs>
        <w:rPr>
          <w:sz w:val="20"/>
          <w:szCs w:val="20"/>
          <w:color w:val="auto"/>
        </w:rPr>
      </w:pPr>
      <w:r>
        <w:rPr>
          <w:rFonts w:ascii="Arial" w:cs="Arial" w:eastAsia="Arial" w:hAnsi="Arial"/>
          <w:sz w:val="15"/>
          <w:szCs w:val="15"/>
          <w:color w:val="auto"/>
        </w:rPr>
        <w:t>Regulation S-T (§232.405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ind w:right="300" w:firstLine="51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80"/>
              <w:spacing w:after="0"/>
              <w:rPr>
                <w:sz w:val="20"/>
                <w:szCs w:val="20"/>
                <w:color w:val="auto"/>
              </w:rPr>
            </w:pPr>
            <w:r>
              <w:rPr>
                <w:rFonts w:ascii="Arial" w:cs="Arial" w:eastAsia="Arial" w:hAnsi="Arial"/>
                <w:sz w:val="16"/>
                <w:szCs w:val="16"/>
                <w:color w:val="auto"/>
              </w:rPr>
              <w:t>Accelerated filer</w:t>
            </w:r>
          </w:p>
        </w:tc>
        <w:tc>
          <w:tcPr>
            <w:tcW w:w="118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1"/>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80"/>
              <w:spacing w:after="0"/>
              <w:rPr>
                <w:sz w:val="20"/>
                <w:szCs w:val="20"/>
                <w:color w:val="auto"/>
              </w:rPr>
            </w:pPr>
            <w:r>
              <w:rPr>
                <w:rFonts w:ascii="Arial" w:cs="Arial" w:eastAsia="Arial" w:hAnsi="Arial"/>
                <w:sz w:val="16"/>
                <w:szCs w:val="16"/>
                <w:color w:val="auto"/>
              </w:rPr>
              <w:t>Smaller reporting company</w:t>
            </w:r>
          </w:p>
        </w:tc>
        <w:tc>
          <w:tcPr>
            <w:tcW w:w="11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535"/>
        </w:trPr>
        <w:tc>
          <w:tcPr>
            <w:tcW w:w="19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type w:val="continuous"/>
        </w:sectPr>
      </w:pPr>
    </w:p>
    <w:bookmarkStart w:id="1" w:name="page2"/>
    <w:bookmarkEnd w:id="1"/>
    <w:p>
      <w:pPr>
        <w:jc w:val="right"/>
        <w:spacing w:after="0" w:line="184" w:lineRule="exact"/>
        <w:tabs>
          <w:tab w:leader="none" w:pos="1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w:t>
      </w:r>
    </w:p>
    <w:p>
      <w:pPr>
        <w:spacing w:after="0" w:line="31" w:lineRule="exact"/>
        <w:rPr>
          <w:sz w:val="20"/>
          <w:szCs w:val="20"/>
          <w:color w:val="auto"/>
        </w:rPr>
      </w:pPr>
    </w:p>
    <w:p>
      <w:pPr>
        <w:spacing w:after="0" w:line="184" w:lineRule="exact"/>
        <w:tabs>
          <w:tab w:leader="none" w:pos="7720" w:val="left"/>
        </w:tabs>
        <w:rPr>
          <w:sz w:val="20"/>
          <w:szCs w:val="20"/>
          <w:color w:val="auto"/>
        </w:rPr>
      </w:pPr>
      <w:r>
        <w:rPr>
          <w:rFonts w:ascii="Arial" w:cs="Arial" w:eastAsia="Arial" w:hAnsi="Arial"/>
          <w:sz w:val="16"/>
          <w:szCs w:val="16"/>
          <w:color w:val="auto"/>
        </w:rPr>
        <w:t>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187" w:lineRule="exact"/>
        <w:rPr>
          <w:sz w:val="20"/>
          <w:szCs w:val="20"/>
          <w:color w:val="auto"/>
        </w:rPr>
      </w:pPr>
    </w:p>
    <w:p>
      <w:pPr>
        <w:ind w:left="520" w:right="15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21, 2020, the registrant had 44,067,859 shares of Common Stock ($0.001 par value)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320" w:top="518" w:right="9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right="180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or any other public health crisis, could adversely affect our business;</w:t>
      </w:r>
    </w:p>
    <w:p>
      <w:pPr>
        <w:spacing w:after="0" w:line="62"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30" w:lineRule="exact"/>
        <w:rPr>
          <w:rFonts w:ascii="Arial" w:cs="Arial" w:eastAsia="Arial" w:hAnsi="Arial"/>
          <w:sz w:val="18"/>
          <w:szCs w:val="18"/>
          <w:color w:val="auto"/>
        </w:rPr>
      </w:pPr>
    </w:p>
    <w:p>
      <w:pPr>
        <w:ind w:left="1100" w:right="148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89" w:lineRule="exact"/>
        <w:rPr>
          <w:rFonts w:ascii="Arial" w:cs="Arial" w:eastAsia="Arial" w:hAnsi="Arial"/>
          <w:sz w:val="18"/>
          <w:szCs w:val="18"/>
          <w:color w:val="auto"/>
        </w:rPr>
      </w:pPr>
    </w:p>
    <w:p>
      <w:pPr>
        <w:ind w:left="1100" w:right="19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30" w:lineRule="exact"/>
        <w:rPr>
          <w:rFonts w:ascii="Arial" w:cs="Arial" w:eastAsia="Arial" w:hAnsi="Arial"/>
          <w:sz w:val="18"/>
          <w:szCs w:val="18"/>
          <w:color w:val="auto"/>
        </w:rPr>
      </w:pPr>
    </w:p>
    <w:p>
      <w:pPr>
        <w:ind w:left="1100" w:right="190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30" w:lineRule="exact"/>
        <w:rPr>
          <w:rFonts w:ascii="Arial" w:cs="Arial" w:eastAsia="Arial" w:hAnsi="Arial"/>
          <w:sz w:val="18"/>
          <w:szCs w:val="18"/>
          <w:color w:val="auto"/>
        </w:rPr>
      </w:pPr>
    </w:p>
    <w:p>
      <w:pPr>
        <w:ind w:left="1100" w:right="19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 w:name="page4"/>
    <w:bookmarkEnd w:id="3"/>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8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645"/>
          </w:cols>
          <w:pgMar w:left="814" w:top="44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420" w:type="dxa"/>
            <w:vAlign w:val="bottom"/>
          </w:tcPr>
          <w:p>
            <w:pPr>
              <w:ind w:left="3640"/>
              <w:spacing w:after="0"/>
              <w:rPr>
                <w:sz w:val="20"/>
                <w:szCs w:val="20"/>
                <w:color w:val="auto"/>
              </w:rPr>
            </w:pPr>
            <w:r>
              <w:rPr>
                <w:rFonts w:ascii="Arial" w:cs="Arial" w:eastAsia="Arial" w:hAnsi="Arial"/>
                <w:sz w:val="18"/>
                <w:szCs w:val="18"/>
                <w:b w:val="1"/>
                <w:bCs w:val="1"/>
                <w:color w:val="auto"/>
              </w:rPr>
              <w:t>MEDICINOVA, INC.</w:t>
            </w:r>
          </w:p>
        </w:tc>
        <w:tc>
          <w:tcPr>
            <w:tcW w:w="6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942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46"/>
        </w:trPr>
        <w:tc>
          <w:tcPr>
            <w:tcW w:w="1058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 FINANCIAL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4"/>
        </w:trPr>
        <w:tc>
          <w:tcPr>
            <w:tcW w:w="1160" w:type="dxa"/>
            <w:vAlign w:val="bottom"/>
          </w:tcPr>
          <w:p>
            <w:pPr>
              <w:ind w:left="120"/>
              <w:spacing w:after="0"/>
              <w:rPr>
                <w:sz w:val="20"/>
                <w:szCs w:val="20"/>
                <w:color w:val="auto"/>
              </w:rPr>
            </w:pPr>
            <w:r>
              <w:rPr>
                <w:rFonts w:ascii="Arial" w:cs="Arial" w:eastAsia="Arial" w:hAnsi="Arial"/>
                <w:sz w:val="18"/>
                <w:szCs w:val="18"/>
                <w:color w:val="auto"/>
              </w:rPr>
              <w:t>ITEM 1.</w:t>
            </w:r>
          </w:p>
        </w:tc>
        <w:tc>
          <w:tcPr>
            <w:tcW w:w="942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FINANCIAL STATEMENTS (unaudited)</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2.</w:t>
            </w:r>
          </w:p>
        </w:tc>
        <w:tc>
          <w:tcPr>
            <w:tcW w:w="9420" w:type="dxa"/>
            <w:vAlign w:val="bottom"/>
          </w:tcPr>
          <w:p>
            <w:pPr>
              <w:ind w:left="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3.</w:t>
            </w:r>
          </w:p>
        </w:tc>
        <w:tc>
          <w:tcPr>
            <w:tcW w:w="9420" w:type="dxa"/>
            <w:vAlign w:val="bottom"/>
          </w:tcPr>
          <w:p>
            <w:pPr>
              <w:ind w:lef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4.</w:t>
            </w:r>
          </w:p>
        </w:tc>
        <w:tc>
          <w:tcPr>
            <w:tcW w:w="9420" w:type="dxa"/>
            <w:vAlign w:val="bottom"/>
          </w:tcPr>
          <w:p>
            <w:pPr>
              <w:ind w:lef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10580" w:type="dxa"/>
            <w:vAlign w:val="bottom"/>
            <w:gridSpan w:val="2"/>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PART II. 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4"/>
        </w:trPr>
        <w:tc>
          <w:tcPr>
            <w:tcW w:w="1160" w:type="dxa"/>
            <w:vAlign w:val="bottom"/>
          </w:tcPr>
          <w:p>
            <w:pPr>
              <w:ind w:left="120"/>
              <w:spacing w:after="0"/>
              <w:rPr>
                <w:sz w:val="20"/>
                <w:szCs w:val="20"/>
                <w:color w:val="auto"/>
              </w:rPr>
            </w:pPr>
            <w:r>
              <w:rPr>
                <w:rFonts w:ascii="Arial" w:cs="Arial" w:eastAsia="Arial" w:hAnsi="Arial"/>
                <w:sz w:val="18"/>
                <w:szCs w:val="18"/>
                <w:color w:val="auto"/>
              </w:rPr>
              <w:t>ITEM 1.</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1A.</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2.</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3.</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DEFAULTS UPON SENIOR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4.</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5.</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6.</w:t>
            </w:r>
          </w:p>
        </w:tc>
        <w:tc>
          <w:tcPr>
            <w:tcW w:w="942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1160" w:type="dxa"/>
            <w:vAlign w:val="bottom"/>
          </w:tcPr>
          <w:p>
            <w:pPr>
              <w:spacing w:after="0"/>
              <w:rPr>
                <w:rFonts w:ascii="Arial" w:cs="Arial" w:eastAsia="Arial" w:hAnsi="Arial"/>
                <w:sz w:val="18"/>
                <w:szCs w:val="18"/>
                <w:u w:val="single" w:color="auto"/>
                <w:color w:val="0000EE"/>
                <w:w w:val="97"/>
              </w:rPr>
            </w:pPr>
            <w:hyperlink w:anchor="page23">
              <w:r>
                <w:rPr>
                  <w:rFonts w:ascii="Arial" w:cs="Arial" w:eastAsia="Arial" w:hAnsi="Arial"/>
                  <w:sz w:val="18"/>
                  <w:szCs w:val="18"/>
                  <w:u w:val="single" w:color="auto"/>
                  <w:color w:val="0000EE"/>
                  <w:w w:val="97"/>
                </w:rPr>
                <w:t>SIGNATURES</w:t>
              </w:r>
            </w:hyperlink>
          </w:p>
        </w:tc>
        <w:tc>
          <w:tcPr>
            <w:tcW w:w="9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320" w:type="dxa"/>
            <w:vAlign w:val="bottom"/>
          </w:tcPr>
          <w:p>
            <w:pPr>
              <w:jc w:val="center"/>
              <w:ind w:left="261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320" w:type="dxa"/>
            <w:vAlign w:val="bottom"/>
          </w:tcPr>
          <w:p>
            <w:pPr>
              <w:jc w:val="center"/>
              <w:ind w:left="2610"/>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32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0"/>
        </w:trPr>
        <w:tc>
          <w:tcPr>
            <w:tcW w:w="11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11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r>
      <w:tr>
        <w:trPr>
          <w:trHeight w:val="156"/>
        </w:trPr>
        <w:tc>
          <w:tcPr>
            <w:tcW w:w="11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61,330,267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63,792,657</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835,537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511,916</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62,165,804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64,304,573</w:t>
            </w: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40,550</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410,319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459,811</w:t>
            </w:r>
          </w:p>
        </w:tc>
        <w:tc>
          <w:tcPr>
            <w:tcW w:w="8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3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77,014,481</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79,205,174</w:t>
            </w:r>
          </w:p>
        </w:tc>
        <w:tc>
          <w:tcPr>
            <w:tcW w:w="80" w:type="dxa"/>
            <w:vAlign w:val="bottom"/>
            <w:tcBorders>
              <w:bottom w:val="single" w:sz="8" w:color="CFF0FC"/>
            </w:tcBorders>
          </w:tcPr>
          <w:p>
            <w:pPr>
              <w:spacing w:after="0"/>
              <w:rPr>
                <w:sz w:val="22"/>
                <w:szCs w:val="22"/>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7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451,326</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1,417,143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1,776,912</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1,794,643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2,228,238</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Long-term deferred revenue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1,694,163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127,615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186,358</w:t>
            </w:r>
          </w:p>
        </w:tc>
        <w:tc>
          <w:tcPr>
            <w:tcW w:w="80" w:type="dxa"/>
            <w:vAlign w:val="bottom"/>
            <w:tcBorders>
              <w:bottom w:val="single" w:sz="8" w:color="CFF0FC"/>
            </w:tcBorders>
          </w:tcPr>
          <w:p>
            <w:pPr>
              <w:spacing w:after="0"/>
              <w:rPr>
                <w:sz w:val="19"/>
                <w:szCs w:val="19"/>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3,818,213</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4,310,551</w:t>
            </w:r>
          </w:p>
        </w:tc>
        <w:tc>
          <w:tcPr>
            <w:tcW w:w="80" w:type="dxa"/>
            <w:vAlign w:val="bottom"/>
            <w:shd w:val="clear" w:color="auto" w:fill="CFF0FC"/>
          </w:tcPr>
          <w:p>
            <w:pPr>
              <w:spacing w:after="0"/>
              <w:rPr>
                <w:sz w:val="19"/>
                <w:szCs w:val="19"/>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440" w:type="dxa"/>
            <w:vAlign w:val="bottom"/>
            <w:gridSpan w:val="2"/>
          </w:tcPr>
          <w:p>
            <w:pPr>
              <w:ind w:left="380"/>
              <w:spacing w:after="0"/>
              <w:rPr>
                <w:sz w:val="20"/>
                <w:szCs w:val="20"/>
                <w:color w:val="auto"/>
              </w:rPr>
            </w:pPr>
            <w:r>
              <w:rPr>
                <w:rFonts w:ascii="Arial" w:cs="Arial" w:eastAsia="Arial" w:hAnsi="Arial"/>
                <w:sz w:val="18"/>
                <w:szCs w:val="18"/>
                <w:color w:val="auto"/>
                <w:w w:val="99"/>
              </w:rPr>
              <w:t>Common stock, $0.001 par value; 100,000,000 shares authorized at March 31, 2020 and</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tcPr>
          <w:p>
            <w:pPr>
              <w:ind w:left="380"/>
              <w:spacing w:after="0"/>
              <w:rPr>
                <w:sz w:val="20"/>
                <w:szCs w:val="20"/>
                <w:color w:val="auto"/>
              </w:rPr>
            </w:pPr>
            <w:r>
              <w:rPr>
                <w:rFonts w:ascii="Arial" w:cs="Arial" w:eastAsia="Arial" w:hAnsi="Arial"/>
                <w:sz w:val="18"/>
                <w:szCs w:val="18"/>
                <w:color w:val="auto"/>
                <w:w w:val="94"/>
              </w:rPr>
              <w:t>December 31, 2019; 43,978,996 and 43,908,065 shares issued and outstanding at March 31,</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2020 and December 31, 2019, respectively</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43,979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43,908</w:t>
            </w:r>
          </w:p>
        </w:tc>
        <w:tc>
          <w:tcPr>
            <w:tcW w:w="80" w:type="dxa"/>
            <w:vAlign w:val="bottom"/>
          </w:tcPr>
          <w:p>
            <w:pPr>
              <w:spacing w:after="0"/>
              <w:rPr>
                <w:sz w:val="20"/>
                <w:szCs w:val="20"/>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445,031,594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444,016,341</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(92,801)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(92,681)</w:t>
            </w: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(371,786,504)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(369,072,945)</w:t>
            </w:r>
          </w:p>
        </w:tc>
      </w:tr>
      <w:tr>
        <w:trPr>
          <w:trHeight w:val="223"/>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73,196,268</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74,894,623</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77,014,481</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79,205,174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2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1,250,745</w:t>
            </w:r>
          </w:p>
        </w:tc>
        <w:tc>
          <w:tcPr>
            <w:tcW w:w="280" w:type="dxa"/>
            <w:vAlign w:val="bottom"/>
          </w:tcPr>
          <w:p>
            <w:pPr>
              <w:spacing w:after="0"/>
              <w:rPr>
                <w:sz w:val="19"/>
                <w:szCs w:val="19"/>
                <w:color w:val="auto"/>
              </w:rPr>
            </w:pPr>
          </w:p>
        </w:tc>
        <w:tc>
          <w:tcPr>
            <w:tcW w:w="560" w:type="dxa"/>
            <w:vAlign w:val="bottom"/>
            <w:gridSpan w:val="2"/>
          </w:tcPr>
          <w:p>
            <w:pPr>
              <w:jc w:val="right"/>
              <w:ind w:right="42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1,633,878</w:t>
            </w:r>
          </w:p>
        </w:tc>
        <w:tc>
          <w:tcPr>
            <w:tcW w:w="280" w:type="dxa"/>
            <w:vAlign w:val="bottom"/>
          </w:tcPr>
          <w:p>
            <w:pPr>
              <w:spacing w:after="0"/>
              <w:rPr>
                <w:sz w:val="19"/>
                <w:szCs w:val="19"/>
                <w:color w:val="auto"/>
              </w:rPr>
            </w:pPr>
          </w:p>
        </w:tc>
      </w:tr>
      <w:tr>
        <w:trPr>
          <w:trHeight w:val="229"/>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2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1,673,754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3,345,481</w:t>
            </w:r>
          </w:p>
        </w:tc>
        <w:tc>
          <w:tcPr>
            <w:tcW w:w="280" w:type="dxa"/>
            <w:vAlign w:val="bottom"/>
            <w:shd w:val="clear" w:color="auto" w:fill="CFF0FC"/>
          </w:tcPr>
          <w:p>
            <w:pPr>
              <w:spacing w:after="0"/>
              <w:rPr>
                <w:sz w:val="19"/>
                <w:szCs w:val="19"/>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2,924,499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4,979,359</w:t>
            </w:r>
          </w:p>
        </w:tc>
        <w:tc>
          <w:tcPr>
            <w:tcW w:w="28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(2,924,499)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(4,979,359)</w:t>
            </w:r>
          </w:p>
        </w:tc>
        <w:tc>
          <w:tcPr>
            <w:tcW w:w="28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Interest income</w:t>
            </w: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223,280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304,245</w:t>
            </w:r>
          </w:p>
        </w:tc>
        <w:tc>
          <w:tcPr>
            <w:tcW w:w="28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(12,340)</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(22,076)</w:t>
            </w:r>
          </w:p>
        </w:tc>
      </w:tr>
      <w:tr>
        <w:trPr>
          <w:trHeight w:val="26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21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(2,713,559)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(4,697,190)</w:t>
            </w:r>
          </w:p>
        </w:tc>
        <w:tc>
          <w:tcPr>
            <w:tcW w:w="280" w:type="dxa"/>
            <w:vAlign w:val="bottom"/>
            <w:tcBorders>
              <w:bottom w:val="single" w:sz="8" w:color="CFF0FC"/>
            </w:tcBorders>
          </w:tcPr>
          <w:p>
            <w:pPr>
              <w:spacing w:after="0"/>
              <w:rPr>
                <w:sz w:val="22"/>
                <w:szCs w:val="22"/>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2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4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FF0FC"/>
          </w:tcPr>
          <w:p>
            <w:pPr>
              <w:spacing w:after="0"/>
              <w:rPr>
                <w:sz w:val="18"/>
                <w:szCs w:val="18"/>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43,949,291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42,467,905</w:t>
            </w:r>
          </w:p>
        </w:tc>
        <w:tc>
          <w:tcPr>
            <w:tcW w:w="280" w:type="dxa"/>
            <w:vAlign w:val="bottom"/>
          </w:tcPr>
          <w:p>
            <w:pPr>
              <w:spacing w:after="0"/>
              <w:rPr>
                <w:sz w:val="20"/>
                <w:szCs w:val="20"/>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2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(2,713,559)</w:t>
            </w:r>
          </w:p>
        </w:tc>
        <w:tc>
          <w:tcPr>
            <w:tcW w:w="560" w:type="dxa"/>
            <w:vAlign w:val="bottom"/>
            <w:gridSpan w:val="2"/>
            <w:shd w:val="clear" w:color="auto" w:fill="CFF0FC"/>
          </w:tcPr>
          <w:p>
            <w:pPr>
              <w:jc w:val="right"/>
              <w:ind w:right="429"/>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(4,697,190)</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(1,781)</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Comprehensive loss</w:t>
            </w:r>
          </w:p>
        </w:tc>
        <w:tc>
          <w:tcPr>
            <w:tcW w:w="2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(2,713,679)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(4,698,971)</w:t>
            </w:r>
          </w:p>
        </w:tc>
        <w:tc>
          <w:tcPr>
            <w:tcW w:w="28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340" w:type="dxa"/>
            <w:vAlign w:val="bottom"/>
            <w:gridSpan w:val="2"/>
          </w:tcPr>
          <w:p>
            <w:pPr>
              <w:ind w:left="3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2019</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43,908,065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444,016,341</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(92,681)</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(369,072,945)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74,894,623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596,378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596,378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purchase plan (ESPP)</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equity distribution</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200" w:type="dxa"/>
            <w:vAlign w:val="bottom"/>
          </w:tcPr>
          <w:p>
            <w:pPr>
              <w:jc w:val="right"/>
              <w:spacing w:after="0"/>
              <w:rPr>
                <w:sz w:val="20"/>
                <w:szCs w:val="20"/>
                <w:color w:val="auto"/>
              </w:rPr>
            </w:pPr>
            <w:r>
              <w:rPr>
                <w:rFonts w:ascii="Arial" w:cs="Arial" w:eastAsia="Arial" w:hAnsi="Arial"/>
                <w:sz w:val="14"/>
                <w:szCs w:val="14"/>
                <w:color w:val="auto"/>
              </w:rPr>
              <w:t>68,952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412,623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412,692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(2,713,559)</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(2,713,559)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2020</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43,978,996</w:t>
            </w:r>
          </w:p>
        </w:tc>
        <w:tc>
          <w:tcPr>
            <w:tcW w:w="1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43,979</w:t>
            </w: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445,031,594</w:t>
            </w: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(92,801)</w:t>
            </w: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(371,786,504)</w:t>
            </w: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gridSpan w:val="3"/>
            <w:shd w:val="clear" w:color="auto" w:fill="CFF0FC"/>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73,196,268</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03"/>
        </w:trPr>
        <w:tc>
          <w:tcPr>
            <w:tcW w:w="32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340" w:type="dxa"/>
            <w:vAlign w:val="bottom"/>
            <w:gridSpan w:val="2"/>
          </w:tcPr>
          <w:p>
            <w:pPr>
              <w:ind w:left="3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2018</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42,081,306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429,289,968</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(93,150)</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(356,131,287)</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73,107,612</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2,699,500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2,699,500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purchase plan</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equity distribution</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(8,532)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977,454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3,919,757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3,920,735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(4,697,190)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(4,697,190)</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55"/>
        </w:trPr>
        <w:tc>
          <w:tcPr>
            <w:tcW w:w="3200" w:type="dxa"/>
            <w:vAlign w:val="bottom"/>
          </w:tcPr>
          <w:p>
            <w:pPr>
              <w:ind w:left="260"/>
              <w:spacing w:after="0" w:line="155" w:lineRule="exact"/>
              <w:rPr>
                <w:sz w:val="20"/>
                <w:szCs w:val="20"/>
                <w:color w:val="auto"/>
              </w:rPr>
            </w:pPr>
            <w:r>
              <w:rPr>
                <w:rFonts w:ascii="Arial" w:cs="Arial" w:eastAsia="Arial" w:hAnsi="Arial"/>
                <w:sz w:val="14"/>
                <w:szCs w:val="14"/>
                <w:color w:val="auto"/>
              </w:rPr>
              <w:t>Balance at March 31, 2019</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43,061,161</w:t>
            </w:r>
          </w:p>
        </w:tc>
        <w:tc>
          <w:tcPr>
            <w:tcW w:w="140" w:type="dxa"/>
            <w:vAlign w:val="bottom"/>
          </w:tcPr>
          <w:p>
            <w:pPr>
              <w:spacing w:after="0"/>
              <w:rPr>
                <w:sz w:val="13"/>
                <w:szCs w:val="13"/>
                <w:color w:val="auto"/>
              </w:rPr>
            </w:pPr>
          </w:p>
        </w:tc>
        <w:tc>
          <w:tcPr>
            <w:tcW w:w="420" w:type="dxa"/>
            <w:vAlign w:val="bottom"/>
            <w:tcBorders>
              <w:top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43,061</w:t>
            </w:r>
          </w:p>
        </w:tc>
        <w:tc>
          <w:tcPr>
            <w:tcW w:w="120" w:type="dxa"/>
            <w:vAlign w:val="bottom"/>
          </w:tcPr>
          <w:p>
            <w:pPr>
              <w:spacing w:after="0"/>
              <w:rPr>
                <w:sz w:val="13"/>
                <w:szCs w:val="13"/>
                <w:color w:val="auto"/>
              </w:rPr>
            </w:pPr>
          </w:p>
        </w:tc>
        <w:tc>
          <w:tcPr>
            <w:tcW w:w="2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435,917,594</w:t>
            </w:r>
          </w:p>
        </w:tc>
        <w:tc>
          <w:tcPr>
            <w:tcW w:w="100" w:type="dxa"/>
            <w:vAlign w:val="bottom"/>
          </w:tcPr>
          <w:p>
            <w:pPr>
              <w:spacing w:after="0"/>
              <w:rPr>
                <w:sz w:val="13"/>
                <w:szCs w:val="13"/>
                <w:color w:val="auto"/>
              </w:rPr>
            </w:pPr>
          </w:p>
        </w:tc>
        <w:tc>
          <w:tcPr>
            <w:tcW w:w="2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(94,931)</w:t>
            </w:r>
          </w:p>
        </w:tc>
        <w:tc>
          <w:tcPr>
            <w:tcW w:w="100" w:type="dxa"/>
            <w:vAlign w:val="bottom"/>
          </w:tcPr>
          <w:p>
            <w:pPr>
              <w:spacing w:after="0"/>
              <w:rPr>
                <w:sz w:val="13"/>
                <w:szCs w:val="13"/>
                <w:color w:val="auto"/>
              </w:rPr>
            </w:pPr>
          </w:p>
        </w:tc>
        <w:tc>
          <w:tcPr>
            <w:tcW w:w="240" w:type="dxa"/>
            <w:vAlign w:val="bottom"/>
            <w:tcBorders>
              <w:top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(360,828,477)</w:t>
            </w:r>
          </w:p>
        </w:tc>
        <w:tc>
          <w:tcPr>
            <w:tcW w:w="100" w:type="dxa"/>
            <w:vAlign w:val="bottom"/>
          </w:tcPr>
          <w:p>
            <w:pPr>
              <w:spacing w:after="0"/>
              <w:rPr>
                <w:sz w:val="13"/>
                <w:szCs w:val="13"/>
                <w:color w:val="auto"/>
              </w:rPr>
            </w:pPr>
          </w:p>
        </w:tc>
        <w:tc>
          <w:tcPr>
            <w:tcW w:w="280" w:type="dxa"/>
            <w:vAlign w:val="bottom"/>
            <w:tcBorders>
              <w:top w:val="single" w:sz="8" w:color="auto"/>
            </w:tcBorders>
            <w:gridSpan w:val="3"/>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75,037,247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3760"/>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8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(2,713,559)</w:t>
            </w: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(4,697,190)</w:t>
            </w:r>
          </w:p>
        </w:tc>
        <w:tc>
          <w:tcPr>
            <w:tcW w:w="0" w:type="dxa"/>
            <w:vAlign w:val="bottom"/>
          </w:tcPr>
          <w:p>
            <w:pPr>
              <w:spacing w:after="0"/>
              <w:rPr>
                <w:sz w:val="1"/>
                <w:szCs w:val="1"/>
                <w:color w:val="auto"/>
              </w:rPr>
            </w:pPr>
          </w:p>
        </w:tc>
      </w:tr>
      <w:tr>
        <w:trPr>
          <w:trHeight w:val="215"/>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596,378</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(273,037)</w:t>
            </w:r>
          </w:p>
        </w:tc>
        <w:tc>
          <w:tcPr>
            <w:tcW w:w="4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(109,707)</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(493,464)</w:t>
            </w:r>
          </w:p>
        </w:tc>
        <w:tc>
          <w:tcPr>
            <w:tcW w:w="4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(928,027)</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(2,878,622)</w:t>
            </w:r>
          </w:p>
        </w:tc>
        <w:tc>
          <w:tcPr>
            <w:tcW w:w="1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(3,029,290)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(2,594)</w:t>
            </w:r>
          </w:p>
        </w:tc>
        <w:tc>
          <w:tcPr>
            <w:tcW w:w="4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412,692</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3,912,202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418,946</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3,929,105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(2,462,390)</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63,792,657</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62,313,418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61,330,267</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63,209,663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480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developing novel, small molecule therapeutics for the treatment of serious diseases with unmet medical needs with a commercial focus on the United States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as well as for acute respiratory distress syndrome (ARDS),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2019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2019 has been derived from the audited financial statements at that date but does not include all the information and footnotes required by GAAP for complete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457"/>
        <w:spacing w:after="0" w:line="277" w:lineRule="auto"/>
        <w:rPr>
          <w:sz w:val="20"/>
          <w:szCs w:val="20"/>
          <w:color w:val="auto"/>
        </w:rPr>
      </w:pPr>
      <w:r>
        <w:rPr>
          <w:rFonts w:ascii="Arial" w:cs="Arial" w:eastAsia="Arial" w:hAnsi="Arial"/>
          <w:sz w:val="18"/>
          <w:szCs w:val="18"/>
          <w:color w:val="auto"/>
        </w:rPr>
        <w:t>The consolidated financial statements include the accounts of MediciNova, Inc. and its wholly owned subsidiaries. All intercompany transactions and balances are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0" w:firstLine="457"/>
        <w:spacing w:after="0" w:line="277" w:lineRule="auto"/>
        <w:rPr>
          <w:sz w:val="20"/>
          <w:szCs w:val="20"/>
          <w:color w:val="auto"/>
        </w:rPr>
      </w:pPr>
      <w:r>
        <w:rPr>
          <w:rFonts w:ascii="Arial" w:cs="Arial" w:eastAsia="Arial" w:hAnsi="Arial"/>
          <w:sz w:val="18"/>
          <w:szCs w:val="18"/>
          <w:color w:val="auto"/>
        </w:rPr>
        <w:t>The Company operates in a single operating segment – the acquisition and development of small molecule therapeutics for the treatment of serious diseases with unmet medical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and cash equivalents consist of cash and other highly liquid investments including money market accounts.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100" w:firstLine="595"/>
        <w:spacing w:after="0" w:line="263"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$1.2 million and $1.5 million for the three months ended March 31, 2020 and 2019, respectively.</w:t>
      </w:r>
    </w:p>
    <w:p>
      <w:pPr>
        <w:spacing w:after="0" w:line="76" w:lineRule="exact"/>
        <w:rPr>
          <w:sz w:val="20"/>
          <w:szCs w:val="20"/>
          <w:color w:val="auto"/>
        </w:rPr>
      </w:pPr>
    </w:p>
    <w:p>
      <w:pPr>
        <w:ind w:right="80" w:firstLine="595"/>
        <w:spacing w:after="0" w:line="277"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Patents expenses. Such patent-related expenses totaled $0.1 million for each of the three months ended March 31, 2020 and 2019,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pandemic caused by an outbreak of a new strain of coronavirus (“COVID-19”) has resulted, and is likely to continue to result, in significant national and global economic disruption and may adversely affect our business. Based on the Company’s current assessment, the Company does not expect any material impact on its long-term development timeline and its liquidity due to the worldwide spread of the COVID-19 virus. However, the Company is actively monitoring this situation and the possible effects on its financial condition, liquidity, operations, suppliers, industry, and workforce.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464"/>
        <w:spacing w:after="0" w:line="254" w:lineRule="auto"/>
        <w:rPr>
          <w:sz w:val="20"/>
          <w:szCs w:val="20"/>
          <w:color w:val="auto"/>
        </w:rPr>
      </w:pPr>
      <w:r>
        <w:rPr>
          <w:rFonts w:ascii="Arial" w:cs="Arial" w:eastAsia="Arial" w:hAnsi="Arial"/>
          <w:sz w:val="18"/>
          <w:szCs w:val="18"/>
          <w:color w:val="auto"/>
        </w:rPr>
        <w:t xml:space="preserve">In August 2018, the Financial Accounting Standards Board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 3 fair value measurements. The amendment was effective for fiscal years beginning after December 15, 2019 and interim periods within that fiscal year with early adoption permitted. The Company adopted ASU 2018-13 on January 1, 2020 with no material impact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40" w:firstLine="667"/>
        <w:spacing w:after="0" w:line="269"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March 31, 2020. The amount received from Kissei and allocated, net of the amount recorded as revenue, is included on the balance sheet as long-term deferred revenue and will be recognized as revenue as the remaining performance obligation is satisfied. No revenue was recognized for the three months ended March 31, 2020 and 2019 in connection with the collaboration agreement with Kissei.</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20" w:right="84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Cash equivalents, including money market accounts of $693,794 and $691,649 measured at fair value as of March 31, 2020 and December 31, 2019, respectively, are classified within Level 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7,200,000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2020, 1,448,135 shares remain available for future grants under the 2013 Plan.</w:t>
      </w:r>
    </w:p>
    <w:p>
      <w:pPr>
        <w:spacing w:after="0" w:line="16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unless earlier terminated and generally vest over a three or four year period. The exercise price of all options granted through March 31, 2020 and in 2019, was equal to the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March 31, 2020 is as follows:</w:t>
      </w:r>
    </w:p>
    <w:p>
      <w:pPr>
        <w:spacing w:after="0" w:line="21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6,802,093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1,211,000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(374,843)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7,638,250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Exercisable at March 31, 2020</w:t>
            </w: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6,412,250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right="40" w:firstLine="8"/>
        <w:spacing w:after="0" w:line="301"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5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 months ended March 31, 2020, an aggregate of 1,979 shares were issued under the ESPP. As of March 31, 2020, there were 215,957 shares available for future issuance under the ESPP.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stock-based compensation expenses for the three months ended March 31, 2020 and 2019, respectively:</w:t>
      </w:r>
    </w:p>
    <w:p>
      <w:pPr>
        <w:spacing w:after="0" w:line="93"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gridSpan w:val="3"/>
          </w:tcPr>
          <w:p>
            <w:pPr>
              <w:jc w:val="right"/>
              <w:ind w:right="167"/>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March 31,</w:t>
            </w:r>
          </w:p>
        </w:tc>
        <w:tc>
          <w:tcPr>
            <w:tcW w:w="1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560" w:type="dxa"/>
            <w:vAlign w:val="bottom"/>
            <w:tcBorders>
              <w:bottom w:val="single" w:sz="8" w:color="CFF0FC"/>
            </w:tcBorders>
          </w:tcPr>
          <w:p>
            <w:pPr>
              <w:spacing w:after="0"/>
              <w:rPr>
                <w:sz w:val="13"/>
                <w:szCs w:val="13"/>
                <w:color w:val="auto"/>
              </w:rPr>
            </w:pPr>
          </w:p>
        </w:tc>
        <w:tc>
          <w:tcPr>
            <w:tcW w:w="148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91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1480" w:type="dxa"/>
            <w:vAlign w:val="bottom"/>
            <w:shd w:val="clear" w:color="auto" w:fill="CFF0FC"/>
          </w:tcPr>
          <w:p>
            <w:pPr>
              <w:jc w:val="right"/>
              <w:ind w:right="129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162,697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793,055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433,681</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1,906,445</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480" w:type="dxa"/>
            <w:vAlign w:val="bottom"/>
            <w:vMerge w:val="restart"/>
            <w:shd w:val="clear" w:color="auto" w:fill="CFF0FC"/>
          </w:tcPr>
          <w:p>
            <w:pPr>
              <w:jc w:val="right"/>
              <w:ind w:right="1296"/>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596,378</w:t>
            </w:r>
          </w:p>
        </w:tc>
        <w:tc>
          <w:tcPr>
            <w:tcW w:w="220" w:type="dxa"/>
            <w:vAlign w:val="bottom"/>
            <w:shd w:val="clear" w:color="auto" w:fill="CFF0FC"/>
          </w:tcPr>
          <w:p>
            <w:pPr>
              <w:spacing w:after="0"/>
              <w:rPr>
                <w:sz w:val="19"/>
                <w:szCs w:val="19"/>
                <w:color w:val="auto"/>
              </w:rPr>
            </w:pPr>
          </w:p>
        </w:tc>
        <w:tc>
          <w:tcPr>
            <w:tcW w:w="760" w:type="dxa"/>
            <w:vAlign w:val="bottom"/>
            <w:vMerge w:val="restart"/>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2,699,500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560" w:type="dxa"/>
            <w:vAlign w:val="bottom"/>
            <w:tcBorders>
              <w:bottom w:val="single" w:sz="8" w:color="CFF0FC"/>
            </w:tcBorders>
            <w:shd w:val="clear" w:color="auto" w:fill="CFF0FC"/>
          </w:tcPr>
          <w:p>
            <w:pPr>
              <w:spacing w:after="0"/>
              <w:rPr>
                <w:sz w:val="5"/>
                <w:szCs w:val="5"/>
                <w:color w:val="auto"/>
              </w:rPr>
            </w:pPr>
          </w:p>
        </w:tc>
        <w:tc>
          <w:tcPr>
            <w:tcW w:w="1480" w:type="dxa"/>
            <w:vAlign w:val="bottom"/>
            <w:tcBorders>
              <w:bottom w:val="single" w:sz="8" w:color="auto"/>
            </w:tcBorders>
            <w:vMerge w:val="continue"/>
            <w:shd w:val="clear" w:color="auto" w:fill="CFF0FC"/>
          </w:tcPr>
          <w:p>
            <w:pPr>
              <w:spacing w:after="0"/>
              <w:rPr>
                <w:sz w:val="5"/>
                <w:szCs w:val="5"/>
                <w:color w:val="auto"/>
              </w:rPr>
            </w:pPr>
          </w:p>
        </w:tc>
        <w:tc>
          <w:tcPr>
            <w:tcW w:w="800" w:type="dxa"/>
            <w:vAlign w:val="bottom"/>
            <w:tcBorders>
              <w:bottom w:val="single" w:sz="8" w:color="auto"/>
            </w:tcBorders>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760" w:type="dxa"/>
            <w:vAlign w:val="bottom"/>
            <w:tcBorders>
              <w:bottom w:val="single" w:sz="8" w:color="auto"/>
            </w:tcBorders>
            <w:vMerge w:val="continue"/>
            <w:shd w:val="clear" w:color="auto" w:fill="CFF0FC"/>
          </w:tcPr>
          <w:p>
            <w:pPr>
              <w:spacing w:after="0"/>
              <w:rPr>
                <w:sz w:val="5"/>
                <w:szCs w:val="5"/>
                <w:color w:val="auto"/>
              </w:rPr>
            </w:pPr>
          </w:p>
        </w:tc>
        <w:tc>
          <w:tcPr>
            <w:tcW w:w="1520" w:type="dxa"/>
            <w:vAlign w:val="bottom"/>
            <w:tcBorders>
              <w:bottom w:val="single" w:sz="8" w:color="auto"/>
            </w:tcBorders>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and stock purchased under the ESPP during the three months ended March 31, 2020 and 2019, and to estimate the fair value of performance-based stock options as of March 31, 2020 and 2019.</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900" w:type="dxa"/>
            <w:vAlign w:val="bottom"/>
            <w:gridSpan w:val="2"/>
          </w:tcPr>
          <w:p>
            <w:pPr>
              <w:ind w:left="860"/>
              <w:spacing w:after="0"/>
              <w:rPr>
                <w:sz w:val="20"/>
                <w:szCs w:val="20"/>
                <w:color w:val="auto"/>
              </w:rPr>
            </w:pPr>
            <w:r>
              <w:rPr>
                <w:rFonts w:ascii="Arial" w:cs="Arial" w:eastAsia="Arial" w:hAnsi="Arial"/>
                <w:sz w:val="14"/>
                <w:szCs w:val="14"/>
                <w:b w:val="1"/>
                <w:bCs w:val="1"/>
                <w:color w:val="auto"/>
              </w:rPr>
              <w:t>March 31, 2020</w:t>
            </w:r>
          </w:p>
        </w:tc>
        <w:tc>
          <w:tcPr>
            <w:tcW w:w="2780" w:type="dxa"/>
            <w:vAlign w:val="bottom"/>
            <w:gridSpan w:val="2"/>
          </w:tcPr>
          <w:p>
            <w:pPr>
              <w:ind w:left="84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tcPr>
          <w:p>
            <w:pPr>
              <w:jc w:val="center"/>
              <w:ind w:right="34"/>
              <w:spacing w:after="0"/>
              <w:rPr>
                <w:sz w:val="20"/>
                <w:szCs w:val="20"/>
                <w:color w:val="auto"/>
              </w:rPr>
            </w:pPr>
            <w:r>
              <w:rPr>
                <w:rFonts w:ascii="Arial" w:cs="Arial" w:eastAsia="Arial" w:hAnsi="Arial"/>
                <w:sz w:val="18"/>
                <w:szCs w:val="18"/>
                <w:color w:val="auto"/>
                <w:w w:val="92"/>
              </w:rPr>
              <w:t>0.37 - 1.68%</w:t>
            </w:r>
          </w:p>
        </w:tc>
        <w:tc>
          <w:tcPr>
            <w:tcW w:w="12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2.23 - 2.53%</w:t>
            </w:r>
          </w:p>
        </w:tc>
        <w:tc>
          <w:tcPr>
            <w:tcW w:w="12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78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0"/>
              </w:rPr>
              <w:t>57.44 - 62.9%</w:t>
            </w:r>
          </w:p>
        </w:tc>
        <w:tc>
          <w:tcPr>
            <w:tcW w:w="120" w:type="dxa"/>
            <w:vAlign w:val="bottom"/>
            <w:shd w:val="clear" w:color="auto" w:fill="CFF0FC"/>
          </w:tcPr>
          <w:p>
            <w:pPr>
              <w:spacing w:after="0"/>
              <w:rPr>
                <w:sz w:val="19"/>
                <w:szCs w:val="19"/>
                <w:color w:val="auto"/>
              </w:rPr>
            </w:pPr>
          </w:p>
        </w:tc>
        <w:tc>
          <w:tcPr>
            <w:tcW w:w="2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61.82 - 62.3%</w:t>
            </w: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Dividend yield</w:t>
            </w:r>
          </w:p>
        </w:tc>
        <w:tc>
          <w:tcPr>
            <w:tcW w:w="2780" w:type="dxa"/>
            <w:vAlign w:val="bottom"/>
          </w:tcPr>
          <w:p>
            <w:pPr>
              <w:jc w:val="center"/>
              <w:ind w:right="34"/>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78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0"/>
              </w:rPr>
              <w:t>4.52 - 5.56</w:t>
            </w:r>
          </w:p>
        </w:tc>
        <w:tc>
          <w:tcPr>
            <w:tcW w:w="120" w:type="dxa"/>
            <w:vAlign w:val="bottom"/>
            <w:shd w:val="clear" w:color="auto" w:fill="CFF0FC"/>
          </w:tcPr>
          <w:p>
            <w:pPr>
              <w:spacing w:after="0"/>
              <w:rPr>
                <w:sz w:val="19"/>
                <w:szCs w:val="19"/>
                <w:color w:val="auto"/>
              </w:rPr>
            </w:pPr>
          </w:p>
        </w:tc>
        <w:tc>
          <w:tcPr>
            <w:tcW w:w="2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4.5 - 5.5</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300" w:firstLine="510"/>
        <w:spacing w:after="0" w:line="258" w:lineRule="auto"/>
        <w:rPr>
          <w:sz w:val="20"/>
          <w:szCs w:val="20"/>
          <w:color w:val="auto"/>
        </w:rPr>
      </w:pPr>
      <w:r>
        <w:rPr>
          <w:rFonts w:ascii="Arial" w:cs="Arial" w:eastAsia="Arial" w:hAnsi="Arial"/>
          <w:sz w:val="18"/>
          <w:szCs w:val="18"/>
          <w:color w:val="auto"/>
        </w:rPr>
        <w:t>As of March 31, 2020, there was $1.5 million of unamortized compensation cost related to unvested stock option awards which is expected to be recognized over a remaining weighted-average vesting period of 0.79 years, on a straight-line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May 22, 2015, the Company entered into an at-the-market issuance sales agreement (the “2015 ATM Agreement”) with MLV &amp; Co. LLC (MLV), pursuant to which the Company could sell common stock through MLV from time to time up to an aggregate offering price of $30.0 million. Sales of the Company’s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the Company’s prior approval. The Company agreed to pay MLV an aggregate commission rate of up to 4.0% of the gross proceeds of any common stock sold under this agreement. Proceeds from sales of common stock depended on the number of shares of common stock sold to MLV and the per share purchase price of each transaction.</w:t>
      </w:r>
    </w:p>
    <w:p>
      <w:pPr>
        <w:spacing w:after="0" w:line="19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 was not obligated to make any sales of common stock under the sales agreement and could terminate the sales agreement at any time upon written notice. On September 16, 2016, the Company amended the original sales agreement with MLV to also include FBR Capital Markets &amp; Co. as a sales agent. The 2015 ATM Agreement was terminated on August 23,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100" w:firstLine="510"/>
        <w:spacing w:after="0" w:line="271" w:lineRule="auto"/>
        <w:rPr>
          <w:sz w:val="20"/>
          <w:szCs w:val="20"/>
          <w:color w:val="auto"/>
        </w:rPr>
      </w:pPr>
      <w:r>
        <w:rPr>
          <w:rFonts w:ascii="Arial" w:cs="Arial" w:eastAsia="Arial" w:hAnsi="Arial"/>
          <w:sz w:val="17"/>
          <w:szCs w:val="17"/>
          <w:color w:val="auto"/>
        </w:rPr>
        <w:t>On August 23, 2019, the Company entered into an at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78"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For the three months ended March 31, 2020, the Company generated net proceeds of $0.4 million under the 2019 ATM Agreement, on sales of 68,952 shares of the Company’s common stock at a weighted average price of $6.19 per share.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8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Potentially dilutive outstanding securities excluded from diluted net loss per common share due to their anti-dilutive effect totaled 7,638,250 shares and 6,804,193 shares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2019 included in our Annual Report on Form 10-K filed with the Securities and Exchange Commission, or SEC, on February 13, 2020. Past operating results are not necessarily indicative of results that may occur in future periods.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140" w:firstLine="510"/>
        <w:spacing w:after="0" w:line="288" w:lineRule="auto"/>
        <w:rPr>
          <w:sz w:val="20"/>
          <w:szCs w:val="20"/>
          <w:color w:val="auto"/>
        </w:rPr>
      </w:pPr>
      <w:r>
        <w:rPr>
          <w:rFonts w:ascii="Arial" w:cs="Arial" w:eastAsia="Arial" w:hAnsi="Arial"/>
          <w:sz w:val="16"/>
          <w:szCs w:val="16"/>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as well as for acute respiratory distress syndrome (ARDS),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68"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We have incurred significant net losses since our inception. As of March 31, 2020, from inception, our accumulated deficit was $371.8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420" w:firstLine="457"/>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00" w:hanging="493"/>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20"/>
        <w:spacing w:after="0" w:line="254"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86" w:lineRule="exact"/>
        <w:rPr>
          <w:rFonts w:ascii="Arial" w:cs="Arial" w:eastAsia="Arial" w:hAnsi="Arial"/>
          <w:sz w:val="18"/>
          <w:szCs w:val="18"/>
          <w:color w:val="auto"/>
        </w:rPr>
      </w:pPr>
    </w:p>
    <w:p>
      <w:pPr>
        <w:ind w:left="1020" w:hanging="55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6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ind w:left="1000" w:right="4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22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further support our clinical development and product commercialization.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such, we are uncertain as what effect the pandemic will have on our financial condition, liquidity, and future results of operations. Management is actively monitoring this situation and the possible effects on its financial condition, liquidity, operations, suppliers, industry, and workforce. Given the daily evolution of the COVID-19 outbreak and the response to curb its spread, currently we are not able to estimate the effects of the COVID-19 outbreak to our results of operations, financial condition, or liquidity.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We assessed the services in accordance with the authoritative guidance and concluded that the two studies to be performed under the agreement represented two separate performance obligations. The transaction price was allocated between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March 31, 2020. The amount received from Kissei and allocated, net of the amount recorded as revenue, is included on the balance sheet as long-term deferred revenue since it is non-refundable and not expected to be started within the next year and will be recognized as revenue as the remaining performance obligation is satisfied. No revenue was recognized in the three months ended March 31, 2020 and 2019, in connection with the collaboration agreement with Kissei.</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2020 as our development programs progress.</w:t>
      </w:r>
    </w:p>
    <w:p>
      <w:pPr>
        <w:spacing w:after="0" w:line="18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MN-221</w:t>
            </w:r>
          </w:p>
        </w:tc>
        <w:tc>
          <w:tcPr>
            <w:tcW w:w="1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MN-166</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MN-001</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MN-029</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Total external development expense</w:t>
            </w:r>
          </w:p>
        </w:tc>
        <w:tc>
          <w:tcPr>
            <w:tcW w:w="1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1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6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Research, development and patents costs are expensed as incurred based on contractual factors such as estimates of work performed, milestones achieved, patient enrollment and experience with similar contracts. As actual costs become known, accruals are adjusted. To date, our accrued research, development and patents expenses have not differed significantly from the actual expenses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 Goodwill and intangible assets deemed to have indefinite lives, such as in-process research and development (“IPR&amp;D”)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March 31, 2020, goodwill and IPR&amp;D were $9.6 million and $4.8 million, respectively.</w:t>
      </w:r>
    </w:p>
    <w:p>
      <w:pPr>
        <w:spacing w:after="0" w:line="178" w:lineRule="exact"/>
        <w:rPr>
          <w:sz w:val="20"/>
          <w:szCs w:val="20"/>
          <w:color w:val="auto"/>
        </w:rPr>
      </w:pPr>
    </w:p>
    <w:p>
      <w:pPr>
        <w:jc w:val="both"/>
        <w:ind w:right="340" w:firstLine="510"/>
        <w:spacing w:after="0" w:line="301"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indefinite-lived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impaired, the impairment recognized is the amount by which the carrying value of the assets exceeds the fair value of the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Research, development and patents expenses were $1.3 million and $1.6 million for the three months ended March 31, 2020 and 2019, respectively. The decrease of $0.3 million was due to lower stock compensation expense for performance-based stock options resulting from a decrease in our stock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General and administrative expenses were $1.7 million and $3.3 million for the three months ended March 31, 2020 and 2019, respectively. The decrease of $1.6 million was primarily due to lower stock compensation expense for performance-based stock options resulting from a decrease in our stock price.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Net cash used in operating activities during the three months ended March 31, 2020 was $2.9 million compared to $3.0 million during the same period in 2019. Net cash used in operating activities primarily reflects the net loss and changes in operating assets and liabilities for those periods, which was partially offset by non-cash stock-based compensation expense.</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Net cash provided by financing activities was $0.4 million during the three months ended March 31, 2020 compared to $3.9 million during the same period in 2019. Net cash provided by financing activities during the three months ended March 31, 2020 is primarily due to the sale of 68,952 shares of common stock under the 2019 ATM Agreement for net proceeds of $0.4 million. Net cash provided by financing activities during the three months ended March 31, 2019 is primarily due to the exercise of options to purchase 977,454 shares of our common stock. Cash proceeds from financing activities are used for working capital and general corporate purposes.</w:t>
      </w:r>
    </w:p>
    <w:p>
      <w:pPr>
        <w:spacing w:after="0" w:line="18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May 22, 2015, we entered into an at-the-market issuance sales agreement (the “2015 ATM Agreement”) with MLV &amp; Co. LLC (MLV), pursuant to which we could sell common stock through MLV from time to time up to an aggregate offering price of $30.0 million. Sales of our common stock through MLV, if any, were to be made by any method that is deemed to be an “at-the-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8" w:name="page19"/>
    <w:bookmarkEnd w:id="18"/>
    <w:p>
      <w:pPr>
        <w:ind w:right="20"/>
        <w:spacing w:after="0" w:line="272" w:lineRule="auto"/>
        <w:rPr>
          <w:sz w:val="20"/>
          <w:szCs w:val="20"/>
          <w:color w:val="auto"/>
        </w:rPr>
      </w:pPr>
      <w:r>
        <w:rPr>
          <w:rFonts w:ascii="Arial" w:cs="Arial" w:eastAsia="Arial" w:hAnsi="Arial"/>
          <w:sz w:val="17"/>
          <w:szCs w:val="17"/>
          <w:color w:val="auto"/>
        </w:rPr>
        <w:t>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our prior approval. We agreed to pay MLV an aggregate commission rate of up to 4.0% of the gross proceeds of any common stock sold under this agreement. Proceeds from sales of common stock depended on the number of shares of common stock sold to MLV and the per share purchase price of each transaction. We were not obligated to make any sales of common stock under the sales agreement and could terminate the sales agreement at any time upon written notice. On September 16, 2016, we amended the 2015 ATM agreement to also include FBR Capital Markets &amp; Co. as a sales agent. The 2015 ATM Agreement was terminated on August 23, 2019.</w:t>
      </w:r>
    </w:p>
    <w:p>
      <w:pPr>
        <w:spacing w:after="0" w:line="177"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205" w:lineRule="exact"/>
        <w:rPr>
          <w:sz w:val="20"/>
          <w:szCs w:val="20"/>
          <w:color w:val="auto"/>
        </w:rPr>
      </w:pPr>
    </w:p>
    <w:p>
      <w:pPr>
        <w:ind w:right="120" w:firstLine="594"/>
        <w:spacing w:after="0" w:line="277" w:lineRule="auto"/>
        <w:rPr>
          <w:sz w:val="20"/>
          <w:szCs w:val="20"/>
          <w:color w:val="auto"/>
        </w:rPr>
      </w:pPr>
      <w:r>
        <w:rPr>
          <w:rFonts w:ascii="Arial" w:cs="Arial" w:eastAsia="Arial" w:hAnsi="Arial"/>
          <w:sz w:val="18"/>
          <w:szCs w:val="18"/>
          <w:color w:val="auto"/>
        </w:rPr>
        <w:t>For the three months ended March 31, 2020, we generated net proceeds of $0.4 million under the 2019 ATM agreement, on sales of 68,952 shares of our common stock at a weighted average price of $6.19 per share.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shares of common stock were sold under the 2015 ATM Agreement in the three months ended March 31, 2019.</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As of March 31, 2020, we had available cash and cash equivalents of $61.3 million and working capital of $60.4 million. As of the date of this report, we believe we have working capital sufficient to fund operations at least through the end of 2021. However, we cannot provide assurance that these capital resources will be sufficient to conduct all our research and development programs as planned.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80" w:firstLine="510"/>
        <w:spacing w:after="0" w:line="296" w:lineRule="auto"/>
        <w:rPr>
          <w:sz w:val="20"/>
          <w:szCs w:val="20"/>
          <w:color w:val="auto"/>
        </w:rPr>
      </w:pPr>
      <w:r>
        <w:rPr>
          <w:rFonts w:ascii="Arial" w:cs="Arial" w:eastAsia="Arial" w:hAnsi="Arial"/>
          <w:sz w:val="16"/>
          <w:szCs w:val="16"/>
          <w:color w:val="auto"/>
        </w:rPr>
        <w:t>At March 31, 2020,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Cash and cash equivalents as of March 31, 2020 were $61.3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2020.</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management, including our Chief Executive Officer and Chief Financial Officer, as appropriate, to allow for timely decisions regarding required disclosure.</w:t>
      </w:r>
    </w:p>
    <w:p>
      <w:pPr>
        <w:spacing w:after="0" w:line="24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We are not involved in any material legal proceedings as of March 31, 2020.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2019,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Other than the risk factor set forth below, we do not believe that there have been any material changes from the risk factors previously disclosed in our Annual Report on Form 10-K for the year ended December 31, 2019.</w:t>
      </w:r>
    </w:p>
    <w:p>
      <w:pPr>
        <w:spacing w:after="0" w:line="1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such as COVID-19, or any other public health crisis, could adversely affect our business, results of operations and financial condition.</w:t>
      </w:r>
    </w:p>
    <w:p>
      <w:pPr>
        <w:spacing w:after="0" w:line="89" w:lineRule="exact"/>
        <w:rPr>
          <w:sz w:val="20"/>
          <w:szCs w:val="20"/>
          <w:color w:val="auto"/>
        </w:rPr>
      </w:pPr>
    </w:p>
    <w:p>
      <w:pPr>
        <w:ind w:firstLine="468"/>
        <w:spacing w:after="0" w:line="271" w:lineRule="auto"/>
        <w:rPr>
          <w:sz w:val="20"/>
          <w:szCs w:val="20"/>
          <w:color w:val="auto"/>
        </w:rPr>
      </w:pPr>
      <w:r>
        <w:rPr>
          <w:rFonts w:ascii="Arial" w:cs="Arial" w:eastAsia="Arial" w:hAnsi="Arial"/>
          <w:sz w:val="17"/>
          <w:szCs w:val="17"/>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Wuhan, Hubei Province, China. In March 2020, the World Health Organization declared COVID-19 a pandemic. The COVID-19 pandemic has negatively impacted the global economy, disrupted global supply chains and created significant volatility and disruption of financial markets.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An extended period of global supply chain and economic disruption could materially affect our business, results of operations, access to sources of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140"/>
          </w:cols>
          <w:pgMar w:left="320" w:top="661" w:right="4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26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11" w:lineRule="exact"/>
        <w:rPr>
          <w:sz w:val="20"/>
          <w:szCs w:val="20"/>
          <w:color w:val="auto"/>
        </w:rPr>
      </w:pPr>
    </w:p>
    <w:p>
      <w:pPr>
        <w:ind w:right="440"/>
        <w:spacing w:after="0" w:line="277" w:lineRule="auto"/>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Restated Certificate of Incorporation of the Registrant, as amended (incorporated by reference to Exhibit 3.1 of the Registrant’s Quarterly</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Report on Form 10-Q filed August 9, 2012).</w:t>
        </w:r>
      </w:hyperlink>
    </w:p>
    <w:p>
      <w:pPr>
        <w:spacing w:after="0" w:line="76" w:lineRule="exact"/>
        <w:rPr>
          <w:sz w:val="20"/>
          <w:szCs w:val="20"/>
          <w:color w:val="auto"/>
        </w:rPr>
      </w:pPr>
    </w:p>
    <w:p>
      <w:pPr>
        <w:spacing w:after="0" w:line="277" w:lineRule="auto"/>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Amended and Restated Bylaws of the Registrant (incorporated by reference to Exhibit 3.1 of the Registrant’s Current Report on Form 8-K filed</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April 25, 2019).</w:t>
        </w:r>
      </w:hyperlink>
    </w:p>
    <w:p>
      <w:pPr>
        <w:spacing w:after="0" w:line="76"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Certification of the Principal Executive Officer and Acting Principal Financial Officer pursuant to Section 302 of the Sarbanes-Oxley Act of</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2002.</w:t>
        </w:r>
      </w:hyperlink>
    </w:p>
    <w:p>
      <w:pPr>
        <w:spacing w:after="0" w:line="76" w:lineRule="exact"/>
        <w:rPr>
          <w:sz w:val="20"/>
          <w:szCs w:val="20"/>
          <w:color w:val="auto"/>
        </w:rPr>
      </w:pPr>
    </w:p>
    <w:p>
      <w:pPr>
        <w:spacing w:after="0"/>
        <w:rPr>
          <w:rFonts w:ascii="Arial" w:cs="Arial" w:eastAsia="Arial" w:hAnsi="Arial"/>
          <w:sz w:val="18"/>
          <w:szCs w:val="18"/>
          <w:color w:val="0000EE"/>
        </w:rPr>
      </w:pPr>
      <w:hyperlink w:anchor="page25">
        <w:r>
          <w:rPr>
            <w:rFonts w:ascii="Arial" w:cs="Arial" w:eastAsia="Arial" w:hAnsi="Arial"/>
            <w:sz w:val="18"/>
            <w:szCs w:val="18"/>
            <w:u w:val="single" w:color="auto"/>
            <w:color w:val="0000EE"/>
          </w:rPr>
          <w:t>Certification of the Acting Principal Financial Officer pursuant to Section 302 of the Sarbanes-Oxley Act of 2002</w:t>
        </w:r>
        <w:r>
          <w:rPr>
            <w:rFonts w:ascii="Arial" w:cs="Arial" w:eastAsia="Arial" w:hAnsi="Arial"/>
            <w:sz w:val="18"/>
            <w:szCs w:val="18"/>
            <w:color w:val="0000EE"/>
          </w:rPr>
          <w:t>.</w:t>
        </w:r>
      </w:hyperlink>
    </w:p>
    <w:p>
      <w:pPr>
        <w:spacing w:after="0" w:line="131" w:lineRule="exact"/>
        <w:rPr>
          <w:sz w:val="20"/>
          <w:szCs w:val="20"/>
          <w:color w:val="auto"/>
        </w:rPr>
      </w:pPr>
    </w:p>
    <w:p>
      <w:pPr>
        <w:ind w:right="380"/>
        <w:spacing w:after="0" w:line="277"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 of Principal Executive Officer and Acting Principal Financial Officer pursuant to 18 U.S.C. Section 1350 (Section 906 of the</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Sarbanes-Oxley Act of 2002).</w:t>
        </w:r>
      </w:hyperlink>
    </w:p>
    <w:p>
      <w:pPr>
        <w:spacing w:after="0" w:line="76"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Certification of Principal Financial Officer pursuant to 18 U.S.C. Section 1350 (Section 906 of the Sarbanes-Oxley Act of 2002).</w:t>
        </w:r>
      </w:hyperlink>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financial statements from the MediciNova, Inc. Quarterly Report on Form 10-Q for the quarter ended March 31, 2020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600" w:space="200"/>
            <w:col w:w="10340"/>
          </w:cols>
          <w:pgMar w:left="320" w:top="661" w:right="4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5640" w:val="left"/>
          <w:tab w:leader="none" w:pos="7940" w:val="left"/>
          <w:tab w:leader="none" w:pos="8280" w:val="left"/>
        </w:tabs>
        <w:rPr>
          <w:sz w:val="20"/>
          <w:szCs w:val="20"/>
          <w:color w:val="auto"/>
        </w:rPr>
      </w:pPr>
      <w:r>
        <w:rPr>
          <w:rFonts w:ascii="Arial" w:cs="Arial" w:eastAsia="Arial" w:hAnsi="Arial"/>
          <w:sz w:val="18"/>
          <w:szCs w:val="18"/>
          <w:color w:val="auto"/>
        </w:rPr>
        <w:t>Date: April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Yuichi Iwaki, M.D., Ph.D.</w:t>
      </w:r>
    </w:p>
    <w:p>
      <w:pPr>
        <w:jc w:val="center"/>
        <w:ind w:left="59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59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as the registrant’s Principal Executive Officer and Acting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April 23, 2020</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b w:val="1"/>
          <w:bCs w:val="1"/>
          <w:color w:val="auto"/>
        </w:rPr>
        <w:t>Yuichi Iwaki, M.D., Ph.D.</w:t>
      </w:r>
    </w:p>
    <w:p>
      <w:pPr>
        <w:ind w:left="73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Acting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April 23, 2020</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Arial" w:cs="Arial" w:eastAsia="Arial" w:hAnsi="Arial"/>
          <w:sz w:val="18"/>
          <w:szCs w:val="18"/>
          <w:color w:val="auto"/>
        </w:rPr>
        <w:t>By:</w:t>
        <w:tab/>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4"/>
          <w:szCs w:val="14"/>
          <w:b w:val="1"/>
          <w:bCs w:val="1"/>
          <w:color w:val="auto"/>
        </w:rPr>
        <w:t>Yuichi Iwaki</w:t>
      </w:r>
    </w:p>
    <w:p>
      <w:pPr>
        <w:ind w:left="72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220"/>
        <w:spacing w:after="0"/>
        <w:rPr>
          <w:sz w:val="20"/>
          <w:szCs w:val="20"/>
          <w:color w:val="auto"/>
        </w:rPr>
      </w:pPr>
      <w:r>
        <w:rPr>
          <w:rFonts w:ascii="Arial" w:cs="Arial" w:eastAsia="Arial" w:hAnsi="Arial"/>
          <w:sz w:val="14"/>
          <w:szCs w:val="14"/>
          <w:b w:val="1"/>
          <w:bCs w:val="1"/>
          <w:color w:val="auto"/>
        </w:rPr>
        <w:t>(Acting Principal Financial Officer)</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March 31, 2020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April 23, 2020</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March 31, 2020,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April 23, 2020</w:t>
      </w:r>
    </w:p>
    <w:p>
      <w:pPr>
        <w:spacing w:after="0" w:line="252" w:lineRule="exact"/>
        <w:rPr>
          <w:sz w:val="20"/>
          <w:szCs w:val="20"/>
          <w:color w:val="auto"/>
        </w:rPr>
      </w:pPr>
    </w:p>
    <w:p>
      <w:pPr>
        <w:ind w:left="6760"/>
        <w:spacing w:after="0"/>
        <w:tabs>
          <w:tab w:leader="none" w:pos="8560" w:val="left"/>
          <w:tab w:leader="none" w:pos="8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(Acting Principal Financial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2"/>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1" Type="http://schemas.openxmlformats.org/officeDocument/2006/relationships/hyperlink" Target="http://www.sec.gov/Archives/edgar/data/1226616/000119312512347932/d344794dex31.htm" TargetMode="External"/><Relationship Id="rId42" Type="http://schemas.openxmlformats.org/officeDocument/2006/relationships/hyperlink" Target="http://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2020-04-23T15:22:16Z</dcterms:created>
  <dcterms:modified xsi:type="dcterms:W3CDTF">2020-04-23T15:22:16Z</dcterms:modified>
</cp:coreProperties>
</file>