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820" w:space="540"/>
            <w:col w:w="7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284"/>
        </w:trPr>
        <w:tc>
          <w:tcPr>
            <w:tcW w:w="31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220" w:type="dxa"/>
            <w:vAlign w:val="bottom"/>
          </w:tcPr>
          <w:p>
            <w:pPr>
              <w:spacing w:after="0"/>
              <w:rPr>
                <w:sz w:val="20"/>
                <w:szCs w:val="20"/>
                <w:color w:val="auto"/>
              </w:rPr>
            </w:pPr>
            <w:r>
              <w:rPr>
                <w:rFonts w:ascii="Arial" w:cs="Arial" w:eastAsia="Arial" w:hAnsi="Arial"/>
                <w:sz w:val="18"/>
                <w:szCs w:val="18"/>
                <w:color w:val="auto"/>
                <w:w w:val="92"/>
              </w:rPr>
              <w:t>Accelerated filer</w:t>
            </w:r>
          </w:p>
        </w:tc>
        <w:tc>
          <w:tcPr>
            <w:tcW w:w="2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75"/>
        </w:trPr>
        <w:tc>
          <w:tcPr>
            <w:tcW w:w="80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922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8000" w:type="dxa"/>
            <w:vAlign w:val="bottom"/>
          </w:tcPr>
          <w:p>
            <w:pPr>
              <w:ind w:left="460"/>
              <w:spacing w:after="0"/>
              <w:rPr>
                <w:sz w:val="20"/>
                <w:szCs w:val="20"/>
                <w:color w:val="auto"/>
              </w:rPr>
            </w:pPr>
            <w:r>
              <w:rPr>
                <w:rFonts w:ascii="Arial" w:cs="Arial" w:eastAsia="Arial" w:hAnsi="Arial"/>
                <w:sz w:val="18"/>
                <w:szCs w:val="18"/>
                <w:color w:val="auto"/>
                <w:w w:val="88"/>
              </w:rPr>
              <w:t>As of May 7, 2008, the registrant had 11,962,247 shares of Common Stock ($0.001 par value) outstanding.</w:t>
            </w: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24"/>
        </w:trPr>
        <w:tc>
          <w:tcPr>
            <w:tcW w:w="80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40" w:type="dxa"/>
            <w:vAlign w:val="bottom"/>
            <w:gridSpan w:val="10"/>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7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4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18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32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82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18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736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UNREGISTERED SALES OF EQUITY SECURITIES AND USE OF PROCEEDS</w:t>
              </w:r>
            </w:hyperlink>
          </w:p>
        </w:tc>
        <w:tc>
          <w:tcPr>
            <w:tcW w:w="32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18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SUBMISSION OF MATTERS TO A VOTE OF SECURITY HOLDERS</w:t>
              </w:r>
            </w:hyperlink>
          </w:p>
        </w:tc>
        <w:tc>
          <w:tcPr>
            <w:tcW w:w="402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OTHER INFORMATION</w:t>
              </w:r>
            </w:hyperlink>
          </w:p>
        </w:tc>
        <w:tc>
          <w:tcPr>
            <w:tcW w:w="734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918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04"/>
        </w:trPr>
        <w:tc>
          <w:tcPr>
            <w:tcW w:w="1580" w:type="dxa"/>
            <w:vAlign w:val="bottom"/>
            <w:gridSpan w:val="2"/>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8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3"/>
        </w:trPr>
        <w:tc>
          <w:tcPr>
            <w:tcW w:w="1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0"/>
          </w:tcPr>
          <w:p>
            <w:pPr>
              <w:ind w:left="410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40" w:type="dxa"/>
            <w:vAlign w:val="bottom"/>
          </w:tcPr>
          <w:p>
            <w:pPr>
              <w:jc w:val="center"/>
              <w:ind w:left="1992"/>
              <w:spacing w:after="0"/>
              <w:rPr>
                <w:sz w:val="20"/>
                <w:szCs w:val="20"/>
                <w:color w:val="auto"/>
              </w:rPr>
            </w:pPr>
            <w:r>
              <w:rPr>
                <w:rFonts w:ascii="Arial" w:cs="Arial" w:eastAsia="Arial" w:hAnsi="Arial"/>
                <w:sz w:val="18"/>
                <w:szCs w:val="18"/>
                <w:b w:val="1"/>
                <w:bCs w:val="1"/>
                <w:color w:val="auto"/>
                <w:w w:val="99"/>
              </w:rPr>
              <w:t>PART I. FINANCIAL INFORMATION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jc w:val="center"/>
              <w:ind w:left="1992"/>
              <w:spacing w:after="0"/>
              <w:rPr>
                <w:sz w:val="20"/>
                <w:szCs w:val="20"/>
                <w:color w:val="auto"/>
              </w:rPr>
            </w:pPr>
            <w:r>
              <w:rPr>
                <w:rFonts w:ascii="Arial" w:cs="Arial" w:eastAsia="Arial" w:hAnsi="Arial"/>
                <w:sz w:val="18"/>
                <w:szCs w:val="18"/>
                <w:b w:val="1"/>
                <w:bCs w:val="1"/>
                <w:color w:val="auto"/>
              </w:rPr>
              <w:t>MEDICINOVA,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40" w:type="dxa"/>
            <w:vAlign w:val="bottom"/>
          </w:tcPr>
          <w:p>
            <w:pPr>
              <w:jc w:val="center"/>
              <w:ind w:left="2012"/>
              <w:spacing w:after="0"/>
              <w:rPr>
                <w:sz w:val="20"/>
                <w:szCs w:val="20"/>
                <w:color w:val="auto"/>
              </w:rPr>
            </w:pPr>
            <w:r>
              <w:rPr>
                <w:rFonts w:ascii="Arial" w:cs="Arial" w:eastAsia="Arial" w:hAnsi="Arial"/>
                <w:sz w:val="18"/>
                <w:szCs w:val="18"/>
                <w:b w:val="1"/>
                <w:bCs w:val="1"/>
                <w:color w:val="auto"/>
                <w:w w:val="86"/>
              </w:rPr>
              <w:t>(a development stage company)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jc w:val="center"/>
              <w:ind w:left="201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28,127,940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33,540,799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51,856,571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1,565,539</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60" w:type="dxa"/>
            <w:vAlign w:val="bottom"/>
            <w:shd w:val="clear" w:color="auto" w:fill="CCEEFF"/>
          </w:tcPr>
          <w:p>
            <w:pPr>
              <w:spacing w:after="0"/>
              <w:rPr>
                <w:sz w:val="18"/>
                <w:szCs w:val="18"/>
                <w:color w:val="auto"/>
              </w:rPr>
            </w:pPr>
          </w:p>
        </w:tc>
      </w:tr>
      <w:tr>
        <w:trPr>
          <w:trHeight w:val="221"/>
        </w:trPr>
        <w:tc>
          <w:tcPr>
            <w:tcW w:w="83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63,234,278</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73,079,121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565,821</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673,317</w:t>
            </w:r>
          </w:p>
        </w:tc>
        <w:tc>
          <w:tcPr>
            <w:tcW w:w="60" w:type="dxa"/>
            <w:vAlign w:val="bottom"/>
            <w:shd w:val="clear" w:color="auto" w:fill="CCEEFF"/>
          </w:tcPr>
          <w:p>
            <w:pPr>
              <w:spacing w:after="0"/>
              <w:rPr>
                <w:sz w:val="18"/>
                <w:szCs w:val="18"/>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3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63,800,099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1,115,298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5,570,223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3,619,861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372,817</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7,058,338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7,140,927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0"/>
              </w:rPr>
              <w:t>Deferred rent</w:t>
            </w:r>
          </w:p>
        </w:tc>
        <w:tc>
          <w:tcPr>
            <w:tcW w:w="7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20,000,000 shares authorized at March 31, 2008 and December 31, 2007;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12,072,027 shares issued at March 31, 2008 and December 31, 2007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273,983,224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273,189,063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(32,834)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(131,466)</w:t>
            </w: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w w:val="96"/>
              </w:rPr>
              <w:t>Treasury stock, at cost; 109,780 shares at March 31, 2008 and 124,581 shares at December 31, 2007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(1,360,720)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(1,404,088)</w:t>
            </w: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(215,859,981)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(205,057,380)</w:t>
            </w:r>
          </w:p>
        </w:tc>
      </w:t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56,741,761</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66,608,201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63,800,099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6,078,411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14,205,245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125,923,458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2,581,262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3,013,732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72,468,274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8,659,673</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17,218,977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199,650,153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(8,659,673)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(17,218,977)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(198,091,926)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charge on marketable securities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(2,359,201)</w:t>
            </w: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(2,359,201)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(617,931)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income, net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834,351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1,315,417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16,592,346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(10,802,601)</w:t>
            </w: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(15,903,560)</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(184,496,859)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6"/>
              </w:rPr>
              <w:t>Deemed dividend resulting from beneficial conversion feature on Series C redeemable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(10,802,601)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(15,903,560)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(215,859,981)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vMerge w:val="continue"/>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(0.89)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12,083,768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11,394,934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6"/>
              </w:rPr>
              <w:t>Three months ended March 31,</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(10,802,601)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(15,903,560)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(184,496,859)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794,161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920,442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41,557,411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(694,797)</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(39,462)</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(2,479,511)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Impairment charge on marketable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2,359,201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2,359,201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878,073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(1,079,067)</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(1,565,539)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4"/>
              </w:rPr>
              <w:t>Accounts payable, accrued expenses, income taxes payable and deferred 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(516,215)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(247,786)</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(69,631)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(7,444,366)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(16,561,136)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(136,153,126)</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Maturities or sales of marketable securities available-for-sale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18,750,000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343,753,451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(130,763)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16,750,000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(35,431,969)</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10,641,353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120,890,566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10,641,353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199,713,035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9,349,002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(1,388,522)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28,127,940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18,778,938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8,334,496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28,127,940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6,945,974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28,127,940</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(88,318)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(22,940)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were incorporated in the state of Delaware in September 2000. 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ended March 31, 2008 are not necessarily indicative of the results that may be expected for the year ending December 31, 2008 or for any other period. For further information, see the financial statements and disclosures thereto for the year ended December 31, 2007 in our Annual Report on Form 10-K as filed with the Securities and Exchange Commission on March 17,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consolidated financial statements related to March 31, 2007 have been reclassified to conform to the March 31, 2008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allows an entity to voluntarily choose to measure certain financial assets and liabilities at fair value. SFAS No. 159 was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related disclosures regarding our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stated in Note 1, Interim Financial Information, above, we adopted SFAS No. 157 as of January 1, 2008. As defined in SFAS No. 157, fair value is based on the price that would be received to sell an asset or would be paid to transfer a liability in an orderly transaction between market participants at the measurement date. To increase the comparability and consistency of fair value measurements, SFAS No. 157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520" w:right="440" w:hanging="1052"/>
        <w:spacing w:after="0" w:line="268"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520" w:right="620" w:hanging="1052"/>
        <w:spacing w:after="0" w:line="370"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March 31, 2008, cash and cash equivalents (instruments with maturities of three months or less at the date of purchase) were $28.1 million and were primarily invested in money market funds.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March 31, 2008, marketable securities available-for-sale consisted of auction rate securities (“ARS”) and corporate debt securities. All government-sponsored securities held at December 31, 2007 had matured during the three months ended March 31, 2008 and the proceeds were reinvested in cash equivalents. The ARS primarily have stated maturities that are structured with short-term holding periods. The length of each holding period is determined at the original issuance of each ARS investment. ARS holding periods range from seven to 63 days. As of December 31, 2007, we had $47.7 million of ARS with stated maturity dates ranging from 2022 to 2044 and reset dates primarily ranging from seven to 63 days. As of March 31, 2008, we had $32.8 million of ARS with stated maturity dates ranging from 2022 to 2044 and reset dates ranging from seven to 63 days.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March 31, 2008</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December 31, 2007</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9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2"/>
              </w:rPr>
              <w:t>Gains</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$ 32,840,799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$ 32,840,799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$ 47,800,000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(98,975)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47,701,025</w:t>
            </w: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700,700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700,700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700,054</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3,444,889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10,603</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3,455,492</w:t>
            </w:r>
          </w:p>
        </w:tc>
        <w:tc>
          <w:tcPr>
            <w:tcW w:w="20" w:type="dxa"/>
            <w:vAlign w:val="bottom"/>
          </w:tcPr>
          <w:p>
            <w:pPr>
              <w:spacing w:after="0"/>
              <w:rPr>
                <w:sz w:val="18"/>
                <w:szCs w:val="18"/>
                <w:color w:val="auto"/>
              </w:rPr>
            </w:pPr>
          </w:p>
        </w:tc>
      </w:tr>
      <w:tr>
        <w:trPr>
          <w:trHeight w:val="222"/>
        </w:trPr>
        <w:tc>
          <w:tcPr>
            <w:tcW w:w="3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$ 33,541,499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$ 33,540,799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$ 51,945,589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10,603</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 (99,621)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51,856,571</w:t>
            </w:r>
          </w:p>
        </w:tc>
      </w:tr>
      <w:tr>
        <w:trPr>
          <w:trHeight w:val="20"/>
        </w:trPr>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March 31, 2008, the unrealized loss on corporate debt securities was caused by recent decreases in interest rates. Based on an evaluation of the credit standing of the issuers, management believes it is probable that we will be able to collect all amounts due on the corporate debt securities according to their contractual terms. We had no realized losses on sales of marketable securities available-for-sale for the three months ended March 31, 2008; however, the amortized cost of our ARS reflects a $2.4 million impairment charge, which is further discussed in the paragraphs below.</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measure our marketable securities available-for-sale on a recurring basis. The fair value of these current financial assets was determined by using the following inputs at March 31, 2008: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5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1"/>
              <w:spacing w:after="0"/>
              <w:rPr>
                <w:sz w:val="20"/>
                <w:szCs w:val="20"/>
                <w:color w:val="auto"/>
              </w:rPr>
            </w:pPr>
            <w:r>
              <w:rPr>
                <w:rFonts w:ascii="Arial" w:cs="Arial" w:eastAsia="Arial" w:hAnsi="Arial"/>
                <w:sz w:val="14"/>
                <w:szCs w:val="14"/>
                <w:b w:val="1"/>
                <w:bCs w:val="1"/>
                <w:color w:val="auto"/>
                <w:w w:val="78"/>
              </w:rPr>
              <w:t>Assets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5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$28,767,862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$28,767,862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Auction rate securities available-for-sale(1)</w:t>
            </w:r>
          </w:p>
        </w:tc>
        <w:tc>
          <w:tcPr>
            <w:tcW w:w="900" w:type="dxa"/>
            <w:vAlign w:val="bottom"/>
          </w:tcPr>
          <w:p>
            <w:pPr>
              <w:jc w:val="right"/>
              <w:spacing w:after="0"/>
              <w:rPr>
                <w:sz w:val="20"/>
                <w:szCs w:val="20"/>
                <w:color w:val="auto"/>
              </w:rPr>
            </w:pPr>
            <w:r>
              <w:rPr>
                <w:rFonts w:ascii="Arial" w:cs="Arial" w:eastAsia="Arial" w:hAnsi="Arial"/>
                <w:sz w:val="18"/>
                <w:szCs w:val="18"/>
                <w:color w:val="auto"/>
              </w:rPr>
              <w:t>4,072,937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4,072,937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available-for-sale(2)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33,540,799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32,840,799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the Level 3 reconciliation table below and the respective notes for further information on the method of measuring fair value.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was measured based on the last quoted trade price.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ARS investments, all of which had AAA ratings at the time of purchase, principally represent interests in municipal bonds, government-guaranteed student loans, insurance notes and portfolios of securities (primarily commercial paper). At March 31, 2008, $30.4 million of our ARS consisted primarily of municipal bonds and government-guaranteed student loan securities and $2.4 million of our ARS consisted of private placement securities. None of the underlying collateral for our ARS consisted of subprime mortgages or collateralized debt obligations. Due to continued negative conditions in the global credit market, a significant portion of our ARS investments continue to fail at auction with little to no trades in either the primary or the secondary market. As a result, there is a lack of transactions and associated pricing data available to provide a Level 1 or Level 2 basis for determining fair value of such investments. As such, we relied on pricing models provided by the respective brokerage firms holding the ARS, which were deemed to be reasonable pricing models given management’s valuation analysis using a bond pricing model, the credit quality of the issuer and correspondence from the issuer, if applicable, to determine the fair value of the ARS investments. The table below reconciles amortized cost at December 31, 2007 with fair value at March 31, 2008, as determined by Level 3 (unobservable) inputs: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0"/>
              </w:rPr>
              <w:t>Fair Value at 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Amortized Cost at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1"/>
              </w:rPr>
              <w:t>Sales of Securities</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 Charge at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2008 Based 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12/31/07</w:t>
            </w:r>
          </w:p>
        </w:tc>
        <w:tc>
          <w:tcPr>
            <w:tcW w:w="780" w:type="dxa"/>
            <w:vAlign w:val="bottom"/>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from 1/1/08 to 3/31/08</w:t>
            </w: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2008</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41,400,000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(1,932,138)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Auction rate securities available-for-sale(2)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6,400,000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(1,900,000)</w:t>
            </w:r>
          </w:p>
        </w:tc>
        <w:tc>
          <w:tcPr>
            <w:tcW w:w="1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(427,063)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4,072,937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47,800,000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(12,600,000)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(2,359,201)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8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Aggregated fair value reported at March 31, 2008 reflects fair value primarily as determined by the brokerage firm for the securities it held. The inputs taken into consideration in the brokerage pricing model to calculate fair value include tax status (taxable vs. tax exempt), credit quality of the issuer, maturity (generally five years), insurance wraps and the portfolio composition. In addition, the brokerage firm made assumptions regarding future cash flows, the likelihood of redemption and yields or spreads of trading instruments believed to be similar or comparable to the ARS. Management reviewed the inputs utilized by the brokerage firm related to tax status, credit quality of the insurer and maturity. Management also tested the valuation calculated by the brokerage firm using a bond pricing model in which a bond maturity of one year through five years was utilized and the annual coupon rate was set at the U.S. Treasury Department published average of the bond equivalent rates of the 91-day Treasury bills auctioned during the quarter ending March 31, 2008 (which was the Federal Family Education Loan Program special allowance rate for the quarter ending March 31, 2008) plus 120 basis points. Management believes that using this interest rate is reasonable given that a majority of our ARS portfolio is collateralized by student loans which are guaranteed by the U.S. government under the Federal Family Education Loan Program. Using this alternative methodology, aggregated fair value as calculated by management for these securities ranged between $30.3 with a one-year maturity, $29.9 million with a two-year maturity and $28.7 million with a five-year maturity.</w:t>
      </w:r>
    </w:p>
    <w:p>
      <w:pPr>
        <w:spacing w:after="0" w:line="5"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Aggregated fair value reported at March 31, 2008 reflects fair value primarily as determined by the brokerage firm for the securities it held. The inputs taken into consideration in the brokerage firm pricing model to calculate fair value include maximum interest rate per the prospectus, credit quality of the issuer, the final maturity, collateral of the underlying and the results of a proprietary four-year model. In addition, assumptions were made by the brokerage firm regarding the likelihood of redemption and the market value of similar or comparable ARS. Management reviewed the inputs utilized by the brokerage firm related to maximum interest rate, credit quality of the issuer and final maturity. Management also tested the valuation calculated by the brokerage firm using a bond pricing model in which a bond maturity of one year through five years was utilized and the annual coupon rate was set at LIBOR plus the spread as indicated in the respective security prospectus or the U.S. Treasury Department published average of the bond equivalent rates of the 91-day Treasury bills auctioned during the quarter ending March 31, 2008 (which was the Federal Family Education Loan Program special allowance rate for the quarter ending March 31, 2008) plus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00"/>
        <w:spacing w:after="0" w:line="370" w:lineRule="auto"/>
        <w:rPr>
          <w:sz w:val="20"/>
          <w:szCs w:val="20"/>
          <w:color w:val="auto"/>
        </w:rPr>
      </w:pPr>
      <w:r>
        <w:rPr>
          <w:rFonts w:ascii="Arial" w:cs="Arial" w:eastAsia="Arial" w:hAnsi="Arial"/>
          <w:sz w:val="15"/>
          <w:szCs w:val="15"/>
          <w:color w:val="auto"/>
        </w:rPr>
        <w:t>120 basis points for the ARS collateralized by student loans. Using this alternative methodology, aggregated fair value as calculated by management for these securities ranged between $4.5 million with a one-year maturity, $4.5 million with a two-year maturity and $4.4 million with a four-year maturity.</w:t>
      </w:r>
    </w:p>
    <w:p>
      <w:pPr>
        <w:spacing w:after="0" w:line="7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March 31, 2008, we lowered the carrying value of our entire ARS portfolio by $2.4 million to reflect the reduced market value of our ARS due to continued failed auctions for all of our ARS. A failed auction results in a lack of liquidity in the securities but does not signify a default by the issuer; upon an auction failure, the interest rates reset based on a formula contained in the security, which rate is generally higher than the current market rate. Although we intend to hold our ARS until such time as we need to utilize the funds for operations, we took a $2.4 million impairment charge, which we recorded as a realized loss in our consolidated statement of operations, because management determined that the decline in the market value of our ARS, as supported by management’s review of the respective brokerage firm’s fair value calculations, was other-than-temporary given the continued illiquidity of the ARS market, the uncertainty of when or if liquidity will return to the ARS market and the timing of when we may be required to liquidate our ARS for operating purposes. With the permanent write-down of our ARS to fair value, we believe that they continue to be properly classified as current assets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(of which we have none outstanding), stock options and warrants are considered to be common stock equivalents and are only included in the calculation of diluted net loss per share when their effect is dilutive.</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Common stock equivalents of options to purchase 2,557,706 shares of common stock and warrants to purchase 50,000 shares of common stock at March 31, 2008 and common stock equivalents of options to purchase 2,165,791 shares of common stock and warrants to purchase 417,828 shares of common stock at March 31, 2007 are excluded from the calculations of diluted loss per share for all periods presented because the effect is non-dilutive.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We have applied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did not differ significantly from net loss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which is the successor to the 2000 Plan. Stock options issued to non-employees were recorded at their fair value as determined in accordance with EITF Issue No. 96-18, </w:t>
      </w:r>
      <w:r>
        <w:rPr>
          <w:rFonts w:ascii="Arial" w:cs="Arial" w:eastAsia="Arial" w:hAnsi="Arial"/>
          <w:sz w:val="18"/>
          <w:szCs w:val="18"/>
          <w:i w:val="1"/>
          <w:iCs w:val="1"/>
          <w:color w:val="auto"/>
        </w:rPr>
        <w:t>Accounting for Equity Instruments that are Issued to Other than Employees for Acquiring, or in Conjunction with 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or Services. </w:t>
      </w:r>
      <w:r>
        <w:rPr>
          <w:rFonts w:ascii="Arial" w:cs="Arial" w:eastAsia="Arial" w:hAnsi="Arial"/>
          <w:sz w:val="18"/>
          <w:szCs w:val="18"/>
          <w:color w:val="auto"/>
        </w:rPr>
        <w:t>Effective January 1, 2006, the benefits provided under these plans constitute share-based compensation subject to the provisions of 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the three months ended March 31, 2008 and 2007, share-based compensation expense related to stock options was primarily recorded as a component of general and administrative expense. There were no stock option exercises during the three months ended March 31, 2008. As of March 31, 2008, there was $7.4 million of unamortized compensation cost related to unvested stock option awards, which is expected to be recognized over a remaining weighted-average vesting period of 2.5 years.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exercise price of stock options to purchase 576,940 shares of common stock granted during the three months ended March 31, 2008 was equal to market value on the date of grant and the share-based compensation expense for such stock options is reflected in operating results for the three months ended March 31, 2008. The estimated fair value of each stock option award was determined on the date of grant using the Black-Scholes option valuation model with the following weighted-average assumptions for stock option grants: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76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9"/>
              </w:rPr>
              <w:t>Three Months Ended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360" w:type="dxa"/>
            <w:vAlign w:val="bottom"/>
          </w:tcPr>
          <w:p>
            <w:pPr>
              <w:spacing w:after="0"/>
              <w:rPr>
                <w:sz w:val="12"/>
                <w:szCs w:val="12"/>
                <w:color w:val="auto"/>
              </w:rPr>
            </w:pPr>
          </w:p>
        </w:tc>
        <w:tc>
          <w:tcPr>
            <w:tcW w:w="276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92"/>
              </w:rPr>
              <w:t>March 31,</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63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5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760" w:type="dxa"/>
            <w:vAlign w:val="bottom"/>
            <w:gridSpan w:val="2"/>
          </w:tcPr>
          <w:p>
            <w:pPr>
              <w:jc w:val="right"/>
              <w:ind w:right="1380"/>
              <w:spacing w:after="0"/>
              <w:rPr>
                <w:sz w:val="20"/>
                <w:szCs w:val="20"/>
                <w:color w:val="auto"/>
              </w:rPr>
            </w:pPr>
            <w:r>
              <w:rPr>
                <w:rFonts w:ascii="Arial" w:cs="Arial" w:eastAsia="Arial" w:hAnsi="Arial"/>
                <w:sz w:val="18"/>
                <w:szCs w:val="18"/>
                <w:color w:val="auto"/>
              </w:rPr>
              <w:t>69.00%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760" w:type="dxa"/>
            <w:vAlign w:val="bottom"/>
            <w:gridSpan w:val="2"/>
          </w:tcPr>
          <w:p>
            <w:pPr>
              <w:jc w:val="right"/>
              <w:ind w:right="1520"/>
              <w:spacing w:after="0"/>
              <w:rPr>
                <w:sz w:val="20"/>
                <w:szCs w:val="20"/>
                <w:color w:val="auto"/>
              </w:rPr>
            </w:pPr>
            <w:r>
              <w:rPr>
                <w:rFonts w:ascii="Arial" w:cs="Arial" w:eastAsia="Arial" w:hAnsi="Arial"/>
                <w:sz w:val="18"/>
                <w:szCs w:val="18"/>
                <w:color w:val="auto"/>
              </w:rPr>
              <w:t>4.0</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weighted average volatility of our stock price, factoring in changes in the daily share price, the volatility of certain peers within our industry sector and management’s judgment. We have not paid any dividends on our common stock since our inception, and we do not anticipate paying any dividends on our common stock in the foreseeable future. The expected option term represents the weighted average of the expected term of our stock options and the expected term of the stock options of our peer group.</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ended March 31, 2008 was based on stock option awards ultimately expected to vest, such expense should be reduced for estimated forfeitures. SFAS No. 123R requires forfeitures to be estimated at the time of grant and revised, if necessary, in subsequent periods if actual forfeitures differ from those estimates. We have very few employees, our turnover has been minimal and our stock options vest monthly; therefore, we do not estimate any forfeitures in 2008 and will adjust our stock-based compensation expense should any forfeitures occur. The weighted-average fair value of each stock option granted during the three months ended March 31, 2008, estimated as of the grant date using the Black-Scholes option valuation model, was $4.42 per stock option, whereas the weighted-average fair value of each stock option granted during the three months ended March 31, 2007 was $5.56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adopted the provisions of Interpretation No. 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xml:space="preserve"> (“FIN 48”), on January 1, 2007. As a result of the adoption of FIN 48, we had no cumulative effect adjustment, and therefore no change to the January 1, 2007 balance in retained earnings. At January 1, 2007, December 31, 2007 and March 31, 2008, we had no unrecognized tax benefits that, if recognized, would affect our effective income tax rate in future periods.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December 31, 2007 and no accrued interest or penalties at March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adoption of FIN 48 did not impact our consolidated financial condition, results of operations or cash flows. At January 1, 2007, we had net deferred tax assets of $37.1 million. The deferred tax assets are primarily composed of federal and state tax net operating loss (“NOL”) carryforwards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determined that an ownership change occurred on May 28, 2003 and September 2, 2004, in which approximately $0.5 million on each date, were estimated as the annual limitation. These limitations will result in the expiration of unused federal net operating loss carryforwards and federal tax credits in the amount of $8.8 million and $0.2 million, respectively. The January 1, 2007 net deferred tax asset was reduced by $3.3 million, with a corresponding reduction of the valuation allowance. In each period since our inception, we have recorded a valuation allowance for the full amount of our deferred tax asset, as the realization of the deferred tax asset is uncertain. As a result, through March 31, 2008, we have not recorded any federal or state income tax benefit in our consolidated statement of operations.</w:t>
      </w:r>
    </w:p>
    <w:p>
      <w:pPr>
        <w:spacing w:after="0" w:line="202" w:lineRule="exact"/>
        <w:rPr>
          <w:sz w:val="20"/>
          <w:szCs w:val="20"/>
          <w:color w:val="auto"/>
        </w:rPr>
      </w:pPr>
    </w:p>
    <w:p>
      <w:pPr>
        <w:ind w:right="87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182" w:lineRule="exact"/>
        <w:rPr>
          <w:sz w:val="20"/>
          <w:szCs w:val="20"/>
          <w:color w:val="auto"/>
        </w:rPr>
      </w:pPr>
    </w:p>
    <w:p>
      <w:pPr>
        <w:ind w:right="966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March 31, 2008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44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1,990,078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3"/>
          </w:tcPr>
          <w:p>
            <w:pPr>
              <w:jc w:val="right"/>
              <w:ind w:right="880"/>
              <w:spacing w:after="0"/>
              <w:rPr>
                <w:sz w:val="20"/>
                <w:szCs w:val="20"/>
                <w:color w:val="auto"/>
              </w:rPr>
            </w:pPr>
            <w:r>
              <w:rPr>
                <w:rFonts w:ascii="Arial" w:cs="Arial" w:eastAsia="Arial" w:hAnsi="Arial"/>
                <w:sz w:val="18"/>
                <w:szCs w:val="18"/>
                <w:color w:val="auto"/>
              </w:rPr>
              <w:t>576,940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Cancelled</w:t>
            </w:r>
          </w:p>
        </w:tc>
        <w:tc>
          <w:tcPr>
            <w:tcW w:w="284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4"/>
              </w:rPr>
              <w:t>2,557,706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aggregate intrinsic value of stock options exercised during the three months ended March 31, 2008, outstanding at March 31, 2008 and exercisable at March 31, 2008 was $0, in each case. Of the total stock options outstanding as of March 31, 2008, options to purchase 989,975 shares of common stock are exercisable, with a weighted average exercise price of $12.18 per share and a weighted average contractual life of 8.1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The estimated fair value of each ESPP purchase is determined on the date the offering period begins using the Black-Scholes option valuation model. For the March 31, 2008 purchases, the following assumptions were used to value these employee stock purchases: a risk-free interest rate of 4.71%, expected volatility of 69%, expected term of six months and a dividend rate of 0%. At March 31, 2008, 14,801 shares of common stock were issued under the ESPP and 280,172 shares of common stock were available for future issuance.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Auction Rate Securities Update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23, 2008, we successfully auctioned an ARS consisting of municipal bonds for par and reinvested the $0.7 million proceeds in cash equivalents. The carrying value of this security at March 31, 2008 was $0.6 million. In addition, we have been notified that one of our ARS consisting of municipal bonds will be redeemed at par for $1.4 million on May 9, 2008 and our preferred ARS will be redeemed at par for $2.0 million on May 20, 2008. At March 31, 2008, these securities had carrying values of $1.4 million and $1.9 million,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2007 included in our Annual Report on Form 10-K filed with the Securities and Exchange Commission, or SEC, on March 17, 2008. Past operating results are not necessarily indicative of results that may occur in future periods.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may include, but are not limited to,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 development stage company. We have incurred significant net losses since our inception. At March 31, 2008, from inception, our accumulated deficit was approximately $215.9 million, including $41.6 million of non-cash stock-based compensation charges related to employee stock-based compensation and founders’ warrants. We expect to incur substantial net losses for the next several years as we continue to develop certain of our existing product development programs, primarily MN-221 for the treatment of status asthmaticus, and over the long-term as we expand our research and development programs and acquire or in-license products, technologies or businesses that are complementary to our own.</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pipeline includes six clinical-stage product candidates and two preclinical-stage product candidates. At present, we plan to focus our resources on the development of the following two prioritized product development programs:</w:t>
      </w:r>
    </w:p>
    <w:p>
      <w:pPr>
        <w:spacing w:after="0" w:line="51" w:lineRule="exact"/>
        <w:rPr>
          <w:sz w:val="20"/>
          <w:szCs w:val="20"/>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completed a Phase IIa clinical trial in the fourth quarter of 2007 and initiated a Phase II clinical trial in the first quarter of 2008 by conducting the Investigator’s Meeting;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completed a Phase II clinical trial in Eastern Europe in the second quarter of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proof-of-concept Phase II clinical trials, we will either continue to pursue development independently, as we presently intend with MN-221, or establish strategic collaborations to support Phase III clinical development, as we presently intend with MN-166. Following the completion of the Phase II clinical trial for MN-166, we are not planning to pursue any further significant clinical development of MN-166 until such time that we secure a strategic collaboration to advance MN-166 into Phase III clinical development.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Beyond MN-221 for the treatment of status asthmaticus and MN-166 for the treatment of multiple sclerosis, or MS, the remainder of our pipeline will not be the subject of significant development activity, except as required to maintain our license rights or as otherwise deemed necessary to maximize the value of such product candidates. We will pursue a variety of initiatives to monetize these product candidates. Our other product development programs consist of the following:</w:t>
      </w:r>
    </w:p>
    <w:p>
      <w:pPr>
        <w:spacing w:after="0" w:line="62" w:lineRule="exact"/>
        <w:rPr>
          <w:sz w:val="20"/>
          <w:szCs w:val="20"/>
          <w:color w:val="auto"/>
        </w:rPr>
      </w:pPr>
    </w:p>
    <w:p>
      <w:pPr>
        <w:ind w:left="900" w:right="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IIa clinical trial for the treatment of insomnia in the fourth quarter of 2007;</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Ib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 2008, we announced additional data from a double-blind analysis of the first year of treatment from our two-year Phase II clinical trial of MN-166 for the treatment of MS. The analysis showed that MN-166 decreased the formation of black holes, which are permanent brain lesions believed to indicate the death of nerves in the brain, on magnetic resonance imaging, or MRI, in MS patients, adding support to our belief that MN-166 may provide neuroprotection in relapsing MS. Data demonstrated that a 60 mg per day dosing regimen of MN-166 significantly reduced the proportion of new T1 gadolinium-enhancing or new T2 lesions identified at month two of the study that evolved into persistent black holes at month ten compared to placebo (RR 0.63, p=0.011). Treatment with a 30 mg per day dosing regimen of MN-166 showed a trend toward reduced risk of new lesion evolution to persistent black holes compared to placebo (RR 0.735, p=0.074).</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March 31, 2008, we announced the initiation of a Phase II clinical trial for MN-221 for the treatment of status asthmaticus by holding the Investigator’s Meeting. This randomized, modified single-blind, placebo-controlled, dose escalation Phase II clinical trial, which is designed to determine the safety and efficacy of MN-221 in patients with severe, acute exacerbations of asthma, will involve approximately 36 patients in three dose cohorts at approximately eight emergency department clinical sites.</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April 7, 2008, we announced the results of a completed Phase II clinical trial of MN-166 for the treatment of MS. The two-year randomized, double-blind, placebo-controlled Phase II clinical trial included 297 patients with relapsing MS. We previously announced the one-year results for this clinical trial on March 27,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2007. In the second year of the study, all patients received active drug.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in those patients receiving MN-166 at either 30 or 60 mg per day for 24 months than in those patients receiving the drug for 12 months (p=0.026). Sustained disability progression was measured as a greater than or equal to 1.0 point increase from baseline in the Expanded Disability Status Scale, or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Persistent Black Holes, or PBHs, an MRI indicator of neuronal loss, eight months later at month ten by 37%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not generated any revenues from licensing, achievement of milestones or product sales to date, and we do not expect to generate any revenues from licensing, achievement of milestones or product sales until we are able to commercialize our product candidates ourselves or execute license or collaboration agreements with third parties. Any revenues generated prior to fiscal year 2007 were generated from the performance of development management services under master service agreements with Asahi Kasei Pharma Corporation and Argenes, Inc., pursuant to which we billed consulting fees and our pass-through clinical contract costs. We will not generate any revenues from either of these agreements in fiscal year 2008 or thereafter.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research and development expenses primarily consist of costs incurred to further our research and development activities, including feasibility and toxicology studies, regulatory activities, licensing and preclinical and clinical development activities for our eight product candidates. These research and development expenses include external costs, such as fees paid to external service providers and vendors to conduct clinical trials, manufacture our product candidates and provide various other products and services related to our product development programs, and internal costs of compensation and other expenses for research and development personnel, supplies, materials, facility costs and depreciation.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research and development expenses for the periods indicated (in thousands):</w:t>
      </w:r>
    </w:p>
    <w:p>
      <w:pPr>
        <w:spacing w:after="0" w:line="3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4"/>
                <w:szCs w:val="14"/>
                <w:color w:val="auto"/>
              </w:rPr>
            </w:pPr>
          </w:p>
        </w:tc>
        <w:tc>
          <w:tcPr>
            <w:tcW w:w="7240" w:type="dxa"/>
            <w:vAlign w:val="bottom"/>
            <w:vMerge w:val="restart"/>
          </w:tcPr>
          <w:p>
            <w:pPr>
              <w:ind w:left="3080"/>
              <w:spacing w:after="0"/>
              <w:rPr>
                <w:sz w:val="20"/>
                <w:szCs w:val="20"/>
                <w:color w:val="auto"/>
              </w:rPr>
            </w:pPr>
            <w:r>
              <w:rPr>
                <w:rFonts w:ascii="Arial" w:cs="Arial" w:eastAsia="Arial" w:hAnsi="Arial"/>
                <w:sz w:val="14"/>
                <w:szCs w:val="14"/>
                <w:b w:val="1"/>
                <w:bCs w:val="1"/>
                <w:color w:val="auto"/>
              </w:rPr>
              <w:t>Disease/ Indication</w:t>
            </w:r>
          </w:p>
        </w:tc>
        <w:tc>
          <w:tcPr>
            <w:tcW w:w="0" w:type="dxa"/>
            <w:vAlign w:val="bottom"/>
          </w:tcPr>
          <w:p>
            <w:pPr>
              <w:spacing w:after="0"/>
              <w:rPr>
                <w:sz w:val="1"/>
                <w:szCs w:val="1"/>
                <w:color w:val="auto"/>
              </w:rPr>
            </w:pPr>
          </w:p>
        </w:tc>
      </w:t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200" w:type="dxa"/>
            <w:vAlign w:val="bottom"/>
          </w:tcPr>
          <w:p>
            <w:pPr>
              <w:spacing w:after="0"/>
              <w:rPr>
                <w:sz w:val="14"/>
                <w:szCs w:val="14"/>
                <w:color w:val="auto"/>
              </w:rPr>
            </w:pPr>
          </w:p>
        </w:tc>
        <w:tc>
          <w:tcPr>
            <w:tcW w:w="7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MN-221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Status asthmaticus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MN-166</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Multiple sclerosis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MN-001</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Bronchial asthma</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MN-001</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Interstitial cystitis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MN-029</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Solid tumors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MN-305</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Generalized Anxiety Disorder/insomnia</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MN-221</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Preterm labor</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MN-246</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Urinary incontinence</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MN-447</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Thrombotic disorders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MN-462</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Thrombotic disorders</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SOCC</w:t>
            </w: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Cancer; inflammatory diseases</w:t>
            </w:r>
          </w:p>
        </w:tc>
        <w:tc>
          <w:tcPr>
            <w:tcW w:w="0" w:type="dxa"/>
            <w:vAlign w:val="bottom"/>
          </w:tcPr>
          <w:p>
            <w:pPr>
              <w:spacing w:after="0"/>
              <w:rPr>
                <w:sz w:val="1"/>
                <w:szCs w:val="1"/>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2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-1644650</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-1370330</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-1096010</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-821055</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-546735</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-272415</wp:posOffset>
            </wp:positionV>
            <wp:extent cx="66636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Three Months Ended</w:t>
      </w:r>
    </w:p>
    <w:p>
      <w:pPr>
        <w:jc w:val="center"/>
        <w:ind w:right="38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79"/>
              </w:rPr>
              <w:t>$ 1,947</w:t>
            </w:r>
          </w:p>
        </w:tc>
        <w:tc>
          <w:tcPr>
            <w:tcW w:w="4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676</w:t>
            </w:r>
          </w:p>
        </w:tc>
        <w:tc>
          <w:tcPr>
            <w:tcW w:w="20" w:type="dxa"/>
            <w:vAlign w:val="bottom"/>
          </w:tcPr>
          <w:p>
            <w:pPr>
              <w:spacing w:after="0"/>
              <w:rPr>
                <w:sz w:val="17"/>
                <w:szCs w:val="17"/>
                <w:color w:val="auto"/>
              </w:rPr>
            </w:pP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6,975</w:t>
            </w: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2,367</w:t>
            </w: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r>
      <w:tr>
        <w:trPr>
          <w:trHeight w:val="216"/>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222"/>
        </w:trPr>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1,115</w:t>
            </w:r>
          </w:p>
        </w:tc>
      </w:tr>
    </w:tbl>
    <w:p>
      <w:pPr>
        <w:ind w:left="1400" w:hanging="1129"/>
        <w:spacing w:after="0"/>
        <w:tabs>
          <w:tab w:leader="none" w:pos="14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41</w:t>
      </w:r>
    </w:p>
    <w:p>
      <w:pPr>
        <w:spacing w:after="0" w:line="3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40</w:t>
      </w:r>
    </w:p>
    <w:p>
      <w:pPr>
        <w:spacing w:after="0" w:line="9"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320" w:hanging="1056"/>
        <w:spacing w:after="0"/>
        <w:tabs>
          <w:tab w:leader="none" w:pos="13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346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29210</wp:posOffset>
            </wp:positionV>
            <wp:extent cx="403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$ 6,078</w:t>
      </w:r>
      <w:r>
        <w:rPr>
          <w:sz w:val="20"/>
          <w:szCs w:val="20"/>
          <w:color w:val="auto"/>
        </w:rPr>
        <w:tab/>
      </w:r>
      <w:r>
        <w:rPr>
          <w:rFonts w:ascii="Arial" w:cs="Arial" w:eastAsia="Arial" w:hAnsi="Arial"/>
          <w:sz w:val="16"/>
          <w:szCs w:val="16"/>
          <w:u w:val="single" w:color="auto"/>
          <w:color w:val="auto"/>
        </w:rPr>
        <w:t>$ 14,205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3346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27940</wp:posOffset>
            </wp:positionV>
            <wp:extent cx="403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420"/>
            <w:col w:w="1960"/>
          </w:cols>
          <w:pgMar w:left="240" w:top="459" w:right="319" w:bottom="1440" w:gutter="0" w:footer="0" w:header="0"/>
        </w:sectPr>
      </w:pPr>
    </w:p>
    <w:p>
      <w:pPr>
        <w:spacing w:after="0" w:line="2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Adhering to our strategy to focus our resources on our two prioritized product candidates, MN-221 for the treatment of status asthmaticus and MN-166 for the treatment of MS, we will limit our expenditures on the remainder of our existing product candidates to only those activities necessary to maximize the value of such product candidates, if any, while aggressively pursuing a variety of initiatives to monetize such product candidates on appropriate terms. In addition, following completion of all activities related to the Phase II clinical trial of MN-166 for the treatment of MS, we are not currently planning to pursue any further significant clinical development of MN-166 until such time that we secure a strategic collaboration to advance MN-166 into Phase III clinical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2007 as filed with the SEC on March 17, 2008, with the exception of the three accounting standards discussed below which we adopted as of January 1, 2008.</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allows an entity to voluntarily choose to measure certain financial assets and liabilities at fair value. SFAS No. 159 was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notes to our consolidated financial statements for information and related disclosures regarding our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2008 and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March 31, 2008 and March 31,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Research and development expenses for the three months ended March 31, 2008 were $6.1 million, a decrease of $8.1 million when compared to $14.2 million for the three months ended March 31, 2007. The decrease in research and development expenses resulted from our business decision to focus on the development of our two prioritized assets, MN-221 for the treatment of status asthmaticus and MN-166 for the treatment of MS. The decrease in research and development expenditures primarily reflects a decrease of $6.6 million related to the termination of a Phase III clinical trial for MN-001 for the treatment of bronchial asthma and a decrease of $3.7 million related primarily to the clinical development of MN-029 for the treatment of solid tumors and MN-246 for the treatment of urinary incontinence, which was offset by an increase in expenditures of $2.2 million related to the initiation of a Phase II clinical trial for MN-221 for the treatment of status asthmaticus and the continued progression of the two-year Phase II clinical trial for MN-166 for the treatment of MS.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assets, MN-221 for the treatment of status asthmaticus and MN-166 for the treatment of MS; however, we are not currently planning to pursue any further significant clinical development of MN-166 following completion of the Phase II clinical trial until such time that we secure a strategic collaboration to advance such product candidate into Phase III clinical development. As a result, we expect that our research and development expenses will increase with respect to MN-221 in future periods as we continue development and launch clinical trials in support of potential commercialization of this product candidate and decrease with respect to MN-166 in future periods as we will limit expenditures on this product candidate to those development activities necessary to maximize its value for purposes of securing a partner for Phase III clinical development. Beyond MN-221 and MN-166, we expect that our research and development expenses will decrease with respect to the remainder of our existing product candidates in future periods, as we will limit expenditures on these product candidates to those development activities necessary to maximize their value for purposes of monetizing such product candidates.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General and administrative expenses were $2.6 million for the three months ended March 31, 2008, a decrease of $0.4 million when compared to $3.0 million for the three months ended March 31, 2007. The decrease was primarily due to $0.3 million related to a decrease in stock-based compensation and $0.1 million related to a decrease in corporate expenses primarily for taxes and legal fees.</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future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 on Marketable Securities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hold marketable securities available-for-sale, which consist principally of auction rate securities, or ARS, all of which had AAA ratings at the time they were acquired. ARS are generally long-term debt instruments that historically have provided liquidity through a “Dutch” auction process that resets the applicable interest rate at predetermined calendar intervals, typically 7, 28, 35 or 49 days. At March 31, 2007, the ARS market was functioning properly, we had no failed auctions and the fair value of our ARS portfolio was equivalent to its original purchase price. Through December 31, 2007, only our ARS consisting of private placement securities had experienced failed auctions. However, in February 2008, all of our ARS began experiencing failed auctions. Due to continued negative conditions in the global credit market, a significant portion of our ARS investments continue to fail at auction with few to no trades in either the primary or the secondary market. As such, with the required adoption of SFAS No. 157, the fair value of our ARS portfolio was determined primarily on Level 3 criteria as prescribed by the accounting standard, which resulted in our reliance on pricing models and assumptions related to interest rates, maturities and discounted cash flows developed by the respective brokerage firms holding such securities. Based upon an analysis of the fair value of our entire ARS portfolio conducted on a security-by-security basis, we recorded a $2.4 million write-down of the carrying value of our ARS. Because of the continued illiquidity of the ARS market, the uncertainty of when and if liquidity will return to the overall ARS market and the timing of when we may be required to liquidate our ARS for operating purposes, we deemed the reduction in the overall fair value of our ARS portfolio as other-than-temporary and recorded the charge in our consolidated statement of operations. Thus, at March 31, 2008, the fair value of our ARS, which consisted primarily of municipal bonds and government-guaranteed student loan securities, was $30.4 million and the fair value of our ARS which consisted of private placement securities was $2.4 million. In addition, with the permanent write-down of the carrying value of our ARS, we consider our ARS to be appropriately classified as current assets in our consolidated financial statements.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Phase II clinical trial for MN-166 for the treatment of MS is being conducted in Eastern Europe. When we entered into the euro-denominated contract with the contract research organization managing this clinical trial on our behalf, the U.S. dollar to euro conversion rate had remained fairly constant; therefore, we did not enter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into a hedging program to mitigate our foreign exchange exposure. At March 31, 2007, the conversion rate was approximately 1.30 U.S. dollars for each euro, which approximated the conversion rate at the time we entered into the contract. However, with the overall downturn in the U.S. credit markets in recent months, the U.S. dollar to euro conversion rate at March 31, 2008 was approximately 1.60 U.S. dollars for each euro. The 23 percent change in the U.S. dollar to euro conversion rate at March 31, 2008 resulted in the recording of a foreign exchange loss of $0.6 million related to the revaluation of our euro-denominated liabilities as of the balance sheet date.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$0.8 million for the three months ended March 31, 2008, a decrease of $0.5 million when compared to $1.3 million for the three months ended March 31, 2007. The decrease was primarily due to a decrease of our investment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the public sale of our common stock and the exercise of founders’ warrants, net of treasury stock repurchases. Through March 31, 2008, we received estimated net proceeds of $201.3 million from the sale of equity securities and warrant and stock option exercises as follows:</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 shares of Series A preferred stock for aggregate net proceeds of $10.0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 shares of Series B preferred stock for aggregate net proceeds of $26.8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2, 2004, we issued and sold 2,766,785 shares of Series C preferred stock for aggregate net proceeds of $43.4 million;</w:t>
      </w:r>
    </w:p>
    <w:p>
      <w:pPr>
        <w:spacing w:after="0" w:line="113"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ind w:left="900" w:right="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At March 31, 2008, we had approximately $61.7 million in cash, cash equivalents and marketable securities available-for-sale, as compared to $70.6 million at December 31, 2007. Cash and cash equivalents equaled $28.1 million and $18.8 million at March 31, 2008 and March 31, 2007, respectively and marketable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available-for-sale equaled $33.5 million and $51.9 million at March 31, 2008 and March 31, 2007, respectively. Our investments in ARS principally represent interests in government guaranteed student loans, municipal bonds, insurance notes and portfolios of securities (primarily commercial paper). At March 31, 2008, $30.4 million of our ARS consisted primarily of municipal bonds and government-guaranteed student loan securities and $2.4 million of our ARS consisted of private placement securities. None of the underlying collateral for our ARS consisted of subprime mortgages or collateralized debt obligations. As of March 31, 2008, we lowered the carrying value of our entire ARS portfolio by $2.4 million to reflect the reduced market value of our ARS due to continued failed auctions for such securities. Although we intend to hold our ARS until such time as we need to utilize the funds for operations, we took a $2.4 million impairment charge, which we recorded as a realized loss in our consolidated statement of operations, because management determined that the decline in the market value of the ARS was other-than-temporary given the continued illiquidity of the ARS market and the uncertainty of when or if liquidity will return to the ARS market. We will continue to closely monitor our marketable securities available-for-sale, as the liquidity of our ARS could impact our ability to fund our operations after the first quarter of fiscal year 2009 if we are unable to liquidate such securities to obtain capital to fund our operations. In addition, in the event that the credit crisis continues to worsen, we may not be able to recover the full value of our ARS investments.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cash used in operating activities decreased to $7.4 million for the three months ended March 31, 2008 from $16.6 million for the three months ended March 31, 2007. The decrease was primarily due to a reduction in spending on research and development, as we focused our resources on the development of our prioritized product candidates, MN-221 and MN-166. Net cash provided by investing activities for the three months ended March 31, 2008 was $16.8 million and primarily consisted of the sale of marketable securities. Net cash provided by financing activities was less than $0.1 million for the three months ended March 31, 2008 and was primarily due to cash receipts from the purchase of stock under our employee stock purchase program.</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consumed substantial amounts of capital since our inception. We believe that our existing cash, cash equivalents and marketable securities as of March 31, 2008 will be sufficient to fund our anticipated operating requirements, at a minimum, through March 31, 2009. We may require significant additional financing in the future to fund our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of our marketable securities are classified as available-for-sale and reported on the balance sheet at fair value. Our marketable securities consist of auction rate securities, or ARS, and corporate debt, all of which had AAA ratings at the time of purchase. At March 31, 2008, we held $30.4 million of ARS consisting primarily of municipal bonds and government-guaranteed student loan securities and $2.4 million of ARS consisting of private placement securities. Our ARS are debt instruments with long-term maturities in which the interest rates are reset in short intervals through “Dutch” auctions by matching buyers and sellers. The recent conditions in the global credit markets have prevented some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the investments may not be readily convertible to cash until a future auction of these investments is successful or the securities are redeemed or mature. If the credit ratings of the security issuers deteriorate and any decline in market value is determined to be other-than-temporary, we are required to adjust the carrying value of the investment through an impairment charge.</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Through March 31, 2008, we successfully liquidated $12.6 million of ARS, which we reinvested in cash equivalents; as a result, we believe that we have sufficient capital to fund operations at least through the first quarter of 2009.</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With the continued uncertainty as to when and if liquidity will return to the overall ARS market, the downgrade of the credit quality of certain of our ARS insurers and the fact that auctions of our ARS continue to fail, we consider the decline in fair value as other-than-temporary, although we have the intent and ability to hold all of our illiquid ARS at least through the first quarter of 2009. As a result, at March 31, 2008, we recorded in our consolidated statement of operations a $2.4 million impairment charge related to our ARS, which reduced the carrying value of our ARS portfolio to $32.8 million.</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continue to closely monitor the market and evaluate our ARS portfolio on an ongoing basis, and we will adjust the carrying value of the investments through an impairment charge recorded as realized loss in our consolidated statement of operations should any further decline in market value be considered other-than-temporary. Any liquidity issues in the credit markets that extend into 2009 or beyond could adversely affect our business in the event that we are unable to liquidate any of our ARS to obtain capital to fund our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exposed to foreign currency exchange rate risk as it relates to the Phase II clinical trial for MN-166 for the treatment of MS being conducted in Eastern Europe. We currently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March 31, 2008, a hypothetical 100 basis point change in the exchange rate would not have a material impact on our consolidated financial statements.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report and our other public filings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the near-term, the success of our business will depend on many factors, including the following risks:</w:t>
      </w:r>
    </w:p>
    <w:p>
      <w:pPr>
        <w:spacing w:after="0" w:line="90" w:lineRule="exact"/>
        <w:rPr>
          <w:sz w:val="20"/>
          <w:szCs w:val="20"/>
          <w:color w:val="auto"/>
        </w:rPr>
      </w:pPr>
    </w:p>
    <w:p>
      <w:pPr>
        <w:ind w:left="900" w:right="8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are largely dependent on the success of our two prioritized product candidates, MN-221 for the treatment of status asthmaticus and MN-166 for the treatment of MS, and we cannot be certain that our planned clinical development programs will demonstrate to the satisfaction of the U.S. Food and Drug Administration, or FDA, that these product candidates are safe and effective or that either product candidate will receive regulatory approval or be successfully commercialized;</w:t>
      </w:r>
    </w:p>
    <w:p>
      <w:pPr>
        <w:spacing w:after="0" w:line="6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delays in the commencement, enrollment or completion of clinical testing for either of our prioritized product candidates, or significant issues regarding the adequacy of our clinical trial designs or the execution or success of our clinical trials, could result in increased costs to us and delay or limit our ability to obtain regulatory approval;</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 outcome of final analyses of data from our clinical trials may vary from our initial analyses, and the FDA may not agree with our interpretation of these results;</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ongoing or planned clinical trials for our prioritized product candidates may produce negative or inconclusive results, or may be inconsistent with previous clinical trial results, and we may decide, or the FDA may require us, to conduct additional clinical trials or to modify our ongoing clinical trials;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even if our product candidates are approved by regulatory authorities, we expect intense competition for our targeted indications; and</w:t>
      </w:r>
    </w:p>
    <w:p>
      <w:pPr>
        <w:spacing w:after="0" w:line="113"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will require substantial additional funding and may be unable to raise capital when needed, which would force us to delay, reduce or eliminate our development programs and commercialization efforts.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Each of these factors, as well as other factors that may impact our business, are described in more detail in the following discussion. Although the factors highlighted above are among the most significant, any of the following factors could materially adversely affect our business or cause our actual results to differ materially from those contained in forward-looking statements we have made in this report and those we may make from time to time, and you should consider all of the factors described when evaluating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significant net losses since our inception. For the three months ended March 31, 2008, we had a net loss of $10.8 million. At March 31, 2008, our accumulated deficit was approximately $215.9 million. If we are successful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raising additional capital to support such expansion, our annual net losses may increase over the next several years as we expand our infrastructure and incur significant costs related to the development of our product candidates.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status asthmaticus, and any other development activities that we may initiate. In addition, we anticipate that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drugs products, we are unable to predict the extent of any future losses or when we will become profitable, if at all.</w:t>
      </w:r>
    </w:p>
    <w:p>
      <w:pPr>
        <w:spacing w:after="0" w:line="20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if at all,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0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with regulations differing from country to country. We are not permitted to market any of our product candidates in the United States until we receive approval of a New Drug Application, or NDA, for a product candidate from the FDA. Obtaining FDA approval is a lengthy, expensive and uncertain process. We currently have two prioritized product candidates, MN-221 for the treatment of status asthmaticus and MN-166 for the treatment of MS, and the success of our business currently depends on their successful development and commercialization. We have not submitted an NDA or received marketing approval for either of these two prioritized product candidates. In addition, we are not currently planning to pursue any further significant clinical development of MN-166 for the treatment of MS following completion of the Phase II clinical trial until such time that we are able to secure a strategic collaboration to advance MN-166 into Phase III development, which may delay or impede the process of completing clinical trials and seeking regulatory approval for this product candidate.</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clinical development programs for MN-221 and MN-166 may not lead to commercial products for a number of reasons, including if our clinical trials fail to demonstrate to the satisfaction of the FDA that these product candidates are safe and effective. As a result, we may fail to obtain necessary approvals from the FDA and similar foreign regulatory agencies. We may also fail to obtain the necessary approvals if we have inadequate financial or other resources to advance our product candidates through the clinical trial process. Any failure by us or delay in completing clinical trials or obtaining regulatory approval for either MN-221 or MN-166 would have a material and adverse impact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suspended or terminated at any time.</w:t>
      </w:r>
    </w:p>
    <w:p>
      <w:pPr>
        <w:spacing w:after="0" w:line="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To date, we have obtained regulatory authorization to conduct clinical trials for eight of our product development programs. Investigational New Drug Applications, or INDs, were approved and are active for seven of our product candidates. We also have a Clinical Trial Authorization, or CTA, which is the equivalent of a U.S. IND, approved and active to conduct a Phase II clinical trial for MN-166 in patients with MS in five countries in Eastern Europe and had two CTAs approved in Canada to conduct the two completed Phase I clinical trials for MN-246 in healthy subjects.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IIa clinical trial of MN-305 for the treatment of insomnia failed to achieve statistical significance in its primary endpoint; as a result, we are no longer pursuing the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agree with our proposed development plans or accept the results of completed clinical trials; and</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agencies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We do not know whether enrollment in our ongoing and planned clinical trials for our product candidates will be completed on time, or whether our additional planned and ongoing clinical trials for our product candidates will be completed on schedule, if at all. The commencement and completion of clinical trials can be delayed for a variety of other reasons, including delays in:</w:t>
      </w:r>
    </w:p>
    <w:p>
      <w:pPr>
        <w:spacing w:after="0" w:line="32" w:lineRule="exact"/>
        <w:rPr>
          <w:sz w:val="20"/>
          <w:szCs w:val="20"/>
          <w:color w:val="auto"/>
        </w:rPr>
      </w:pPr>
    </w:p>
    <w:p>
      <w:pPr>
        <w:ind w:left="5620" w:right="5620" w:hanging="5166"/>
        <w:spacing w:after="0" w:line="525" w:lineRule="auto"/>
        <w:tabs>
          <w:tab w:leader="none" w:pos="8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regulatory approval to commence or amend a clinical trial; 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 or our clinical protocols;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Amendments may require us to resubmit our clinical trial protocols to institutional review boards for reexamination, which may impact the costs, timing or successful completion of a clinical trial.</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do not successfully complete clinical development of our product candidates, we will be unable to obtain regulatory approval to market products and generate revenues from such products. We may also fail to obtain the necessary regulatory approvals if we have inadequate financial or other resources to advance our product candidates through the clinical trial process. 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product candidate could be delayed or limited. In addition, many of the factors that cause or lead to delays in the commencement or completion of clinical trials may also ultimately lead to the denial of regulatory approval for a product candidate. Finally,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MN-221 for status asthmaticus and preterm labor licensed from Kissei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MN-166 for MS licensed from Kyorin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MN-001 for bronchial asthma and IC licensed from Kyorin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MN-305 for anxiety disorders/insomnia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have consumed substantial amounts of capital since our inception. From our inception to March 31, 2008, we had an accumulated deficit of $215.9 million. Our cash and marketable securities totaled approximately $61.7 million at March 31, 2008. Although we intend to manage our product development programs such that our existing cash, cash equivalents and marketable securities as of March 31, 2008 will be sufficient to meet our operating requirements through at least March 31, 2009. We have based this estimate on assumptions that may prove to be wrong, and we could spend our available financial resources faster than we currently expect. Our future capital requirements will depend on, and could increase significantly as a result of, many factors including:</w:t>
      </w:r>
    </w:p>
    <w:p>
      <w:pPr>
        <w:spacing w:after="0" w:line="1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3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terminate, delay or reduce the scope of the product development program, including clinical trials, for one or more of our product candidates;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 or other activities to commercialize a product candidate;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the liquidity of a portion of our investment portfolio.</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hold marketable securities available-for-sale which consist of auction rate securities, or ARS, and corporate debt, all of which had AAA ratings at the time they were acquired. ARS are generally long-term debt instruments that historically have provided liquidity through a “Dutch” auction process that resets the applicable interest rate at predetermined calendar intervals, typically 7, 28, 35 or 49 days. At March 31, 2007, the ARS market was functioning properly and no failed auctions had occurred. The recent negative conditions in the global credit markets, however, have caused some investors, including ourselves, to experience failed ARS auctions. At December 31, 2007, only our ARS consisting of private placement securities had experienced failed auctions; however, beginning in February 2008, all of our ARS began experiencing failed auctions. As a result, we have been prevented from liquidating certain of our ARS investments. At March 31, 2008, we held $30.4 million of ARS consisting of municipal bonds and $2.4 million of ARS consisting of private placement securities. Through March 31, 2008, we successfully liquidated $12.6 million of ARS, which we reinvested in cash equivalents. With the continued uncertainty as to when or if liquidity will return to the overall ARS market, the downgrade of the credit quality of certain of our ARS insurers and the fact that auctions of our ARS continue to fail, we considered the decline in fair value as other-than-temporary at March 31, 2008, although we have the intent and ability to hold all of our illiquid ARS through the first quarter of 2009. As a result, we recorded in our consolidated statement of operations a $2.4 million impairment charge related to our ARS which reduced the carrying value of our ARS portfolio to $32.8 million. We will continue to closely monitor the market and evaluate our ARS portfolio on an ongoing basis, and we will further adjust the carrying value of the investment through an impairment charge that would be recorded as realized loss in our consolidated statement of operations should any further decline in market value be considered other-than-temporary. Any liquidity issues in the credit markets that extend past March 31, 2009 could prevent us from successfully liquidating certain of our ARS in order to obtain needed capital to fund our operations, which would adversely affect our business. In addition, in the event that the credit crisis continues to worsen, we may not be able to recover the full value of our ARS investments if we are successful in liquidating such investments.</w:t>
      </w:r>
    </w:p>
    <w:p>
      <w:pPr>
        <w:spacing w:after="0" w:line="20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we are not planning to undertake any further significant clinical development activities, other than those activities deemed necessary to maximize each product candidate’s value, for any of our product candidates other than MN-221 for the treatment of status asthmaticus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licensors of our MN-221, MN-305 and MN-246 product candidates have a right to co-promote these product candidates pursuant to the terms of their respective license agreements, which may make it more difficult to enter into a collaboration with any third parties. 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our third-party manufacturers, contractors,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and we may never receive FDA approval for any of our product candidates. Obtaining FDA approval for a product takes many years of clinical development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FDA Amendments Act of 2007. This new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might differ from that required to obtain FDA approval. The regulatory approval process in other countries may include all of the risks detailed above regarding FDA approval in the United States. Approval by the FDA does not automatically lead to the approval of regulatory authorities outside of the United States, and approval by regulatory authorities outside of the United States does not automatically lead to FDA approval. In addition, regulatory approval in one country does not ensure regulatory approval in another, but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We rely on third parties to conduct our clinical trials and perform data collection and analysis.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rely on CROs, medical institutions, clinical investigators, contract laboratories and other service providers to conduct our clinical trials and to perform data collection and analysis. Although we design and manage our current clinical trials, we do not have the ability to conduct clinical trials directly for our product candidates.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Biomedical, Inc. of Irvine, California; Quintiles, Inc. of Morrisville, North Carolina; PharmaNet, Inc. of Princeton, New Jersey; and Synteract, Inc. of Carlsbad, California.</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development programs. If these third parties fail to devote sufficient care, time and resources to our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for commercial sale.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for preclinical and clinical studies, and we do not have any long-term commitments from our suppliers of clinical trial materials or guaranteed prices for our product candidates.</w:t>
      </w:r>
    </w:p>
    <w:p>
      <w:pPr>
        <w:spacing w:after="0" w:line="1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yet have agreements established regarding commercial supply of any of our product candidates and may not be able to establish or maintain commercial manufacturing arrangements on commercially reasonable terms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MN-221 on a commercial scale if MN-221 is approved by the FDA or other regulatory authorities for commercial sale. Any problems or delays we experience in preparing for commercial-scale manufacturing of a product candidate may result in a delay in FDA approval of the product candidate or may impair our ability to manufacture commercial quantities, which would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this acceptable stability data for our product candidates, as well as validate methods and manufacturing processes, in order to receive regulatory approval to commercialize any of our product candidates.</w:t>
      </w:r>
    </w:p>
    <w:p>
      <w:pPr>
        <w:spacing w:after="0" w:line="127"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If any of these risks occur, our product supply will be interrupted and may result in lost or delayed revenues and delayed clinical trials or receipt of regulatory approval.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impacted.</w:t>
      </w:r>
    </w:p>
    <w:p>
      <w:pPr>
        <w:spacing w:after="0" w:line="1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manufacturers are obligated to operate in accordance with FDA-mandated cGMPs and, in some cases, International Convention on Harmonization, or ICH, standards. A failure of any of our contract manufacturers to establish and follow cGMPs and to document their adherence to such practices may lead to significant delays in clinical trials, obtaining regulatory approval of product candidates or the ultimate launch of our products into the market. In addition, changing contract manufacturers is difficult. For example, a change in contract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our product candidates are approved by the FDA or other regulatory agencies for commercial sale, we will need to manufacture them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We rely on the third-party manufacturers for our products to purchase from third-party suppliers the materials necessary to produce the compounds for our clinical trials, and we will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Even if U.S. regulatory approval is obtained, the FDA may still impose significant restrictions on a product’s indicated uses or marketing or impose ongoing requirements for potentially costly post-approval studies.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Even if one of our product candidates is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cheaper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6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development and regulatory personnel. In addition, we may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0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If we are unable to establish our sales and marketing capability or any other capabilities necessary to commercialize any approved product, we will need to contract with third parties or establish a partnership to market and sell the product. If we are unable to establish adequate sales and marketing capabilities, whether independently or with third parties, we may not be able to generate any product revenue, may generate increased expenses and may never become profitable. In addition, although we intend to establish strategic collaborations to market any products approved for sale by regulatory authorities outside of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any proposed sales, marketing and education programs.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 required to pay up to three times the actual damages sustained by the government, plus civil penalties for each separate false claim. Various states have also enacted laws modeled after the federal False Claims Act.</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development and commercialization of drug products entails significant product liability risks. Liability claims may arise from use of our product candidates in clinical trials and the commercial sale of those products. If we cannot successfully defend ourselves against these claims, we will incur substantial liabilities. Regardless of merit or eventual outcome, liability claims may result in:</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products.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May 7, 2008, we had 24 employees, all of whom but one were full-time employees.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7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under our licensing agreements;</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or yearly comparisons of our financial results are not necessarily meaningful and should not be relied upon as indications of our future performance.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 and The Nasdaq Stock Market, and incur significant legal, accounting and other expenses as a result. These rules impose various requirements on public companies, including requiring establishment and maintenance of effective disclosure and financial controls and changes in corporate governance practices. Our management and other personnel have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controls and procedures. As a result, we are required to perform an evaluation of our internal controls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controls over financial reporting. Our efforts to comply with Section 404 and related regulations has required, and continues to require, the commitment of significant financial and managerial resources. While we anticipate maintaining the integrity of our internal controls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Nasdaq, the SEC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For example, the loss of clinical trial data from completed or ongoing clinical trials for MN-221 or MN-166, or our other product candidates,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For some of our product candidates, patent protection is no longer available for the APIs in such product candidates without regard to specific formulation or method of use. As a result, competitors that obtain the requisite regulatory approval will be able to offer products with the same active ingredient as found in some of our products so long as the competitors do not infringe any method of use, method of manufacture or formulation patents that we hold or have exclusive rights to through our licensors. For example, we currently do not have any unqualified composition of matter claims for MN-166. We are aware that Avigen, Inc. is conducting preclinical studies and clinical trials for a product that contains the active compound contained in MN-166 to treat neuropathic pain.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As an example, it appears that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patents issued to third parties relating to our product candidates. Consequently, no assurance can be given that third-party patents containing claims covering our product candidates, their methods of use or manufacture do not exist or have not been filed and will not be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6" w:lineRule="exact"/>
        <w:rPr>
          <w:sz w:val="20"/>
          <w:szCs w:val="20"/>
          <w:color w:val="auto"/>
        </w:rPr>
      </w:pPr>
    </w:p>
    <w:p>
      <w:pPr>
        <w:ind w:left="900" w:right="3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developing and commercializing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listing on the Nasdaq Global Market on December 7, 2006, there was no active trading market for our common stock in the United States, as our common stock had only been listed on the on the Hercules Market of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March 31, 2008, our common stock has traded as high as approximately $42.00 and as low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approximately $3.27. The following factors, in addition to other risk factors described in this section, may have a significant impact on the market price of our common stock:</w:t>
      </w:r>
    </w:p>
    <w:p>
      <w:pPr>
        <w:spacing w:after="0" w:line="51" w:lineRule="exact"/>
        <w:rPr>
          <w:sz w:val="20"/>
          <w:szCs w:val="20"/>
          <w:color w:val="auto"/>
        </w:rPr>
      </w:pPr>
    </w:p>
    <w:p>
      <w:pPr>
        <w:ind w:left="900" w:right="4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March 31, 2008, there were 50,000 warrants outstanding held by a separate investor. All of the warrants held by our founders have been exercised, and the warrant held by a separate investor expires in May 2009. All of such shares, other than shares held by our affiliates, may also be sold from time to time in exempt transactions pursuant to Rule 144(k) promulgated by the SEC. The trading volume for our stock is low, with an average trading volume of approximately 3,500 shares per day on the Hercules Market of the Osaka Securities Exchange and approximately 3,885 shares per day on the Nasdaq Global Market during the month of March 2008.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23" w:lineRule="exact"/>
        <w:rPr>
          <w:rFonts w:ascii="Arial" w:cs="Arial" w:eastAsia="Arial" w:hAnsi="Arial"/>
          <w:sz w:val="18"/>
          <w:szCs w:val="18"/>
          <w:color w:val="auto"/>
        </w:rPr>
      </w:pPr>
    </w:p>
    <w:p>
      <w:pPr>
        <w:ind w:left="900" w:right="520" w:hanging="446"/>
        <w:spacing w:after="0" w:line="27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stock markets have from time to time experienced significant price and volume fluctuations that have affected the market prices for the common stock of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effected the initial public offering of our common stock, or IPO, pursuant to a Registration Statement on Form S-1 (File No. 333-119433) that was declared effective by the SEC on January 28, 2005. As of March 31, 2008, we had used approximately $105.3 million of the net proceeds from our IPO to fund our operations, including development of our clinical trials and we had used $1.6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our existing product development programs. In addition, we may use a portion of the net proceeds from our IPO to acquire technologies or businesses that are complementary to our own, but we currently have no commitments or agreements relating to any such transaction.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2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100" w:type="dxa"/>
            <w:vAlign w:val="bottom"/>
          </w:tcPr>
          <w:p>
            <w:pPr>
              <w:spacing w:after="0"/>
              <w:rPr>
                <w:sz w:val="24"/>
                <w:szCs w:val="24"/>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9"/>
              </w:rPr>
              <w:t>None.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10.1(1)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Severance</w:t>
            </w:r>
          </w:p>
        </w:tc>
        <w:tc>
          <w:tcPr>
            <w:tcW w:w="9220" w:type="dxa"/>
            <w:vAlign w:val="bottom"/>
          </w:tcPr>
          <w:p>
            <w:pPr>
              <w:ind w:left="60"/>
              <w:spacing w:after="0"/>
              <w:rPr>
                <w:sz w:val="20"/>
                <w:szCs w:val="20"/>
                <w:color w:val="auto"/>
              </w:rPr>
            </w:pPr>
            <w:r>
              <w:rPr>
                <w:rFonts w:ascii="Arial" w:cs="Arial" w:eastAsia="Arial" w:hAnsi="Arial"/>
                <w:sz w:val="18"/>
                <w:szCs w:val="18"/>
                <w:color w:val="auto"/>
                <w:w w:val="98"/>
              </w:rPr>
              <w:t>Agreement and Release, dated as of April 30, 2008, by and between MediciNova, Inc. and Kenneth W. Locke, Ph.D.</w:t>
            </w: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w w:val="87"/>
              </w:rPr>
              <w:t>10.2(1)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Consulting Agreement, dated as of May 1, 2008, by and between MediciNova, Inc. and Kenneth W. Locke, Ph.D.</w:t>
            </w:r>
          </w:p>
        </w:tc>
      </w:tr>
      <w:tr>
        <w:trPr>
          <w:trHeight w:val="324"/>
        </w:trPr>
        <w:tc>
          <w:tcPr>
            <w:tcW w:w="620" w:type="dxa"/>
            <w:vAlign w:val="bottom"/>
            <w:gridSpan w:val="2"/>
          </w:tcPr>
          <w:p>
            <w:pPr>
              <w:ind w:left="1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2008.</w:t>
            </w:r>
          </w:p>
        </w:tc>
      </w:tr>
      <w:tr>
        <w:trPr>
          <w:trHeight w:val="324"/>
        </w:trPr>
        <w:tc>
          <w:tcPr>
            <w:tcW w:w="620" w:type="dxa"/>
            <w:vAlign w:val="bottom"/>
            <w:gridSpan w:val="2"/>
          </w:tcPr>
          <w:p>
            <w:pPr>
              <w:ind w:left="1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2008.</w:t>
            </w:r>
          </w:p>
        </w:tc>
      </w:tr>
      <w:tr>
        <w:trPr>
          <w:trHeight w:val="324"/>
        </w:trPr>
        <w:tc>
          <w:tcPr>
            <w:tcW w:w="620" w:type="dxa"/>
            <w:vAlign w:val="bottom"/>
            <w:gridSpan w:val="2"/>
          </w:tcPr>
          <w:p>
            <w:pPr>
              <w:ind w:left="1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620" w:type="dxa"/>
            <w:vAlign w:val="bottom"/>
            <w:gridSpan w:val="2"/>
          </w:tcPr>
          <w:p>
            <w:pPr>
              <w:ind w:left="1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274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 48</w:t>
      </w:r>
    </w:p>
    <w:p>
      <w:pPr>
        <w:sectPr>
          <w:pgSz w:w="11900" w:h="16838" w:orient="portrait"/>
          <w:cols w:equalWidth="0" w:num="1">
            <w:col w:w="11080"/>
          </w:cols>
          <w:pgMar w:left="240" w:top="459" w:right="5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6060" w:val="left"/>
          <w:tab w:leader="none" w:pos="8120" w:val="left"/>
          <w:tab w:leader="none" w:pos="8460" w:val="left"/>
        </w:tabs>
        <w:rPr>
          <w:sz w:val="20"/>
          <w:szCs w:val="20"/>
          <w:color w:val="auto"/>
        </w:rPr>
      </w:pPr>
      <w:r>
        <w:rPr>
          <w:rFonts w:ascii="Arial" w:cs="Arial" w:eastAsia="Arial" w:hAnsi="Arial"/>
          <w:sz w:val="18"/>
          <w:szCs w:val="18"/>
          <w:color w:val="auto"/>
        </w:rPr>
        <w:t>Date: May 12,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Yuichi Iwaki, M.D., Ph.D.</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608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Shintaro Asako</w:t>
      </w:r>
    </w:p>
    <w:p>
      <w:pPr>
        <w:jc w:val="center"/>
        <w:ind w:left="652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80"/>
          </w:cols>
          <w:pgMar w:left="240" w:top="459" w:right="8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2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10.1(1)</w:t>
            </w:r>
          </w:p>
        </w:tc>
        <w:tc>
          <w:tcPr>
            <w:tcW w:w="54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Severance</w:t>
            </w:r>
          </w:p>
        </w:tc>
        <w:tc>
          <w:tcPr>
            <w:tcW w:w="9220" w:type="dxa"/>
            <w:vAlign w:val="bottom"/>
          </w:tcPr>
          <w:p>
            <w:pPr>
              <w:ind w:left="60"/>
              <w:spacing w:after="0"/>
              <w:rPr>
                <w:sz w:val="20"/>
                <w:szCs w:val="20"/>
                <w:color w:val="auto"/>
              </w:rPr>
            </w:pPr>
            <w:r>
              <w:rPr>
                <w:rFonts w:ascii="Arial" w:cs="Arial" w:eastAsia="Arial" w:hAnsi="Arial"/>
                <w:sz w:val="18"/>
                <w:szCs w:val="18"/>
                <w:color w:val="auto"/>
                <w:w w:val="98"/>
              </w:rPr>
              <w:t>Agreement and Release, dated as of April 30, 2008, by and between MediciNova, Inc. and Kenneth W. Locke, Ph.D.</w:t>
            </w: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w w:val="87"/>
              </w:rPr>
              <w:t>10.2(1)</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Consulting Agreement, dated as of May 1, 2008, by and between MediciNova, Inc. and Kenneth W. Locke, Ph.D.</w:t>
            </w:r>
          </w:p>
        </w:tc>
      </w:tr>
      <w:tr>
        <w:trPr>
          <w:trHeight w:val="324"/>
        </w:trPr>
        <w:tc>
          <w:tcPr>
            <w:tcW w:w="520" w:type="dxa"/>
            <w:vAlign w:val="bottom"/>
          </w:tcPr>
          <w:p>
            <w:pPr>
              <w:ind w:left="2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2008.</w:t>
            </w:r>
          </w:p>
        </w:tc>
      </w:tr>
      <w:tr>
        <w:trPr>
          <w:trHeight w:val="324"/>
        </w:trPr>
        <w:tc>
          <w:tcPr>
            <w:tcW w:w="520" w:type="dxa"/>
            <w:vAlign w:val="bottom"/>
          </w:tcPr>
          <w:p>
            <w:pPr>
              <w:ind w:left="2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2008.</w:t>
            </w:r>
          </w:p>
        </w:tc>
      </w:tr>
      <w:tr>
        <w:trPr>
          <w:trHeight w:val="324"/>
        </w:trPr>
        <w:tc>
          <w:tcPr>
            <w:tcW w:w="520" w:type="dxa"/>
            <w:vAlign w:val="bottom"/>
          </w:tcPr>
          <w:p>
            <w:pPr>
              <w:ind w:left="2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20" w:type="dxa"/>
            <w:vAlign w:val="bottom"/>
          </w:tcPr>
          <w:p>
            <w:pPr>
              <w:ind w:left="2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274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 50</w:t>
      </w:r>
    </w:p>
    <w:p>
      <w:pPr>
        <w:sectPr>
          <w:pgSz w:w="11900" w:h="16838" w:orient="portrait"/>
          <w:cols w:equalWidth="0" w:num="1">
            <w:col w:w="11080"/>
          </w:cols>
          <w:pgMar w:left="240" w:top="459" w:right="5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2008,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2008,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7"/>
    </w:lvl>
  </w:abstractNum>
  <w:abstractNum w:abstractNumId="6">
    <w:nsid w:val="75A2A8D4"/>
    <w:multiLevelType w:val="hybridMultilevel"/>
    <w:lvl w:ilvl="0">
      <w:lvlJc w:val="left"/>
      <w:lvlText w:val="%1."/>
      <w:numFmt w:val="decimal"/>
      <w:start w:val="8"/>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emdash "/>
      <w:numFmt w:val="bullet"/>
      <w:start w:val="1"/>
    </w:lvl>
    <w:lvl w:ilvl="1">
      <w:lvlJc w:val="left"/>
      <w:lvlText w:val="%2"/>
      <w:numFmt w:val="decimal"/>
      <w:start w:val="119"/>
    </w:lvl>
  </w:abstractNum>
  <w:abstractNum w:abstractNumId="10">
    <w:nsid w:val="B03E0C6"/>
    <w:multiLevelType w:val="hybridMultilevel"/>
    <w:lvl w:ilvl="0">
      <w:lvlJc w:val="left"/>
      <w:lvlText w:val="\emdash "/>
      <w:numFmt w:val="bullet"/>
      <w:start w:val="1"/>
    </w:lvl>
    <w:lvl w:ilvl="1">
      <w:lvlJc w:val="left"/>
      <w:lvlText w:val="%2"/>
      <w:numFmt w:val="decimal"/>
      <w:start w:val="733"/>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2019-12-11T15:55:13Z</dcterms:created>
  <dcterms:modified xsi:type="dcterms:W3CDTF">2019-12-11T15:55:13Z</dcterms:modified>
</cp:coreProperties>
</file>