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QUARTERLY PERIOD ENDED MARCH 31, 2005</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6" w:lineRule="exact"/>
        <w:rPr>
          <w:sz w:val="24"/>
          <w:szCs w:val="24"/>
          <w:color w:val="auto"/>
        </w:rPr>
      </w:pPr>
    </w:p>
    <w:p>
      <w:pPr>
        <w:sectPr>
          <w:pgSz w:w="11900" w:h="16838" w:orient="portrait"/>
          <w:cols w:equalWidth="0" w:num="2">
            <w:col w:w="2500" w:space="480"/>
            <w:col w:w="844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MEDICINOVA,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2"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6320" w:type="dxa"/>
            <w:vAlign w:val="bottom"/>
          </w:tcPr>
          <w:p>
            <w:pPr>
              <w:jc w:val="center"/>
              <w:ind w:right="2952"/>
              <w:spacing w:after="0"/>
              <w:rPr>
                <w:sz w:val="20"/>
                <w:szCs w:val="20"/>
                <w:color w:val="auto"/>
              </w:rPr>
            </w:pPr>
            <w:r>
              <w:rPr>
                <w:rFonts w:ascii="Arial" w:cs="Arial" w:eastAsia="Arial" w:hAnsi="Arial"/>
                <w:sz w:val="14"/>
                <w:szCs w:val="14"/>
                <w:b w:val="1"/>
                <w:bCs w:val="1"/>
                <w:color w:val="auto"/>
                <w:w w:val="87"/>
              </w:rPr>
              <w:t>Delaware</w:t>
            </w:r>
          </w:p>
        </w:tc>
        <w:tc>
          <w:tcPr>
            <w:tcW w:w="2240" w:type="dxa"/>
            <w:vAlign w:val="bottom"/>
          </w:tcPr>
          <w:p>
            <w:pPr>
              <w:jc w:val="right"/>
              <w:ind w:right="592"/>
              <w:spacing w:after="0"/>
              <w:rPr>
                <w:sz w:val="20"/>
                <w:szCs w:val="20"/>
                <w:color w:val="auto"/>
              </w:rPr>
            </w:pPr>
            <w:r>
              <w:rPr>
                <w:rFonts w:ascii="Arial" w:cs="Arial" w:eastAsia="Arial" w:hAnsi="Arial"/>
                <w:sz w:val="14"/>
                <w:szCs w:val="14"/>
                <w:b w:val="1"/>
                <w:bCs w:val="1"/>
                <w:color w:val="auto"/>
              </w:rPr>
              <w:t>33-0927979</w:t>
            </w:r>
          </w:p>
        </w:tc>
      </w:tr>
      <w:tr>
        <w:trPr>
          <w:trHeight w:val="172"/>
        </w:trPr>
        <w:tc>
          <w:tcPr>
            <w:tcW w:w="6320" w:type="dxa"/>
            <w:vAlign w:val="bottom"/>
          </w:tcPr>
          <w:p>
            <w:pPr>
              <w:jc w:val="center"/>
              <w:ind w:right="2952"/>
              <w:spacing w:after="0"/>
              <w:rPr>
                <w:sz w:val="20"/>
                <w:szCs w:val="20"/>
                <w:color w:val="auto"/>
              </w:rPr>
            </w:pPr>
            <w:r>
              <w:rPr>
                <w:rFonts w:ascii="Arial" w:cs="Arial" w:eastAsia="Arial" w:hAnsi="Arial"/>
                <w:sz w:val="14"/>
                <w:szCs w:val="14"/>
                <w:color w:val="auto"/>
                <w:w w:val="88"/>
              </w:rPr>
              <w:t>(State or Other Jurisdiction of Incorporation or Organization)</w:t>
            </w:r>
          </w:p>
        </w:tc>
        <w:tc>
          <w:tcPr>
            <w:tcW w:w="2240" w:type="dxa"/>
            <w:vAlign w:val="bottom"/>
          </w:tcPr>
          <w:p>
            <w:pPr>
              <w:jc w:val="center"/>
              <w:ind w:left="212"/>
              <w:spacing w:after="0"/>
              <w:rPr>
                <w:sz w:val="20"/>
                <w:szCs w:val="20"/>
                <w:color w:val="auto"/>
              </w:rPr>
            </w:pPr>
            <w:r>
              <w:rPr>
                <w:rFonts w:ascii="Arial" w:cs="Arial" w:eastAsia="Arial" w:hAnsi="Arial"/>
                <w:sz w:val="14"/>
                <w:szCs w:val="14"/>
                <w:color w:val="auto"/>
                <w:w w:val="90"/>
              </w:rPr>
              <w:t>(I.R.S. Employer Identification No.)</w:t>
            </w:r>
          </w:p>
        </w:tc>
      </w:tr>
      <w:tr>
        <w:trPr>
          <w:trHeight w:val="341"/>
        </w:trPr>
        <w:tc>
          <w:tcPr>
            <w:tcW w:w="6320" w:type="dxa"/>
            <w:vAlign w:val="bottom"/>
          </w:tcPr>
          <w:p>
            <w:pPr>
              <w:jc w:val="center"/>
              <w:ind w:right="2952"/>
              <w:spacing w:after="0"/>
              <w:rPr>
                <w:sz w:val="20"/>
                <w:szCs w:val="20"/>
                <w:color w:val="auto"/>
              </w:rPr>
            </w:pPr>
            <w:r>
              <w:rPr>
                <w:rFonts w:ascii="Arial" w:cs="Arial" w:eastAsia="Arial" w:hAnsi="Arial"/>
                <w:sz w:val="14"/>
                <w:szCs w:val="14"/>
                <w:b w:val="1"/>
                <w:bCs w:val="1"/>
                <w:color w:val="auto"/>
                <w:w w:val="87"/>
              </w:rPr>
              <w:t>4350 La Jolla Village Drive, Suite 950, San Diego, CA</w:t>
            </w:r>
          </w:p>
        </w:tc>
        <w:tc>
          <w:tcPr>
            <w:tcW w:w="2240" w:type="dxa"/>
            <w:vAlign w:val="bottom"/>
          </w:tcPr>
          <w:p>
            <w:pPr>
              <w:jc w:val="right"/>
              <w:ind w:right="752"/>
              <w:spacing w:after="0"/>
              <w:rPr>
                <w:sz w:val="20"/>
                <w:szCs w:val="20"/>
                <w:color w:val="auto"/>
              </w:rPr>
            </w:pPr>
            <w:r>
              <w:rPr>
                <w:rFonts w:ascii="Arial" w:cs="Arial" w:eastAsia="Arial" w:hAnsi="Arial"/>
                <w:sz w:val="14"/>
                <w:szCs w:val="14"/>
                <w:b w:val="1"/>
                <w:bCs w:val="1"/>
                <w:color w:val="auto"/>
              </w:rPr>
              <w:t>92122</w:t>
            </w:r>
          </w:p>
        </w:tc>
      </w:tr>
      <w:tr>
        <w:trPr>
          <w:trHeight w:val="172"/>
        </w:trPr>
        <w:tc>
          <w:tcPr>
            <w:tcW w:w="6320" w:type="dxa"/>
            <w:vAlign w:val="bottom"/>
          </w:tcPr>
          <w:p>
            <w:pPr>
              <w:jc w:val="center"/>
              <w:ind w:right="2952"/>
              <w:spacing w:after="0"/>
              <w:rPr>
                <w:sz w:val="20"/>
                <w:szCs w:val="20"/>
                <w:color w:val="auto"/>
              </w:rPr>
            </w:pPr>
            <w:r>
              <w:rPr>
                <w:rFonts w:ascii="Arial" w:cs="Arial" w:eastAsia="Arial" w:hAnsi="Arial"/>
                <w:sz w:val="14"/>
                <w:szCs w:val="14"/>
                <w:color w:val="auto"/>
                <w:w w:val="90"/>
              </w:rPr>
              <w:t>(Address of Principal Executive Offices)</w:t>
            </w:r>
          </w:p>
        </w:tc>
        <w:tc>
          <w:tcPr>
            <w:tcW w:w="2240" w:type="dxa"/>
            <w:vAlign w:val="bottom"/>
          </w:tcPr>
          <w:p>
            <w:pPr>
              <w:jc w:val="center"/>
              <w:ind w:left="212"/>
              <w:spacing w:after="0"/>
              <w:rPr>
                <w:sz w:val="20"/>
                <w:szCs w:val="20"/>
                <w:color w:val="auto"/>
              </w:rPr>
            </w:pPr>
            <w:r>
              <w:rPr>
                <w:rFonts w:ascii="Arial" w:cs="Arial" w:eastAsia="Arial" w:hAnsi="Arial"/>
                <w:sz w:val="14"/>
                <w:szCs w:val="14"/>
                <w:color w:val="auto"/>
                <w:w w:val="90"/>
              </w:rPr>
              <w:t>(Zip Code)</w:t>
            </w:r>
          </w:p>
        </w:tc>
      </w:tr>
      <w:tr>
        <w:trPr>
          <w:trHeight w:val="273"/>
        </w:trPr>
        <w:tc>
          <w:tcPr>
            <w:tcW w:w="6320" w:type="dxa"/>
            <w:vAlign w:val="bottom"/>
          </w:tcPr>
          <w:p>
            <w:pPr>
              <w:jc w:val="right"/>
              <w:ind w:right="1272"/>
              <w:spacing w:after="0"/>
              <w:rPr>
                <w:sz w:val="20"/>
                <w:szCs w:val="20"/>
                <w:color w:val="auto"/>
              </w:rPr>
            </w:pPr>
            <w:r>
              <w:rPr>
                <w:rFonts w:ascii="Arial" w:cs="Arial" w:eastAsia="Arial" w:hAnsi="Arial"/>
                <w:sz w:val="14"/>
                <w:szCs w:val="14"/>
                <w:b w:val="1"/>
                <w:bCs w:val="1"/>
                <w:color w:val="auto"/>
              </w:rPr>
              <w:t>(858) 373-1500</w:t>
            </w:r>
          </w:p>
        </w:tc>
        <w:tc>
          <w:tcPr>
            <w:tcW w:w="2240" w:type="dxa"/>
            <w:vAlign w:val="bottom"/>
          </w:tcPr>
          <w:p>
            <w:pPr>
              <w:spacing w:after="0"/>
              <w:rPr>
                <w:sz w:val="23"/>
                <w:szCs w:val="23"/>
                <w:color w:val="auto"/>
              </w:rPr>
            </w:pPr>
          </w:p>
        </w:tc>
      </w:tr>
      <w:tr>
        <w:trPr>
          <w:trHeight w:val="172"/>
        </w:trPr>
        <w:tc>
          <w:tcPr>
            <w:tcW w:w="6320" w:type="dxa"/>
            <w:vAlign w:val="bottom"/>
          </w:tcPr>
          <w:p>
            <w:pPr>
              <w:jc w:val="center"/>
              <w:ind w:left="2732"/>
              <w:spacing w:after="0"/>
              <w:rPr>
                <w:sz w:val="20"/>
                <w:szCs w:val="20"/>
                <w:color w:val="auto"/>
              </w:rPr>
            </w:pPr>
            <w:r>
              <w:rPr>
                <w:rFonts w:ascii="Arial" w:cs="Arial" w:eastAsia="Arial" w:hAnsi="Arial"/>
                <w:sz w:val="14"/>
                <w:szCs w:val="14"/>
                <w:color w:val="auto"/>
                <w:w w:val="87"/>
              </w:rPr>
              <w:t>(Registrant’s Telephone Number, Including Area Code)</w:t>
            </w:r>
          </w:p>
        </w:tc>
        <w:tc>
          <w:tcPr>
            <w:tcW w:w="22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7160" w:type="dxa"/>
            <w:vAlign w:val="bottom"/>
          </w:tcPr>
          <w:p>
            <w:pPr>
              <w:spacing w:after="0"/>
              <w:rPr>
                <w:sz w:val="20"/>
                <w:szCs w:val="20"/>
                <w:color w:val="auto"/>
              </w:rPr>
            </w:pPr>
            <w:r>
              <w:rPr>
                <w:rFonts w:ascii="Arial" w:cs="Arial" w:eastAsia="Arial" w:hAnsi="Arial"/>
                <w:sz w:val="14"/>
                <w:szCs w:val="14"/>
                <w:color w:val="auto"/>
                <w:w w:val="87"/>
              </w:rPr>
              <w:t>period that the registrant was required to file such reports), and (2) has been subject to such filing requirements for the past 90 days.</w:t>
            </w:r>
          </w:p>
        </w:tc>
        <w:tc>
          <w:tcPr>
            <w:tcW w:w="426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65"/>
        </w:trPr>
        <w:tc>
          <w:tcPr>
            <w:tcW w:w="7160" w:type="dxa"/>
            <w:vAlign w:val="bottom"/>
          </w:tcPr>
          <w:p>
            <w:pPr>
              <w:spacing w:after="0" w:line="161" w:lineRule="exact"/>
              <w:rPr>
                <w:sz w:val="20"/>
                <w:szCs w:val="20"/>
                <w:color w:val="auto"/>
              </w:rPr>
            </w:pPr>
            <w:r>
              <w:rPr>
                <w:rFonts w:ascii="Arial" w:cs="Arial" w:eastAsia="Arial" w:hAnsi="Arial"/>
                <w:sz w:val="14"/>
                <w:szCs w:val="14"/>
                <w:color w:val="auto"/>
                <w:w w:val="90"/>
              </w:rPr>
              <w:t xml:space="preserve">Indicate by check mark whether the registrant is an accelerated filer (as defined in Rule 12b-2 of the Exchange Act).  Yes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w:t>
            </w:r>
          </w:p>
        </w:tc>
        <w:tc>
          <w:tcPr>
            <w:tcW w:w="42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7160" w:type="dxa"/>
            <w:vAlign w:val="bottom"/>
          </w:tcPr>
          <w:p>
            <w:pPr>
              <w:spacing w:after="0"/>
              <w:rPr>
                <w:sz w:val="20"/>
                <w:szCs w:val="20"/>
                <w:color w:val="auto"/>
              </w:rPr>
            </w:pPr>
            <w:r>
              <w:rPr>
                <w:rFonts w:ascii="Arial" w:cs="Arial" w:eastAsia="Arial" w:hAnsi="Arial"/>
                <w:sz w:val="14"/>
                <w:szCs w:val="14"/>
                <w:color w:val="auto"/>
              </w:rPr>
              <w:t>As of April 29, 2005, the registrant had 98,855,856 shares of Common Stock ($0.001 par value) outstanding.</w:t>
            </w:r>
          </w:p>
        </w:tc>
        <w:tc>
          <w:tcPr>
            <w:tcW w:w="4260" w:type="dxa"/>
            <w:vAlign w:val="bottom"/>
          </w:tcPr>
          <w:p>
            <w:pPr>
              <w:spacing w:after="0"/>
              <w:rPr>
                <w:sz w:val="24"/>
                <w:szCs w:val="24"/>
                <w:color w:val="auto"/>
              </w:rPr>
            </w:pPr>
          </w:p>
        </w:tc>
      </w:tr>
      <w:tr>
        <w:trPr>
          <w:trHeight w:val="163"/>
        </w:trPr>
        <w:tc>
          <w:tcPr>
            <w:tcW w:w="716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6060" w:type="dxa"/>
            <w:vAlign w:val="bottom"/>
            <w:gridSpan w:val="10"/>
            <w:vMerge w:val="restart"/>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0"/>
            <w:vMerge w:val="continue"/>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6820" w:type="dxa"/>
            <w:vAlign w:val="bottom"/>
            <w:gridSpan w:val="13"/>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Balance Sheets as of March 31, 2005 (unaudited) and December 31, 2004</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Statements of Operations for the three months ended March 31, 2005 and 2004</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Statements of Cash Flows for the three months ended March 31, 2005 and 2004</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Financial Statements</w:t>
              </w:r>
            </w:hyperlink>
          </w:p>
        </w:tc>
        <w:tc>
          <w:tcPr>
            <w:tcW w:w="3500" w:type="dxa"/>
            <w:vAlign w:val="bottom"/>
            <w:tcBorders>
              <w:top w:val="single" w:sz="8" w:color="0000EE"/>
            </w:tcBorders>
            <w:gridSpan w:val="6"/>
          </w:tcPr>
          <w:p>
            <w:pPr>
              <w:spacing w:after="0"/>
              <w:rPr>
                <w:sz w:val="17"/>
                <w:szCs w:val="17"/>
                <w:color w:val="auto"/>
              </w:rPr>
            </w:pPr>
          </w:p>
        </w:tc>
        <w:tc>
          <w:tcPr>
            <w:tcW w:w="2240" w:type="dxa"/>
            <w:vAlign w:val="bottom"/>
            <w:gridSpan w:val="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8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2. Management’s Discussion and Analysis of Financial Condition and Results of Operations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4"/>
          </w:tcPr>
          <w:p>
            <w:pPr>
              <w:spacing w:after="0"/>
              <w:rPr>
                <w:sz w:val="17"/>
                <w:szCs w:val="17"/>
                <w:color w:val="auto"/>
              </w:rPr>
            </w:pPr>
          </w:p>
        </w:tc>
        <w:tc>
          <w:tcPr>
            <w:tcW w:w="2000" w:type="dxa"/>
            <w:vAlign w:val="bottom"/>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4. Controls and Procedures</w:t>
              </w:r>
            </w:hyperlink>
          </w:p>
        </w:tc>
        <w:tc>
          <w:tcPr>
            <w:tcW w:w="6560" w:type="dxa"/>
            <w:vAlign w:val="bottom"/>
            <w:gridSpan w:val="12"/>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060" w:type="dxa"/>
            <w:vAlign w:val="bottom"/>
            <w:gridSpan w:val="2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 Legal Proceedings</w:t>
              </w:r>
            </w:hyperlink>
          </w:p>
        </w:tc>
        <w:tc>
          <w:tcPr>
            <w:tcW w:w="6360" w:type="dxa"/>
            <w:vAlign w:val="bottom"/>
            <w:gridSpan w:val="11"/>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8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30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4060" w:type="dxa"/>
            <w:vAlign w:val="bottom"/>
            <w:gridSpan w:val="6"/>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37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Submission of Matters to a Vote of Security Holders</w:t>
              </w:r>
            </w:hyperlink>
          </w:p>
        </w:tc>
        <w:tc>
          <w:tcPr>
            <w:tcW w:w="4620" w:type="dxa"/>
            <w:vAlign w:val="bottom"/>
            <w:gridSpan w:val="7"/>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8320" w:type="dxa"/>
            <w:vAlign w:val="bottom"/>
            <w:gridSpan w:val="17"/>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62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700" w:type="dxa"/>
            <w:vAlign w:val="bottom"/>
            <w:tcBorders>
              <w:top w:val="single" w:sz="8" w:color="0000EE"/>
            </w:tcBorders>
          </w:tcPr>
          <w:p>
            <w:pPr>
              <w:spacing w:after="0"/>
              <w:rPr>
                <w:sz w:val="17"/>
                <w:szCs w:val="17"/>
                <w:color w:val="auto"/>
              </w:rPr>
            </w:pPr>
          </w:p>
        </w:tc>
        <w:tc>
          <w:tcPr>
            <w:tcW w:w="7000" w:type="dxa"/>
            <w:vAlign w:val="bottom"/>
            <w:gridSpan w:val="14"/>
          </w:tcPr>
          <w:p>
            <w:pPr>
              <w:spacing w:after="0"/>
              <w:rPr>
                <w:sz w:val="17"/>
                <w:szCs w:val="17"/>
                <w:color w:val="auto"/>
              </w:rPr>
            </w:pPr>
          </w:p>
        </w:tc>
        <w:tc>
          <w:tcPr>
            <w:tcW w:w="23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SIGNATURES</w:t>
              </w:r>
            </w:hyperlink>
          </w:p>
        </w:tc>
        <w:tc>
          <w:tcPr>
            <w:tcW w:w="7920" w:type="dxa"/>
            <w:vAlign w:val="bottom"/>
            <w:gridSpan w:val="16"/>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0" w:type="dxa"/>
            <w:vAlign w:val="bottom"/>
          </w:tcPr>
          <w:p>
            <w:pPr>
              <w:spacing w:after="0"/>
              <w:rPr>
                <w:sz w:val="20"/>
                <w:szCs w:val="20"/>
                <w:color w:val="auto"/>
              </w:rPr>
            </w:pPr>
          </w:p>
        </w:tc>
        <w:tc>
          <w:tcPr>
            <w:tcW w:w="8840" w:type="dxa"/>
            <w:vAlign w:val="bottom"/>
            <w:gridSpan w:val="19"/>
          </w:tcPr>
          <w:p>
            <w:pPr>
              <w:spacing w:after="0"/>
              <w:rPr>
                <w:sz w:val="20"/>
                <w:szCs w:val="20"/>
                <w:color w:val="auto"/>
              </w:rPr>
            </w:pPr>
            <w:r>
              <w:rPr>
                <w:rFonts w:ascii="Arial" w:cs="Arial" w:eastAsia="Arial" w:hAnsi="Arial"/>
                <w:sz w:val="18"/>
                <w:szCs w:val="18"/>
                <w:b w:val="1"/>
                <w:bCs w:val="1"/>
                <w:color w:val="auto"/>
              </w:rPr>
              <w:t>EXHIBIT 10.1</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b w:val="1"/>
          <w:bCs w:val="1"/>
          <w:color w:val="auto"/>
        </w:rPr>
        <w:t>EXHIBIT 31.1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760" w:type="dxa"/>
            <w:vAlign w:val="bottom"/>
            <w:gridSpan w:val="2"/>
          </w:tcPr>
          <w:p>
            <w:pPr>
              <w:jc w:val="center"/>
              <w:ind w:left="253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760" w:type="dxa"/>
            <w:vAlign w:val="bottom"/>
            <w:gridSpan w:val="2"/>
          </w:tcPr>
          <w:p>
            <w:pPr>
              <w:jc w:val="center"/>
              <w:ind w:left="2552"/>
              <w:spacing w:after="0"/>
              <w:rPr>
                <w:sz w:val="20"/>
                <w:szCs w:val="20"/>
                <w:color w:val="auto"/>
              </w:rPr>
            </w:pPr>
            <w:r>
              <w:rPr>
                <w:rFonts w:ascii="Arial" w:cs="Arial" w:eastAsia="Arial" w:hAnsi="Arial"/>
                <w:sz w:val="18"/>
                <w:szCs w:val="18"/>
                <w:b w:val="1"/>
                <w:bCs w:val="1"/>
                <w:color w:val="auto"/>
                <w:w w:val="90"/>
              </w:rPr>
              <w:t>MediciNova, Inc.</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jc w:val="center"/>
              <w:ind w:left="2552"/>
              <w:spacing w:after="0"/>
              <w:rPr>
                <w:sz w:val="20"/>
                <w:szCs w:val="20"/>
                <w:color w:val="auto"/>
              </w:rPr>
            </w:pPr>
            <w:r>
              <w:rPr>
                <w:rFonts w:ascii="Arial" w:cs="Arial" w:eastAsia="Arial" w:hAnsi="Arial"/>
                <w:sz w:val="18"/>
                <w:szCs w:val="18"/>
                <w:b w:val="1"/>
                <w:bCs w:val="1"/>
                <w:color w:val="auto"/>
                <w:w w:val="86"/>
              </w:rPr>
              <w:t>(a development stage company)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jc w:val="center"/>
              <w:ind w:left="2552"/>
              <w:spacing w:after="0"/>
              <w:rPr>
                <w:sz w:val="20"/>
                <w:szCs w:val="20"/>
                <w:color w:val="auto"/>
              </w:rPr>
            </w:pPr>
            <w:r>
              <w:rPr>
                <w:rFonts w:ascii="Arial" w:cs="Arial" w:eastAsia="Arial" w:hAnsi="Arial"/>
                <w:sz w:val="18"/>
                <w:szCs w:val="18"/>
                <w:b w:val="1"/>
                <w:bCs w:val="1"/>
                <w:color w:val="auto"/>
                <w:w w:val="84"/>
              </w:rPr>
              <w:t>Balance Sheets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81,492,500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Marketable securities available-for-sale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75,900,000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1,853,378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159,245,878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51,288,904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479,660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159,725,538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1,913,337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1,552,622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50,649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3,281,610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Redeemable convertible preferred stock, $0.01 par value; no shares and 27,667,856 shares authorized, issued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outstanding at March 31, 2005 and December 31, 2004, respectively</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43,483,076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w w:val="95"/>
              </w:rPr>
              <w:t>Convertible preferred stock, $0.01 par value; 5,000,000 and 1,291,150 shares authorized at March 31, 2005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w w:val="91"/>
              </w:rPr>
              <w:t>December 31, 2004, respectively; no shares and 1,291,150 shares issued and outstanding at March 31, 2005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December 31, 2004, respectively</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Common stock, $0.001 par value; 200,000,000 and 83,000,000 shares authorized at March 31, 2005 and December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31, 2004, respectively; 98,855,856 and 500,000 shares issued and outstanding at March 31, 2005 and December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 2004, respectively</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98,856</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257,065,121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103,603,132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employee stock-based compensation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(1,108,588)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(99,611,461)</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(94,752,701)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156,443,928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159,725,538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760" w:type="dxa"/>
            <w:vAlign w:val="bottom"/>
            <w:gridSpan w:val="2"/>
          </w:tcPr>
          <w:p>
            <w:pPr>
              <w:jc w:val="center"/>
              <w:ind w:left="2532"/>
              <w:spacing w:after="0"/>
              <w:rPr>
                <w:sz w:val="20"/>
                <w:szCs w:val="20"/>
                <w:color w:val="auto"/>
              </w:rPr>
            </w:pPr>
            <w:r>
              <w:rPr>
                <w:rFonts w:ascii="Arial" w:cs="Arial" w:eastAsia="Arial" w:hAnsi="Arial"/>
                <w:sz w:val="18"/>
                <w:szCs w:val="18"/>
                <w:color w:val="auto"/>
                <w:w w:val="85"/>
              </w:rPr>
              <w:t>See accompanying notes.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60" w:type="dxa"/>
            <w:vAlign w:val="bottom"/>
            <w:gridSpan w:val="2"/>
          </w:tcPr>
          <w:p>
            <w:pPr>
              <w:jc w:val="center"/>
              <w:ind w:left="2592"/>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-4605655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-4605655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-4605655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-4605655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-4605655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-4605655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-557530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-557530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-557530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-557530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-557530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110"/>
        </w:trPr>
        <w:tc>
          <w:tcPr>
            <w:tcW w:w="5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640"/>
        </w:trPr>
        <w:tc>
          <w:tcPr>
            <w:tcW w:w="5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4"/>
                <w:szCs w:val="24"/>
                <w:color w:val="auto"/>
              </w:rPr>
            </w:pPr>
          </w:p>
        </w:tc>
      </w:tr>
      <w:tr>
        <w:trPr>
          <w:trHeight w:val="110"/>
        </w:trPr>
        <w:tc>
          <w:tcPr>
            <w:tcW w:w="5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69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1,860</w:t>
            </w:r>
          </w:p>
        </w:tc>
        <w:tc>
          <w:tcPr>
            <w:tcW w:w="6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128,607</w:t>
            </w:r>
          </w:p>
        </w:tc>
        <w:tc>
          <w:tcPr>
            <w:tcW w:w="60" w:type="dxa"/>
            <w:vAlign w:val="bottom"/>
          </w:tcPr>
          <w:p>
            <w:pPr>
              <w:spacing w:after="0"/>
              <w:rPr>
                <w:sz w:val="24"/>
                <w:szCs w:val="24"/>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110,507</w:t>
            </w:r>
          </w:p>
        </w:tc>
        <w:tc>
          <w:tcPr>
            <w:tcW w:w="60" w:type="dxa"/>
            <w:vAlign w:val="bottom"/>
          </w:tcPr>
          <w:p>
            <w:pPr>
              <w:spacing w:after="0"/>
              <w:rPr>
                <w:sz w:val="18"/>
                <w:szCs w:val="18"/>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4,078,147</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2,248,108</w:t>
            </w:r>
          </w:p>
        </w:tc>
        <w:tc>
          <w:tcPr>
            <w:tcW w:w="60" w:type="dxa"/>
            <w:vAlign w:val="bottom"/>
          </w:tcPr>
          <w:p>
            <w:pPr>
              <w:spacing w:after="0"/>
              <w:rPr>
                <w:sz w:val="18"/>
                <w:szCs w:val="18"/>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1,335,019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509,813</w:t>
            </w:r>
          </w:p>
        </w:tc>
        <w:tc>
          <w:tcPr>
            <w:tcW w:w="60" w:type="dxa"/>
            <w:vAlign w:val="bottom"/>
          </w:tcPr>
          <w:p>
            <w:pPr>
              <w:spacing w:after="0"/>
              <w:rPr>
                <w:sz w:val="18"/>
                <w:szCs w:val="18"/>
                <w:color w:val="auto"/>
              </w:rPr>
            </w:pPr>
          </w:p>
        </w:tc>
      </w:tr>
      <w:tr>
        <w:trPr>
          <w:trHeight w:val="216"/>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Employee stock-based compensation and founders’ warrants: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51,645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34,488</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3,948,800</w:t>
            </w:r>
          </w:p>
        </w:tc>
        <w:tc>
          <w:tcPr>
            <w:tcW w:w="60" w:type="dxa"/>
            <w:vAlign w:val="bottom"/>
          </w:tcPr>
          <w:p>
            <w:pPr>
              <w:spacing w:after="0"/>
              <w:rPr>
                <w:sz w:val="19"/>
                <w:szCs w:val="19"/>
                <w:color w:val="auto"/>
              </w:rPr>
            </w:pPr>
          </w:p>
        </w:tc>
      </w:tr>
      <w:tr>
        <w:trPr>
          <w:trHeight w:val="110"/>
        </w:trPr>
        <w:tc>
          <w:tcPr>
            <w:tcW w:w="5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9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5,500,338</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6,817,228</w:t>
            </w:r>
          </w:p>
        </w:tc>
        <w:tc>
          <w:tcPr>
            <w:tcW w:w="60" w:type="dxa"/>
            <w:vAlign w:val="bottom"/>
          </w:tcPr>
          <w:p>
            <w:pPr>
              <w:spacing w:after="0"/>
              <w:rPr>
                <w:sz w:val="24"/>
                <w:szCs w:val="24"/>
                <w:color w:val="auto"/>
              </w:rPr>
            </w:pPr>
          </w:p>
        </w:tc>
      </w:tr>
      <w:tr>
        <w:trPr>
          <w:trHeight w:val="110"/>
        </w:trPr>
        <w:tc>
          <w:tcPr>
            <w:tcW w:w="5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(5,498,478)</w:t>
            </w: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(6,688,621)</w:t>
            </w: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659,407</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10,915</w:t>
            </w:r>
          </w:p>
        </w:tc>
        <w:tc>
          <w:tcPr>
            <w:tcW w:w="60" w:type="dxa"/>
            <w:vAlign w:val="bottom"/>
          </w:tcPr>
          <w:p>
            <w:pPr>
              <w:spacing w:after="0"/>
              <w:rPr>
                <w:sz w:val="19"/>
                <w:szCs w:val="19"/>
                <w:color w:val="auto"/>
              </w:rPr>
            </w:pPr>
          </w:p>
        </w:tc>
      </w:tr>
      <w:tr>
        <w:trPr>
          <w:trHeight w:val="110"/>
        </w:trPr>
        <w:tc>
          <w:tcPr>
            <w:tcW w:w="5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6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(4,839,071)</w:t>
            </w:r>
          </w:p>
        </w:tc>
        <w:tc>
          <w:tcPr>
            <w:tcW w:w="2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(6,677,706)</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(19,689)</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Deemed dividend resulting from beneficial conversion feature on Series C redeemable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5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9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(4,858,760)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(6,677,706)</w:t>
            </w:r>
          </w:p>
        </w:tc>
      </w:tr>
      <w:tr>
        <w:trPr>
          <w:trHeight w:val="134"/>
        </w:trPr>
        <w:tc>
          <w:tcPr>
            <w:tcW w:w="5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(0.08)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(13.36)</w:t>
            </w:r>
          </w:p>
        </w:tc>
      </w:tr>
      <w:tr>
        <w:trPr>
          <w:trHeight w:val="134"/>
        </w:trPr>
        <w:tc>
          <w:tcPr>
            <w:tcW w:w="5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60,047,068</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24"/>
                <w:szCs w:val="24"/>
                <w:color w:val="auto"/>
              </w:rPr>
            </w:pPr>
          </w:p>
        </w:tc>
      </w:tr>
      <w:tr>
        <w:trPr>
          <w:trHeight w:val="134"/>
        </w:trPr>
        <w:tc>
          <w:tcPr>
            <w:tcW w:w="5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72"/>
        </w:trPr>
        <w:tc>
          <w:tcPr>
            <w:tcW w:w="540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-3723640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-3448685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-3174365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-2900045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-2479675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-1776730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-1502410</wp:posOffset>
            </wp:positionV>
            <wp:extent cx="72466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-1082040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-781685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-878205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-878205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-878205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-878205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-878205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-878205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-577850</wp:posOffset>
            </wp:positionV>
            <wp:extent cx="7327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7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-577850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-577850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-577850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-278130</wp:posOffset>
            </wp:positionV>
            <wp:extent cx="7327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7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-278130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-278130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-278130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4" w:lineRule="exact"/>
        <w:rPr>
          <w:sz w:val="20"/>
          <w:szCs w:val="20"/>
          <w:color w:val="auto"/>
        </w:rPr>
      </w:pPr>
    </w:p>
    <w:p>
      <w:pPr>
        <w:ind w:left="460" w:right="180" w:hanging="452"/>
        <w:spacing w:after="0" w:line="33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As a result of the conversion of our preferred stock into 66,782,856 shares of our common stock upon completion of our initial public offering in February 2005, there is a lack of comparability in the basic and diluted net loss per share amounts for the periods presented above. Please refer to Note 1 for the pro forma basic and diluted net loss per share calculations for the periods presented.</w:t>
      </w:r>
    </w:p>
    <w:p>
      <w:pPr>
        <w:spacing w:after="0" w:line="75"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6" w:right="54"/>
        <w:spacing w:after="0" w:line="293" w:lineRule="auto"/>
        <w:rPr>
          <w:sz w:val="20"/>
          <w:szCs w:val="20"/>
          <w:color w:val="auto"/>
        </w:rPr>
      </w:pPr>
      <w:r>
        <w:rPr>
          <w:rFonts w:ascii="Arial" w:cs="Arial" w:eastAsia="Arial" w:hAnsi="Arial"/>
          <w:sz w:val="16"/>
          <w:szCs w:val="16"/>
          <w:b w:val="1"/>
          <w:bCs w:val="1"/>
          <w:color w:val="auto"/>
        </w:rPr>
        <w:t>Period from September 26, 2000 (inception) to 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6089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64" w:lineRule="exact"/>
        <w:rPr>
          <w:sz w:val="20"/>
          <w:szCs w:val="20"/>
          <w:color w:val="auto"/>
        </w:rPr>
      </w:pPr>
    </w:p>
    <w:p>
      <w:pPr>
        <w:ind w:left="386" w:hanging="386"/>
        <w:spacing w:after="0"/>
        <w:tabs>
          <w:tab w:leader="none" w:pos="386" w:val="left"/>
        </w:tabs>
        <w:numPr>
          <w:ilvl w:val="0"/>
          <w:numId w:val="4"/>
        </w:numPr>
        <w:rPr>
          <w:rFonts w:ascii="Arial" w:cs="Arial" w:eastAsia="Arial" w:hAnsi="Arial"/>
          <w:sz w:val="16"/>
          <w:szCs w:val="16"/>
          <w:color w:val="auto"/>
        </w:rPr>
      </w:pPr>
      <w:r>
        <w:rPr>
          <w:rFonts w:ascii="Arial" w:cs="Arial" w:eastAsia="Arial" w:hAnsi="Arial"/>
          <w:sz w:val="16"/>
          <w:szCs w:val="16"/>
          <w:color w:val="auto"/>
        </w:rPr>
        <w:t>492,142</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438,621</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26,786,240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8,558,236</w:t>
      </w:r>
    </w:p>
    <w:p>
      <w:pPr>
        <w:spacing w:after="0" w:line="219" w:lineRule="exact"/>
        <w:rPr>
          <w:sz w:val="20"/>
          <w:szCs w:val="20"/>
          <w:color w:val="auto"/>
        </w:rPr>
      </w:pPr>
    </w:p>
    <w:p>
      <w:pPr>
        <w:ind w:left="386"/>
        <w:spacing w:after="0"/>
        <w:rPr>
          <w:sz w:val="20"/>
          <w:szCs w:val="20"/>
          <w:color w:val="auto"/>
        </w:rPr>
      </w:pPr>
      <w:r>
        <w:rPr>
          <w:rFonts w:ascii="Arial" w:cs="Arial" w:eastAsia="Arial" w:hAnsi="Arial"/>
          <w:sz w:val="16"/>
          <w:szCs w:val="16"/>
          <w:color w:val="auto"/>
        </w:rPr>
        <w:t>158,415</w:t>
      </w:r>
    </w:p>
    <w:p>
      <w:pPr>
        <w:spacing w:after="0" w:line="38" w:lineRule="exact"/>
        <w:rPr>
          <w:sz w:val="20"/>
          <w:szCs w:val="20"/>
          <w:color w:val="auto"/>
        </w:rPr>
      </w:pPr>
    </w:p>
    <w:p>
      <w:pPr>
        <w:ind w:left="166"/>
        <w:spacing w:after="0"/>
        <w:rPr>
          <w:sz w:val="20"/>
          <w:szCs w:val="20"/>
          <w:color w:val="auto"/>
        </w:rPr>
      </w:pPr>
      <w:r>
        <w:rPr>
          <w:rFonts w:ascii="Arial" w:cs="Arial" w:eastAsia="Arial" w:hAnsi="Arial"/>
          <w:sz w:val="16"/>
          <w:szCs w:val="16"/>
          <w:color w:val="auto"/>
        </w:rPr>
        <w:t>34,222,213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6089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35" w:lineRule="exact"/>
        <w:rPr>
          <w:sz w:val="20"/>
          <w:szCs w:val="20"/>
          <w:color w:val="auto"/>
        </w:rPr>
      </w:pPr>
    </w:p>
    <w:p>
      <w:pPr>
        <w:ind w:left="166"/>
        <w:spacing w:after="0"/>
        <w:rPr>
          <w:sz w:val="20"/>
          <w:szCs w:val="20"/>
          <w:color w:val="auto"/>
        </w:rPr>
      </w:pPr>
      <w:r>
        <w:rPr>
          <w:rFonts w:ascii="Arial" w:cs="Arial" w:eastAsia="Arial" w:hAnsi="Arial"/>
          <w:sz w:val="16"/>
          <w:szCs w:val="16"/>
          <w:color w:val="auto"/>
        </w:rPr>
        <w:t>70,163,725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089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(69,671,583)</w:t>
      </w:r>
    </w:p>
    <w:p>
      <w:pPr>
        <w:spacing w:after="0" w:line="3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1,423,244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089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(68,248,339)</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(98,445)</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(31,264,677)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08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42" w:lineRule="exact"/>
        <w:rPr>
          <w:sz w:val="20"/>
          <w:szCs w:val="20"/>
          <w:color w:val="auto"/>
        </w:rPr>
      </w:pPr>
    </w:p>
    <w:p>
      <w:pPr>
        <w:ind w:left="6"/>
        <w:spacing w:after="0"/>
        <w:rPr>
          <w:sz w:val="20"/>
          <w:szCs w:val="20"/>
          <w:color w:val="auto"/>
        </w:rPr>
      </w:pPr>
      <w:r>
        <w:rPr>
          <w:rFonts w:ascii="Arial" w:cs="Arial" w:eastAsia="Arial" w:hAnsi="Arial"/>
          <w:sz w:val="15"/>
          <w:szCs w:val="15"/>
          <w:color w:val="auto"/>
        </w:rPr>
        <w:t>$ (99,611,461)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99695</wp:posOffset>
            </wp:positionV>
            <wp:extent cx="63881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ectPr>
          <w:pgSz w:w="11900" w:h="16838" w:orient="portrait"/>
          <w:cols w:equalWidth="0" w:num="2">
            <w:col w:w="9840" w:space="554"/>
            <w:col w:w="1026"/>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5"/>
            <w:vMerge w:val="restart"/>
          </w:tcPr>
          <w:p>
            <w:pPr>
              <w:jc w:val="right"/>
              <w:ind w:right="1000"/>
              <w:spacing w:after="0"/>
              <w:rPr>
                <w:sz w:val="20"/>
                <w:szCs w:val="20"/>
                <w:color w:val="auto"/>
              </w:rPr>
            </w:pPr>
            <w:r>
              <w:rPr>
                <w:rFonts w:ascii="Arial" w:cs="Arial" w:eastAsia="Arial" w:hAnsi="Arial"/>
                <w:sz w:val="18"/>
                <w:szCs w:val="18"/>
                <w:b w:val="1"/>
                <w:bCs w:val="1"/>
                <w:color w:val="auto"/>
                <w:w w:val="95"/>
              </w:rPr>
              <w:t>Three months ended March 31,</w:t>
            </w:r>
          </w:p>
        </w:tc>
        <w:tc>
          <w:tcPr>
            <w:tcW w:w="1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5"/>
            <w:vMerge w:val="continue"/>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September 26,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1"/>
              </w:rPr>
              <w:t>2000 (inception)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 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2005</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(4,839,071)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(6,677,706)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(68,248,339)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Non-cash stock-based compensation</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86,133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3,948,800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34,380,628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(1,365,802)</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(72,646)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640"/>
              <w:spacing w:after="0"/>
              <w:rPr>
                <w:sz w:val="20"/>
                <w:szCs w:val="20"/>
                <w:color w:val="auto"/>
              </w:rPr>
            </w:pPr>
            <w:r>
              <w:rPr>
                <w:rFonts w:ascii="Arial" w:cs="Arial" w:eastAsia="Arial" w:hAnsi="Arial"/>
                <w:sz w:val="18"/>
                <w:szCs w:val="18"/>
                <w:color w:val="auto"/>
              </w:rPr>
              <w:t>Accounts payable, accrued expenses and deferred rent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1,236,002</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757,857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2,200,323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(323,347)</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(41,505)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(5,182,918)</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(2,081,165)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(33,093,071)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Purchases of marketable securities available-for-sale</w:t>
            </w:r>
          </w:p>
        </w:tc>
        <w:tc>
          <w:tcPr>
            <w:tcW w:w="8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(77,400,000)</w:t>
            </w:r>
          </w:p>
        </w:tc>
        <w:tc>
          <w:tcPr>
            <w:tcW w:w="24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Maturities of marketable securities available-for-sale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80" w:type="dxa"/>
            <w:vAlign w:val="bottom"/>
          </w:tcPr>
          <w:p>
            <w:pPr>
              <w:spacing w:after="0"/>
              <w:rPr>
                <w:sz w:val="18"/>
                <w:szCs w:val="18"/>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(194,640)</w:t>
            </w:r>
          </w:p>
        </w:tc>
        <w:tc>
          <w:tcPr>
            <w:tcW w:w="24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(52,439)</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(862,867)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(64,094,640)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(52,439)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(76,568,046)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Net proceeds from the sale of common stock</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111,968,730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110,936,646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preferred stock, net of issuance costs</w:t>
            </w: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5,779,445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80,216,971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Advances received for the sale of convertible preferred stock</w:t>
            </w:r>
          </w:p>
        </w:tc>
        <w:tc>
          <w:tcPr>
            <w:tcW w:w="80" w:type="dxa"/>
            <w:vAlign w:val="bottom"/>
          </w:tcPr>
          <w:p>
            <w:pPr>
              <w:spacing w:after="0"/>
              <w:rPr>
                <w:sz w:val="19"/>
                <w:szCs w:val="19"/>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111,968,730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5,479,445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191,153,617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42,691,172</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3,345,841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38,801,328</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4,240,699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81,492,500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7,586,540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Conversion of convertible preferred stock into common stock upon initial public</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offering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43,515,677</w:t>
            </w:r>
          </w:p>
        </w:tc>
        <w:tc>
          <w:tcPr>
            <w:tcW w:w="7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43,515,677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Increase/(decrease) in accrued IPO issuance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(247,442)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-972820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-972820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-972820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-972820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-972820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-972820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-972820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-972820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-972820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-329565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-329565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-329565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-329565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-329565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-329565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-329565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were incorporated in the state of Delaware in September 2000. We are a specialty pharmaceutical company focused on the acquisition, development and commercialization of innovative pharmaceutical products. Our in-licensed compounds and our pipeline, which includes several compounds in clinical testing, target a variety of prevalent medical conditions, including premature labor, cancer and asthma.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prepared the accompanying unaudited financial statements in accordance with accounting principles generally accepted in the United States of America for interim financial information and with the instructions to Form 10-Q and Article 10 of Regulation S-X.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have been included. Operating results for the three months ended March 31, 2005 are not necessarily indicative of the results that may be expected for the year ending December 31, 2005. For further information, see the financial statements and disclosures thereto for the year ended December 31, 2004 in our Annual Report on Form 10-K filed with the Securities and Exchange Commission.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calculated net loss per share in accordance with Statement of Financial Accounting Standards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loss per share is calculated by dividing the net loss attributable to common stockholders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Upon the completion of our initial public offering, all of our previously outstanding preferred shares converted into 66,782,856 shares of our common stock. As a result of the issuance of these common shares, there is a lack of comparability in both the basic and diluted net loss per share amounts for the periods presented. In order to provide a more relevant measure of our operating results, an unaudited pro forma net loss per share calculation has been included. The shares used to compute unaudited pro forma basic and diluted net loss per share include the assumed conversion of all outstanding shares of preferred stock into shares of common stock using the as–if converted method as of the beginning of each period presented or the date of issuance, if later.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Historical and pro forma basic and diluted net loss per share were calculated as follows: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6"/>
              </w:rPr>
              <w:t>Three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4"/>
          </w:tcPr>
          <w:p>
            <w:pPr>
              <w:jc w:val="center"/>
              <w:ind w:left="652"/>
              <w:spacing w:after="0"/>
              <w:rPr>
                <w:sz w:val="20"/>
                <w:szCs w:val="20"/>
                <w:color w:val="auto"/>
              </w:rPr>
            </w:pPr>
            <w:r>
              <w:rPr>
                <w:rFonts w:ascii="Arial" w:cs="Arial" w:eastAsia="Arial" w:hAnsi="Arial"/>
                <w:sz w:val="18"/>
                <w:szCs w:val="18"/>
                <w:b w:val="1"/>
                <w:bCs w:val="1"/>
                <w:color w:val="auto"/>
                <w:w w:val="91"/>
              </w:rPr>
              <w:t>March 31,</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(4,839,071)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(6,677,706)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(19,689)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(4,858,760)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(6,677,706)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60,047,068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 forma 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(4,839,071)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(6,677,706)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Shares used above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60,047,068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 forma adjustments to reflect assumed weighted average effect of conversion of preferred stock</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25,971,111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21,323,407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 forma shares used to compute basic and diluted net loss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86,018,179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21,823,407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 outstanding anti-dilutive securities not included in diluted net loss per share calculation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Preferred stock (as-converted)</w:t>
            </w:r>
          </w:p>
        </w:tc>
        <w:tc>
          <w:tcPr>
            <w:tcW w:w="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27,180,000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13,356,572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4,936,000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Common stock options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1,550,000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-2844165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-2844165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-2844165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-2844165</wp:posOffset>
            </wp:positionV>
            <wp:extent cx="64706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-2406650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-2406650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-2406650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-2406650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-2406650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-2406650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-2106295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-2106295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-2106295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-2106295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-2106295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-2106295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-1669415</wp:posOffset>
            </wp:positionV>
            <wp:extent cx="63881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-1669415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-1669415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-1669415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-1369060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-1369060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-1369060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-1369060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-1369060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-1369060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-648335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-648335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-648335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-648335</wp:posOffset>
            </wp:positionV>
            <wp:extent cx="64706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7065"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have elected to follow Accounting Principles Board (“APB”) Opinion No. 25, </w:t>
      </w:r>
      <w:r>
        <w:rPr>
          <w:rFonts w:ascii="Arial" w:cs="Arial" w:eastAsia="Arial" w:hAnsi="Arial"/>
          <w:sz w:val="18"/>
          <w:szCs w:val="18"/>
          <w:i w:val="1"/>
          <w:iCs w:val="1"/>
          <w:color w:val="auto"/>
        </w:rPr>
        <w:t>Accounting for Stock Issued to Employee</w:t>
      </w:r>
      <w:r>
        <w:rPr>
          <w:rFonts w:ascii="Arial" w:cs="Arial" w:eastAsia="Arial" w:hAnsi="Arial"/>
          <w:sz w:val="18"/>
          <w:szCs w:val="18"/>
          <w:color w:val="auto"/>
        </w:rPr>
        <w:t xml:space="preserve">s, and related Interpretations in accounting for our employee stock options as permitted by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Under APB 25, if the exercise price of our employee stock options is not less than the fair value of the underlying stock on the date of grant, no compensation expense is recognized. The following table illustrates the effect on net earnings and earnings per share as if we had applied the fair value recognition provisions of SFAS No. 123 to stock-based employee compensation:</w:t>
      </w:r>
    </w:p>
    <w:p>
      <w:pPr>
        <w:spacing w:after="0" w:line="123"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75565</wp:posOffset>
            </wp:positionV>
            <wp:extent cx="14236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(4,858,760)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(6,677,706)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Add: total stock-based employee compensation expense included in reported net loss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3,948,800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stock-based employee compensation expense determined under the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(96,581)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applicable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(4,869,208)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(3,770,906)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pro forma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-697865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-697865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-697865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-697865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-697865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-697865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-329565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-329565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-329565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fair value of the options granted prior to the completion of our initial public offering was estimated at the date of grant using the minimum value pricing model. Upon completion of the initial public offering in February 2005, we began using the Black-Scholes model to estimate fair value. The estimated fair value of the options is amortized on a straight-line basis over the vesting period. The pro forma net loss for the three months ended March 31, 2004 is less than the reported net loss due to variable measurement of the fair value of the founders’ warrants required by APB No. 25 as compared to grant date measurement of fair value required by SFAS No. 123. The following weighted-average assumptions were utilized for the calculations during the three months ended March 31, 2004: risk-free interest rate of 3.90%; dividend yield of zero; expected volatility of zero; and a life of the stock options of five years. No options were granted during the three months ended March 31, 2005.</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December 2004, the Financial Accounting Standards Board, or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No. 123R. SFAS No. 123R requires that employee stock-based compensation is measured based on its fair value on the grant date and is treated as an expense that is reflected in the financial statements over the related service period. SFAS No. 123R applies to all employee equity awards granted after adoption and to the unvested portion of equity awards outstanding as of adoption. In April 2005, the Securities and Exchange Commission adopted an amendment to Rule 4-01(a) of Regulation S-X that delays the implementation of SFAS No. 123R until the first interim or annual period of the registrant’s first fiscal year beginning on or after June 15, 2005. As a result, we currently anticipate adopting SFAS No. 123R using the modified-prospective method effective January 1, 2006. While we are currently evaluating the impact on our financial statements of the adoption of SFAS No. 123R, we anticipate that our adoption of SFAS No. 123R will have a significant impact on our results of operations for 2006 and future periods although our overall financial position will not be effected.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board of directors approved an arrangement in September 2001, and again in November 2004, to engage Dr. Yuichi Iwaki, Chairman of the Board, as a consultant in connection with financing transactions and business development activities, pursuant to which we pay Dr. Iwaki $20,000 per month plus other cash or stock compensation, if any, as the board of directors deems appropriate for his services rendered. Compensation earned by Dr. Iwaki during each of the three months ended March 31, 2005 and 2004 was $60,000.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Facility Lease</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March 2005, we amended our non-cancellable operating lease for our corporate headquarters to expand our leased space from 11,375 square feet to 16,609 square feet.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are as follows at March 31, 2005:</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18"/>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2005</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2006</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2008</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1,801,628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and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February 4, 2005, we completed an initial public offering of 30,000,000 shares of common stock for proceeds to us of $104,486,895, net of underwriting discounts and commissions and offering expenses. In addition,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March 8, 2005, we closed the sale of an additional 1,573,000 shares of our common stock pursuant to the partial exercise, by our underwriters, of an over-allotment option which resulted in aggregate proceeds to us of $5,557,773.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initial public offering, each share of preferred stock outstanding as of February 4, 2005 was automatically converted into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Upon the completion of our initial public offering on February 4, 2005, our 2004 Stock Incentive Plan became effective with 20,300,000 shares of common stock authorized for issuance. No future grants will be made from our 2000 General Stock Incentive Plan.</w:t>
      </w:r>
    </w:p>
    <w:p>
      <w:pPr>
        <w:spacing w:after="0" w:line="112" w:lineRule="exact"/>
        <w:rPr>
          <w:sz w:val="20"/>
          <w:szCs w:val="20"/>
          <w:color w:val="auto"/>
        </w:rPr>
      </w:pPr>
    </w:p>
    <w:p>
      <w:pPr>
        <w:ind w:right="1560" w:firstLine="73"/>
        <w:spacing w:after="0" w:line="42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May Prove Inaccurate</w:t>
      </w:r>
    </w:p>
    <w:p>
      <w:pPr>
        <w:ind w:right="20"/>
        <w:spacing w:after="0" w:line="306"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notes thereto included in this report on Form 10-Q and the audited financial statements and notes thereto as of and for the year ended December 31, 2004 included our Annual Report on Form 10-K filed with the Securities and Exchange Commission on March 22, 2005. Operating results are not necessarily indicative of results that may occur in future periods.</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report includes various forward-looking statements that are subject to risks and uncertainties, many of which are beyond our control. Our actual results could differ materially from those anticipated in these forward looking statements as a result of various factors, including those set forth below under the caption “Risk Factors.” Forward-looking statements discuss matters that are not historical facts. Forward-looking statements include, but are not limited to, discussions regarding our operating strategy, growth strategy, acquisition strategy, cost savings initiatives, industry, economic conditions, financial condition, liquidity and capital resources and results of operations. In this report, for example, we make forward-looking statements regarding our expectations about the rate of revenue growth and the reasons for that growth and our profitability.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unduly rely on these forward-looking statements, which speak only as of the date on which they were made. They give our expectations regarding the future but are not guarantees. We undertake no obligation to update publicly or revise any forward-looking statements, whether as a result of new information, future events or otherwise, unless required by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6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We actively seek to identify and acquire license rights to product candidates with extensive safety and efficacy data that are in late pre-clinical or early clinical development and that address large markets with significant opportunities for improved therapies.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programs follow a dual pathway:</w:t>
      </w:r>
    </w:p>
    <w:p>
      <w:pPr>
        <w:spacing w:after="0" w:line="15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core programs;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partnering programs.</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strategic core programs consist of product candidates we intend to retain the rights to through final regulatory approval in the United States and commercialize directly. Our partnering programs consist of product candidates we intend to license to larger pharmaceutical companies and with respect to which we intend to retain co-promotion rights. To date, we have acquired license rights to six compounds. We currently have Phase I clinical trials ongoing for MN-029 (Solid tumor) and MN-221(Premature labor) in our strategic core program and intend to enter into a Phase I clinical trial for MN-246 (Urinary incontinence; Pollakisuria) during the fourth quarter of 2005. We currently have Phase II clinical trials ongoing for MN-305 (Generalized Anxiety Disorder) and MN-001 (Bronchial asthma) in our partnering program and MN-001 (Interstitial cystitis) in our core program. We anticipate entering into Phase II clinical trials for MN-221 in our strategic core program during the fourth quarter of 2005 and MN-166 (Multiple sclerosis) in our partnering program by the end of the third quarter of 2005.</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offering expenses.</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March 8, 2005, we completed the sale of 1,573,000 shares of our common stock for aggregate proceeds of $5.6 million. The sale of these shares was the result of the underwriters’ partial exercise of the over-allotment option we granted to them in connection with our initial public offering.</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a development stage company. We have incurred significant net losses since our inception. As of March 31, 2005, our accumulated deficit was approximately $99.6 million, including $34.4 million of non-cash stock-based compensation charges related to employee stock-based compensation and founders’ warrants. We expect to incur substantial net losses for the next several years as we continue to develop our existing programs, expand our research and development programs and acquire or in-license products, technologies or businesses that are complementary to our 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not generated any revenues from licensing, milestones or product sales to date, and we do not expect to generate these revenues within the next 12 to 18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 We expect to generate revenue from the Argenes development management contract for a least the next 12 to 18 months based on currently scheduled clinical trials.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licensing and pre-clinical and clinical development of our six licensed compounds, one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3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80" w:type="dxa"/>
            <w:vAlign w:val="bottom"/>
            <w:gridSpan w:val="5"/>
          </w:tcPr>
          <w:p>
            <w:pPr>
              <w:spacing w:after="0"/>
              <w:rPr>
                <w:sz w:val="20"/>
                <w:szCs w:val="20"/>
                <w:color w:val="auto"/>
              </w:rPr>
            </w:pPr>
            <w:r>
              <w:rPr>
                <w:rFonts w:ascii="Arial" w:cs="Arial" w:eastAsia="Arial" w:hAnsi="Arial"/>
                <w:sz w:val="18"/>
                <w:szCs w:val="18"/>
                <w:color w:val="auto"/>
                <w:w w:val="97"/>
              </w:rPr>
              <w:t>The following summarizes our research and development expenses for the periods indicated (in thousands):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60" w:type="dxa"/>
            <w:vAlign w:val="bottom"/>
            <w:gridSpan w:val="2"/>
            <w:vMerge w:val="restart"/>
          </w:tcPr>
          <w:p>
            <w:pPr>
              <w:jc w:val="center"/>
              <w:ind w:right="780"/>
              <w:spacing w:after="0"/>
              <w:rPr>
                <w:sz w:val="20"/>
                <w:szCs w:val="20"/>
                <w:color w:val="auto"/>
              </w:rPr>
            </w:pPr>
            <w:r>
              <w:rPr>
                <w:rFonts w:ascii="Arial" w:cs="Arial" w:eastAsia="Arial" w:hAnsi="Arial"/>
                <w:sz w:val="18"/>
                <w:szCs w:val="18"/>
                <w:b w:val="1"/>
                <w:bCs w:val="1"/>
                <w:color w:val="auto"/>
                <w:w w:val="88"/>
              </w:rPr>
              <w:t>Product</w:t>
            </w:r>
          </w:p>
        </w:tc>
        <w:tc>
          <w:tcPr>
            <w:tcW w:w="18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Candidate</w:t>
            </w: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Disease/Indication</w:t>
            </w: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2005</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50" w:type="dxa"/>
            <w:vAlign w:val="bottom"/>
          </w:tcPr>
          <w:p>
            <w:pPr>
              <w:jc w:val="right"/>
              <w:ind w:right="312"/>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86"/>
              </w:rPr>
              <w:t>Strategic Core Programs</w:t>
            </w:r>
          </w:p>
        </w:tc>
        <w:tc>
          <w:tcPr>
            <w:tcW w:w="18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MN-221</w:t>
            </w:r>
          </w:p>
        </w:tc>
        <w:tc>
          <w:tcPr>
            <w:tcW w:w="6500" w:type="dxa"/>
            <w:vAlign w:val="bottom"/>
            <w:gridSpan w:val="2"/>
          </w:tcPr>
          <w:p>
            <w:pPr>
              <w:spacing w:after="0"/>
              <w:rPr>
                <w:sz w:val="20"/>
                <w:szCs w:val="20"/>
                <w:color w:val="auto"/>
              </w:rPr>
            </w:pPr>
            <w:r>
              <w:rPr>
                <w:rFonts w:ascii="Arial" w:cs="Arial" w:eastAsia="Arial" w:hAnsi="Arial"/>
                <w:sz w:val="18"/>
                <w:szCs w:val="18"/>
                <w:color w:val="auto"/>
              </w:rPr>
              <w:t>Premature labor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95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5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MN-001</w:t>
            </w:r>
          </w:p>
        </w:tc>
        <w:tc>
          <w:tcPr>
            <w:tcW w:w="650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MN-246</w:t>
            </w: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Urinary incontinence; Pollakisuria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Partnering Programs</w:t>
            </w:r>
          </w:p>
        </w:tc>
        <w:tc>
          <w:tcPr>
            <w:tcW w:w="18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MN-001</w:t>
            </w:r>
          </w:p>
        </w:tc>
        <w:tc>
          <w:tcPr>
            <w:tcW w:w="6500" w:type="dxa"/>
            <w:vAlign w:val="bottom"/>
            <w:gridSpan w:val="2"/>
          </w:tcPr>
          <w:p>
            <w:pPr>
              <w:spacing w:after="0"/>
              <w:rPr>
                <w:sz w:val="20"/>
                <w:szCs w:val="20"/>
                <w:color w:val="auto"/>
              </w:rPr>
            </w:pPr>
            <w:r>
              <w:rPr>
                <w:rFonts w:ascii="Arial" w:cs="Arial" w:eastAsia="Arial" w:hAnsi="Arial"/>
                <w:sz w:val="18"/>
                <w:szCs w:val="18"/>
                <w:color w:val="auto"/>
              </w:rPr>
              <w:t>Bronchial asthma</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826</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MN-305</w:t>
            </w: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Generalized Anxiety Disorder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MN-166</w:t>
            </w:r>
          </w:p>
        </w:tc>
        <w:tc>
          <w:tcPr>
            <w:tcW w:w="650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8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40" w:type="dxa"/>
            <w:vAlign w:val="bottom"/>
            <w:gridSpan w:val="2"/>
          </w:tcPr>
          <w:p>
            <w:pPr>
              <w:spacing w:after="0"/>
              <w:rPr>
                <w:sz w:val="9"/>
                <w:szCs w:val="9"/>
                <w:color w:val="auto"/>
              </w:rPr>
            </w:pPr>
          </w:p>
        </w:tc>
        <w:tc>
          <w:tcPr>
            <w:tcW w:w="4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95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9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this time, due to the risks inherent in the clinical trial process and given the early stage of development of our product development programs, we are unable to estimate with any certainty the costs we will incur in the continued development of our product candidates for potential commercialization. Due to these same factors, we are unable to determine the anticipated completion dates for our current product development programs. Clinical development timelines, probability of success and development costs vary widely. While currently we are focused on advancing each of our product development programs, we anticipate that we will make determinations as to which programs to pursue and how much funding to direct to each program on an ongoing basis in response to the scientific and clinical success of each product candidate, as well as an ongoing assessment as to the product candidate’s commercial potential. In addition, we cannot forecast with any degree of certainty which product candidates will be subject to future partnering, when such arrangements will be secured, if at all, and to what degree such arrangements would affect our development plans and capital requirements. As a result, we cannot be certain when and to what extent we will receive cash inflows from the commercialization of our drug candidates.</w:t>
      </w:r>
    </w:p>
    <w:p>
      <w:pPr>
        <w:spacing w:after="0" w:line="1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expect our development expenses to be substantial and to increase as we continue the advancement of our product development programs. The lengthy process of completing clinical trials and seeking regulatory approval for our product candidates requires the expenditure of substantial resources. Any failure by us or delay in completing clinical trials, or in obtaining regulatory approvals, could cause our research and development expenses to increase and, in turn, have a material adverse effect on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critical accounting policies or estimates from those at December 31,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requires stock-based compensation for an award of equity instruments, including stock options and employee stock purchase rights, issued to employees to be recognized as a cost in the financial statements. The cost of these awards are measured according to the grant date fair value of the stock options and is recognized over the period during which an employee is required to provide service in exchange for the award, which is usually the vesting period. In the absence of an observable market price for the stock awards, the grant-date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 price, the expected dividends on the underlying shares and the risk-free interest rate. The requirements of SFAS No. 123R are effective for us beginning January 1, 2006. The adoption of this standard is expected to increase operating expenses and we are currently evaluating the extent of this impact on our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2005 and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revenue decreased to $2,000 for the three months ended March 31, 2005 from $129,000 for the three months ended March 31, 2004. The decrease primarily was due to the completion of the Asahi Kasei master services agreement in December 2004 and lower pass-through activity under the Argenes master services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Research and development expenses increased to $4.1 million for the three months ended March 31, 2005 from $2.2 million for the three months ended March 31, 2004. This increase primarily was due to:</w:t>
      </w:r>
    </w:p>
    <w:p>
      <w:pPr>
        <w:spacing w:after="0" w:line="11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$0.9 million in our strategic core programs as a result of $0.7 million of clinical trial and related costs and $0.2 million of other costs;</w:t>
      </w:r>
    </w:p>
    <w:p>
      <w:pPr>
        <w:spacing w:after="0" w:line="126" w:lineRule="exact"/>
        <w:rPr>
          <w:rFonts w:ascii="Arial" w:cs="Arial" w:eastAsia="Arial" w:hAnsi="Arial"/>
          <w:sz w:val="16"/>
          <w:szCs w:val="16"/>
          <w:color w:val="auto"/>
        </w:rPr>
      </w:pPr>
    </w:p>
    <w:p>
      <w:pPr>
        <w:ind w:left="900" w:right="5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$0.7 million in our partnering programs as a result of a $1.1 million increase in clinical trial and related costs and a $0.4 million decrease in other costs, primarily consisting of translation fees; and</w:t>
      </w:r>
    </w:p>
    <w:p>
      <w:pPr>
        <w:spacing w:after="0" w:line="37"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$0.3 million in unallocated expenses as a result of increased salaries and related personnel costs due to increased research and development staff.</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acquire new product candidates and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General and administrative expenses increased to $1.3 million for the three months ended March 31, 2005 from $0.5 million for the three months ended March 31, 2004. This increase primarily was due to $0.3 million of salaries and related costs as we expanded our general and administrative functions to support our operations, $0.3 million of legal fees, other professional fees and consulting fees and expenses paid to the chairman of our board of directors and $0.2 million of other expenses. We anticipate increases in general and administrative expenses in future periods as we expand our administrative organization and incur additional costs for insurance and professional fees associated with operating as a public company and to support the future growth of our research and development organization.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Stock-based compensation expenses decreased to $0.1 million for the three months ended March 31, 2005 from $4.0 million for the three months ended March 31, 2004. The decrease primarily was due to the issuance of warrants at exercise prices below the estimated fair value of our common stock and the amortization of deferred stock-based compensation in 2004. During the three months ended March 31, 2004, pursuant to the anti-dilution provisions of the warrants originally issued in September 2000 to our founders and as a result of the sale of our Series B preferred stock, we adjusted the warrants to provide that our two founders may purchase an aggregate of 4,936,000 shares of our common stock. As a result, we recorded $4.0 million of stock-based compensation expense to reflect the difference between the deemed fair value of the underlying common stock and the warrant exercise price at March 31, 2004 for all warrants issued to date. We had no issuances of options or warrants during the comparable period in 2005 that required us to record stock-based compensation expenses. Based on deferred employee stock-based compensation amounts recorded through March 31, 2005, the total amortization expense for the years ending December 31, 2005, 2006, 2007 and 2008 will be $345,000, $345,000, $345,000 and $160,000,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income, net is primarily interest income earned on our cash and investment balances and totaled $659,000 and $11,000 for the three months ended March 31, 2005 and 2004, respectively. The increase in income amounts from 2004 to 2005 primarily was due to the increase in our average cash and investment balances as a result of the proceeds from our initial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Since our inception, our operations have been financed through the private placement of our equity securities and through the public sale of our common stock in our initial public offering. Through March 31, 2005, we received estimated net proceeds of $190.4 million from the sale of equity securities as follows:</w:t>
      </w:r>
    </w:p>
    <w:p>
      <w:pPr>
        <w:spacing w:after="0" w:line="7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2000, we issued and sold 500,000 shares of common stock to founders for aggregate proceeds of $0.1 million;</w:t>
      </w:r>
    </w:p>
    <w:p>
      <w:pPr>
        <w:spacing w:after="0" w:line="103"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2000 and August 2001, we issued and sold a total of 1,000,000 shares of Series A preferred stock for aggregate net proceeds of $10 million;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September 2, 2004, we issued and sold 27,667,856 shares of Series C preferred stock for aggregate net proceeds of $43.4 million;</w:t>
      </w:r>
    </w:p>
    <w:p>
      <w:pPr>
        <w:spacing w:after="0" w:line="126"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estimated offering expenses; and</w:t>
      </w:r>
    </w:p>
    <w:p>
      <w:pPr>
        <w:spacing w:after="0" w:line="37" w:lineRule="exact"/>
        <w:rPr>
          <w:rFonts w:ascii="Arial" w:cs="Arial" w:eastAsia="Arial" w:hAnsi="Arial"/>
          <w:sz w:val="18"/>
          <w:szCs w:val="18"/>
          <w:color w:val="auto"/>
        </w:rPr>
      </w:pPr>
    </w:p>
    <w:p>
      <w:pPr>
        <w:ind w:left="900" w:right="100" w:hanging="446"/>
        <w:spacing w:after="0" w:line="370"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March 8, 2005, we completed the sale of 1,573,000 shares of our common stock for aggregate proceeds of $5.6 million. The sale of these shares was the result of the underwriters’ partial exercise of the over-allotment option we granted to them in connection with our initial public offering.</w:t>
      </w:r>
    </w:p>
    <w:p>
      <w:pPr>
        <w:spacing w:after="0" w:line="4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March 31, 2005, we had $81.5 million in cash and cash equivalents as compared to $38.8 million as of December 31, 2004, an increase of $42.7 million. The increase primarily resulted from completion of the sale of our initial public offering of common stock and over-allotment option exercised by our underwriters. Net cash used in operating activities amounted to $5.2 million for the three months ended March 31, 2005, primarily reflecting the net loss occurring for this period of $4.8 million. Net cash used in investing activities for the three months ended March 31, 2005 consisted of $64.0 million for the net purchase of investments and $0.2 million of capital equipment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purchases. Net cash provided by financing activities amounted to $112.0 million for the three months ended March 31, 2005, primarily reflecting the sale of common stock upon the completion of our initial public offering.</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believe that our existing cash, cash equivalents and investments as of March 31, 2005 will be sufficient to meet our projected operating requirements through at least December 31, 2006.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long-term contractual obligations as of March 31, 2005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2005 to</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2007 to</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63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6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3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$1,091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$ 711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2131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operate in a dynamic and rapidly changing environment that involves numerous risks and uncertainties. The following section describes some, but not all, of the risks and uncertainties that may have a material adverse affect on our business, financial condition, results of operations and the market price of our common stock and could cause our actual results to differ materially from those expressed or implied in our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are a development stage specialty pharmaceutical company with a limited operating history. We have incurred significant net losses since our inception. For the year ended December 31, 2004, we had a net loss of $48.3 million, including $34.3 million of non-cash stock-based compensation charges. For the three months ended March 31, 2005, we had a net loss of $4.8 million, including $0.1 million of non-cash stock-based compensation charges. We expect our annual net losses to increase over the next several years as we expand and incur significant clinical development costs. These losses have reduced our stockholders’ equity and, excluding the portion related to stock-based compensation, will continue to reduce our stockholders’ equity and working capital.</w:t>
      </w:r>
    </w:p>
    <w:p>
      <w:pPr>
        <w:spacing w:after="0" w:line="10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as well as the increased costs to operate as a public company. Consequently, we expect to continue to incur significant and increasing operating losses for the foreseeable future.</w:t>
      </w:r>
    </w:p>
    <w:p>
      <w:pPr>
        <w:spacing w:after="0" w:line="9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contract with Asahi Kasei Pharma was completed in 2004 and we do not expect to generate further revenue from that agreement. We anticipate that we will continue to receive modest revenues for rendering consulting services and that, prior to our commercialization of a product candidate, our consulting revenues together with strategic collaboration fees and out-licensing upfront and milestone payments will be our primary source of revenues. To obtain revenues from sales of our product candidates, we must succeed, either alone or with third parties, in developing, obtaining regulatory approval for, and manufacturing and marketing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drugs with market potential. We may never succeed in these activities, and may not generate sufficient revenues to continue our business operations or achieve profitability.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would significantly impair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We license the rights to develop and market our product candidates. Currently, we have licensed six compounds for the development of seven product candidates.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They are:</w:t>
      </w:r>
    </w:p>
    <w:p>
      <w:pPr>
        <w:spacing w:after="0" w:line="1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premature labor licensed from Kissei Pharmaceutical;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MN-001 for interstitial cystisis and asthma licensed from Kyorin Pharmaceutical;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MN-305 for anxiety licensed from Mitsubishi Pharma Corporation;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materially breach our obligations under the agreements and fail to cure a breach within a specified period of time.</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any of our license agreements is terminated, then we would have no further rights to develop and commercialize the product candidate which is the subject of the license. The termination of any of our license agreements would significantly and adversely affect our business.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of our product candidates are in clinical development, the process that is required to receive regulatory approval for commercial sale.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clinical trials, we face risks that:</w:t>
      </w:r>
    </w:p>
    <w:p>
      <w:pPr>
        <w:spacing w:after="0" w:line="158"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date, the FDA has accepted Investigational New Drug, or IND, applications for five of our seven product candidates. We have filed Clinical Trial Authorization, or CTA, applications, the equivalent of a U.S. IND, in nine European countries to conduct a Phase II study for MN-166 in patients with multiple sclerosis. These applications are under active review. We cannot conduct human clinical trials in the United States or in Eastern Europe on our other two product candidates until an IND or CTA application is in effect and there can be no assurance that the Regulatory Authorities, including the FDA, will allow our applications to go into effect.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158"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103"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158" w:lineRule="exact"/>
        <w:rPr>
          <w:sz w:val="20"/>
          <w:szCs w:val="20"/>
          <w:color w:val="auto"/>
        </w:rPr>
      </w:pPr>
    </w:p>
    <w:p>
      <w:pPr>
        <w:ind w:left="900" w:right="1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clinical trials in accordance with regulatory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w:t>
      </w:r>
    </w:p>
    <w:p>
      <w:pPr>
        <w:spacing w:after="0" w:line="158"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Since we have limited internal discovery capabilities, our business is substantially dependent on our ability to license or acquire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us. We may not have the requisite capital resources to consummate product candidate acquisitions or licenses that we identify to fulfill our strategy.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5620" w:right="2460" w:hanging="5166"/>
        <w:spacing w:after="0" w:line="472"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 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that may result from us having to perform unanticipated pre-clinical trials or other tests on the 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we are not successful in identifying and licensing or acquiring other product candidates, we will not be able to grow our revenues with sales from new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consumed substantial amounts of capital since our inception. From our inception to March 31, 2005, we used $33.8 million in cash to fund our operating activities and acquisitions of property and equipment. Although we believe our existing cash and investments will be sufficient to fund our anticipated cash requirements through 2006, we will require significant additional financing in the future to fund our operations. Our future capital requirements will depend on, and could increase significantly as a result of, many factors, including:</w:t>
      </w:r>
    </w:p>
    <w:p>
      <w:pPr>
        <w:spacing w:after="0" w:line="13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38" w:lineRule="exact"/>
        <w:rPr>
          <w:sz w:val="20"/>
          <w:szCs w:val="20"/>
          <w:color w:val="auto"/>
        </w:rPr>
      </w:pPr>
    </w:p>
    <w:p>
      <w:pPr>
        <w:ind w:right="60"/>
        <w:spacing w:after="0" w:line="186" w:lineRule="auto"/>
        <w:rPr>
          <w:sz w:val="20"/>
          <w:szCs w:val="20"/>
          <w:color w:val="auto"/>
        </w:rPr>
      </w:pPr>
      <w:r>
        <w:rPr>
          <w:rFonts w:ascii="Arial" w:cs="Arial" w:eastAsia="Arial" w:hAnsi="Arial"/>
          <w:sz w:val="8"/>
          <w:szCs w:val="8"/>
          <w:color w:val="FFFFFF"/>
        </w:rPr>
        <w:t xml:space="preserve">Until we can generate significant continuing revenues, we expect to satisfy our future cash needs through strategic collaborations, private or public sales of our securities, debt financings or by </w:t>
      </w:r>
      <w:r>
        <w:rPr>
          <w:rFonts w:ascii="Arial" w:cs="Arial" w:eastAsia="Arial" w:hAnsi="Arial"/>
          <w:sz w:val="12"/>
          <w:szCs w:val="12"/>
          <w:color w:val="FFFFFF"/>
          <w:vertAlign w:val="subscript"/>
        </w:rPr>
        <w:t>licensing</w:t>
      </w:r>
      <w:r>
        <w:rPr>
          <w:rFonts w:ascii="Arial" w:cs="Arial" w:eastAsia="Arial" w:hAnsi="Arial"/>
          <w:sz w:val="8"/>
          <w:szCs w:val="8"/>
          <w:color w:val="FFFFFF"/>
        </w:rPr>
        <w:t xml:space="preserve"> all or a </w:t>
      </w:r>
      <w:r>
        <w:rPr>
          <w:rFonts w:ascii="Arial" w:cs="Arial" w:eastAsia="Arial" w:hAnsi="Arial"/>
          <w:sz w:val="12"/>
          <w:szCs w:val="12"/>
          <w:color w:val="FFFFFF"/>
          <w:vertAlign w:val="subscript"/>
        </w:rPr>
        <w:t>pursue</w:t>
      </w:r>
      <w:r>
        <w:rPr>
          <w:rFonts w:ascii="Arial" w:cs="Arial" w:eastAsia="Arial" w:hAnsi="Arial"/>
          <w:sz w:val="8"/>
          <w:szCs w:val="8"/>
          <w:color w:val="FFFFFF"/>
        </w:rPr>
        <w:t>otion of our product candidates. We cannot be certain that additional sources of capital will be available to us on acceptable terms, or at all. If sources of capital are not available, we may not be a position to</w:t>
      </w:r>
    </w:p>
    <w:p>
      <w:pPr>
        <w:ind w:left="400"/>
        <w:spacing w:after="0"/>
        <w:rPr>
          <w:sz w:val="20"/>
          <w:szCs w:val="20"/>
          <w:color w:val="auto"/>
        </w:rPr>
      </w:pPr>
      <w:r>
        <w:rPr>
          <w:rFonts w:ascii="Arial" w:cs="Arial" w:eastAsia="Arial" w:hAnsi="Arial"/>
          <w:sz w:val="14"/>
          <w:szCs w:val="14"/>
          <w:color w:val="FFFFFF"/>
        </w:rPr>
        <w:t>other business opportunities that require financial commitments and we may be required to:</w:t>
      </w:r>
    </w:p>
    <w:p>
      <w:pPr>
        <w:spacing w:after="0" w:line="10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adversely affect our business and may significantly dilute stockholders’ ownership interests.</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that may adversely affect our ability to grow our business. If we raise additional funds by issuing equity securities, stockholders may experience substantial dilution. Debt financing, if available, may involve restrictive covenants. Any debt financing or additional equity that we raise may contain terms that are not favorable to us or our stockholders.</w:t>
      </w:r>
    </w:p>
    <w:p>
      <w:pPr>
        <w:spacing w:after="0" w:line="13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 key aspect of our strategy is to enter into collaborations with third-party partners whereby we license selected product candidates to larger pharmaceutical companies that are willing to conduct later-stage clinical trials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further develop and commercialize those products. To date, we have not entered into any collaborative arrangements with any third-party partners and currently do not expect to do so until we have successfully completed further studies for one of our partnering program product candidates.</w:t>
      </w:r>
    </w:p>
    <w:p>
      <w:pPr>
        <w:spacing w:after="0" w:line="7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By entering into these strategic collaborations, we may rely on our partners for financial resources and for development, commercialization and regulatory expertise. Our partners may fail to develop or effectively commercialize products using our product candidates because they:</w:t>
      </w:r>
    </w:p>
    <w:p>
      <w:pPr>
        <w:spacing w:after="0" w:line="7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 not have sufficient resources or decide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enter into collaborations on acceptable terms, if at all. We also face competition in our search for partners with whom we may collaborate.</w:t>
      </w:r>
    </w:p>
    <w:p>
      <w:pPr>
        <w:spacing w:after="0" w:line="18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research organizations, including, without limitation, MDS Pharma Services of Belfast, Northern Ireland; Pharmaceutical Research Associates, Inc. of Lenexa, Kansas; Fulcrum Pharma Developments, Inc. of Durham, North Carolina; and Quintiles, Inc. of Morrisville, North Carolina.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15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third parties need to be replaced; or</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18"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in the event that we seek such alternative sources, we may not be able to enter into replacement arrangements without delays or additional expenditures.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 candidates may not gain acceptance among physicians, patients and the medical community, thereby limiting our potential to generate revenues.</w:t>
      </w:r>
    </w:p>
    <w:p>
      <w:pPr>
        <w:spacing w:after="0" w:line="19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7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strategy;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sufficient third-party insurance coverage or reimbursement.</w:t>
      </w:r>
    </w:p>
    <w:p>
      <w:pPr>
        <w:spacing w:after="0" w:line="1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w:t>
      </w:r>
    </w:p>
    <w:p>
      <w:pPr>
        <w:spacing w:after="0" w:line="118"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b w:val="1"/>
          <w:bCs w:val="1"/>
          <w:i w:val="1"/>
          <w:iCs w:val="1"/>
          <w:color w:val="auto"/>
        </w:rPr>
        <w:t>We are dependent on our management team, particularly Takashi Kiyoizumi, M.D., Ph.D., a founder and our chief executive officer, and Yuichi Iwaki, M.D., Ph.D., a founder and chairman of our board of directors, and if we are unable to attract, retain and motivate these and other key management and scientific staff our drug development programs may be delayed and we may be unable to successfully develop or commercialize our product candidates.</w:t>
      </w:r>
    </w:p>
    <w:p>
      <w:pPr>
        <w:spacing w:after="0" w:line="7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are dependent upon the continued services of our executive officers and other key personnel, particularly Takashi Kiyoizumi, M.D., Ph.D., one of our founders and our chief executive officer, and Yuichi Iwaki, M.D., Ph.D, one of our founders and the chairman of our board of directors, who have been instrumental in our ability to in-license product candidates from Japanese pharmaceutical companies and secure financing from Japanese institutions. The relationships that all of our key managers have cultivated with pharmaceutical companies from whom we license product candidates and to whom we expect to out-license product candidates as part of our partnering program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Our short operating history and the uncertainties attendant to being a development-stage specialty pharmaceutical company with limited capital resources could impair our ability to attract and retain personnel and impede the achievement of our development and commercialization objectives.</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 as a result.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core product candidates.</w:t>
      </w:r>
    </w:p>
    <w:p>
      <w:pPr>
        <w:spacing w:after="0" w:line="18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strategic core programs, we will need to establish sales, marketing and distribution capabilities.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Although we intend to establish strategic collaborations to market the products in our strategic core programs outside the United States, if we are unable to establish such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collaborations, we may be required to market our strategic core product candidates outside of the United States directly. In that event, we may need to build a corresponding international sales and marketing capability with technical expertise and with supporting distribution capabilities.</w:t>
      </w:r>
    </w:p>
    <w:p>
      <w:pPr>
        <w:spacing w:after="0" w:line="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 Similarly, we are likely to hire additional management and administrative personnel to manage our business and affairs as we continue to grow. In addition, we will have to develop sales, marketing and distribution capabilities for the product candidates in our strategic core programs. The scope and timing of these hires is highly uncertain and remains subject to the success of our current product candidate development programs.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following our initial public offering will place additional demands on our limited resources. We may not successfully manage the expansion of our operations and, accordingly, may not achieve our development and commercialization goals.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900" w:right="1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or received by us under our licensing agreements;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believe that quarterly comparisons of our financial results are not necessarily meaningful and should not be relied upon as an indication of our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Relying on third-party manufacturers may result in delays in our clinical trials and product introductions as well as increased costs.</w:t>
      </w:r>
    </w:p>
    <w:p>
      <w:pPr>
        <w:spacing w:after="0" w:line="18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our product candidates for clinical trials. While we believe that there are competitive sources available to manufacture our product candidates, we may not be able to</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enter into arrangements without delays or additional expenditures. We cannot estimate these delays or costs with certainty. To date, these manufacturers have met the requirements of our programs.</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manufacturers will be obliged to operate in accordance with FDA-mandated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successfully increase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successfully increase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result in a material adverse effect on our business, financial condition and results of operations.</w:t>
      </w:r>
    </w:p>
    <w:p>
      <w:pPr>
        <w:spacing w:after="0" w:line="10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materially affect our ability to generate revenues from the sale of our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pre-IPO stockholders sell substantial amounts of our common stock, the market price of our common stock may decline.</w:t>
      </w:r>
    </w:p>
    <w:p>
      <w:pPr>
        <w:spacing w:after="0" w:line="15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 significant number of shares of our common stock are held by a small number of stockholders. Sales of a significant number of shares of our common stock, for example, after the expiration of the lock-up agreements entered into by all of the stockholders owning our stock prior to our initial public offering, or the expectation that such sales may occur, could significantly reduce the market price of our common stock. The holders of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common stock outstanding prior to our initial public offering, representing 67,282,856 shares of common stock, and the holders of our options and warrants, representing 14,866,572 shares of common stock, have agreed with the underwriters to restrictions on sales of their shares for until August 8, 2005. After the expiration of this lock-up period and after the earlier of (i) December 31, 2005 and (ii) six months after our securities are traded on a U.S. exchange or listed on a U.S. automatic quotation system, holders of 80,139,428 shares of common stock will generally have rights to cause us to file a registration statement on their behalf pursuant to a registration rights agreement that we have entered into with these stockholders. These registration rights include demand rights, which obligate us to use our best efforts to file a registration statement with the SEC, rights to require us to register shares on a Form S-3 and “piggy back” rights on all our other registrations.</w:t>
      </w:r>
    </w:p>
    <w:p>
      <w:pPr>
        <w:spacing w:after="0" w:line="13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75" w:lineRule="exact"/>
        <w:rPr>
          <w:sz w:val="20"/>
          <w:szCs w:val="20"/>
          <w:color w:val="auto"/>
        </w:rPr>
      </w:pPr>
    </w:p>
    <w:p>
      <w:pPr>
        <w:ind w:left="900" w:right="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 our stockholders from making certain changes to our restated certificate of incorporation or amended and restated bylaws except with 66</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22"/>
          <w:szCs w:val="22"/>
          <w:color w:val="auto"/>
          <w:vertAlign w:val="superscript"/>
        </w:rPr>
        <w:t>2</w:t>
      </w:r>
      <w:r>
        <w:rPr>
          <w:rFonts w:ascii="Arial" w:cs="Arial" w:eastAsia="Arial" w:hAnsi="Arial"/>
          <w:sz w:val="27"/>
          <w:szCs w:val="27"/>
          <w:color w:val="auto"/>
          <w:vertAlign w:val="superscript"/>
        </w:rPr>
        <w:t>/3</w:t>
      </w:r>
      <w:r>
        <w:rPr>
          <w:rFonts w:ascii="Arial" w:cs="Arial" w:eastAsia="Arial" w:hAnsi="Arial"/>
          <w:sz w:val="18"/>
          <w:szCs w:val="18"/>
          <w:color w:val="auto"/>
        </w:rPr>
        <w:t>% stockholder approval; and</w:t>
      </w:r>
    </w:p>
    <w:p>
      <w:pPr>
        <w:spacing w:after="0" w:line="2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w:t>
      </w:r>
    </w:p>
    <w:p>
      <w:pPr>
        <w:spacing w:after="0" w:line="13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These provisions may delay or prevent a third party from acquiring us. Any such delay or prevention could cause the market price of our common stock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businesses. In addition, the terms of existing or any future debts may preclude us from paying these dividends. As a result, appreciation in the market value, if any, of our common stock will be our stockholders’ sole source of gain for the foreseeable future. The market value for our common stock may not increase, and in fact, the market value may decrease substantially.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increase in the market value of our common stock is uncertain and unpredictable. Stockholders should not invest in our stock if they are seeking dividend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date, we have obtained licensed rights under ten issued U.S. patents and two U.S. patent applications. We also have obtained licensed rights to 64 issued and pending foreign patents corresponding to these U.S. patents. In addition to these licensed rights, we hold three U.S. patent applications relating to MN-001 and its metabolite, MN-002.</w:t>
      </w:r>
    </w:p>
    <w:p>
      <w:pPr>
        <w:spacing w:after="0" w:line="12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3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patents under which we hold rights may not provide us with a basis for commercially viable products, may not provide us with any competitive advantages or may be challenged by third parties as not infringed, invalid, or unenforceable under U.S. or foreign laws;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and keep them secret. We also typically obtain agreements from these parties which provide that inventions conceived by the party in the course of rendering services to us will be our exclusive property. However, these agreements may not be honored and may not effectively assign intellectual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property rights to us. Enforcing a claim that a party illegally obtained and is using our trade secrets is difficult, expensive and time consuming and the outcome is unpredictable. In addition, courts outside the United States may be less willing to protect trade secrets.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 A patentee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105"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our collaborators, and our product candidates are subject to stringent regulation by the FDA and other regulatory agencies in the United States and by comparable authorities in other countries. Our product candidates cannot be marketed in the United States until the FDA has approved the product candidates.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and post-approval studies, including additional research and development and clinical trials, may be required. These regulatory requirements may limit the size of the market for the product or result in the incurrence of additional costs. Any delay or failure in obtaining required approvals could have a material adverse effect on our ability to generate revenues from the particular product candidate.</w:t>
      </w:r>
    </w:p>
    <w:p>
      <w:pPr>
        <w:spacing w:after="0" w:line="10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likelihood, nature or extent of government regulation that may arise from future legislation or administrative action, either in the United States or abroad.</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0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w:t>
      </w:r>
    </w:p>
    <w:p>
      <w:pPr>
        <w:spacing w:after="0" w:line="9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Competition in the pharmaceutical industry is intense and is expected to increase. We face competition from pharmaceutical and biotechnology companies, as well as numerous academic and research institutions and governmental agencies, both in the United States and abroad. Some of these competitors have products or are pursuing the development of drugs that target the same diseases and conditions that are the focus of our product development programs.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biologies and side effects. Many of our competitors have substantially greater capital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158"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9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payors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exposure to market risk due to changes in interest rates relates primarily to the increase or decrease in the amount of interest income we can earn on our investment portfolio. Our risk associated with fluctuating interest rates is limited to our investments in interest 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reasonable assurance of achieving the desired control objectives, and management is required to apply its judgment in evaluating the cost-benefit relationship of possible controls and procedures.</w:t>
      </w:r>
    </w:p>
    <w:p>
      <w:pPr>
        <w:spacing w:after="0" w:line="11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As required by Rule 13a-15(b) of the Exchange Act, we carried out an evaluation, under the supervision and with the participation of our management, including our chief executive officer, of the effectiveness of the design and operation of our disclosure controls and procedures as of the end of the quarter covered by this report. Based on the foregoing, our chief executive officer concluded that our disclosure controls and procedures were effective at the reasonable assurance level.</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effected the initial public offering of our common stock pursuant to a Registration Statement on Form S-1 (File No. 333-119433) that was declared effective by the Securities and Exchange Commission on January 28, 2005. On February 8, 2005, 30,000,000 shares of common stock were offered and sold on our behalf at an initial public offering price of $3.88 (or 400 Japanese Yen) per share, for an aggregate offering price of $116.4 million, which offering was managed by Daiwa Securities SMBC. On March 8, 2005, 1,573,000 shares of common stock were sold to Daiwa Securities SMBC pursuant to the partial exercise of an over-allotment option at $3.53 (or 370 Japanese Yen) per share, for an aggregate price of $5.6 million. The offering subsequently terminated. Such termination occurred prior to the sale of all securities registered.</w:t>
      </w:r>
    </w:p>
    <w:p>
      <w:pPr>
        <w:spacing w:after="0" w:line="1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paid to the underwriters underwriting discounts and commissions totaling approximately $8.7 million in connection with the offering. In addition, we estimate that we incurred expenses of approximately $3.3 million in connection with the offering, which when added to the underwriting discounts and commissions paid by us, amounts to total estimated expenses of approximately $12.0 million. Thus, the net offering proceeds to us, after deducting underwriting discounts and commissions and estimated offering expenses, were approximately $110.0 million. No offering expenses were paid directly or indirectly to any of our directors or officers (or their associates) or persons owning ten percent or more of any class of our equity securities or to any other affiliates.</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March 31, 2005, we had used approximately $2.9 million of the net proceeds from our initial public offering to fund our operations, including development of both our strategic core and partnering programs and payment of $40,000 in consulting fees to our Chairman of the Board, Dr. Yuichi Iwaki. In addition, we had used $0.2 million for acquisitions of property and equipment. Other than the consulting fees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both our strategic core and partnering programs and to acquire and develop additional product candidates. In addition, we may use a portion of the net proceeds from our initial public offering to acquire technologies or businesses that are complementary to our own, but we currently have no commitments or agreements relating to any of these types of transactions.</w:t>
      </w:r>
    </w:p>
    <w:p>
      <w:pPr>
        <w:spacing w:after="0" w:line="1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cannot specify with certainty all of the particular uses for the net proceeds received from our initial public offering. The amount and timing of our expenditures will depend on several factors, including the progress of our development efforts and the amount of cash used in our operations. Accordingly, our management will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broad discretion in the continued application of the net proceeds. Pending the uses described above, we plan to invest the net proceeds from our initial public offering in short-term, investment-grade, interest-bearing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May 2, 2005, we promoted Brian Anderson from Executive Vice President, Corporate Development to Chief Business Officer and promoted Richard E. Gammans from Executive Vice President, Clinical Research to Chief Development Officer. In addition, effective May 2, 2005, the employment of Mark Lotz, Vice President, Regulatory Affairs was terminated.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60" w:type="dxa"/>
            <w:vAlign w:val="bottom"/>
          </w:tcPr>
          <w:p>
            <w:pPr>
              <w:spacing w:after="0"/>
              <w:rPr>
                <w:sz w:val="19"/>
                <w:szCs w:val="19"/>
                <w:color w:val="auto"/>
              </w:rPr>
            </w:pPr>
          </w:p>
        </w:tc>
        <w:tc>
          <w:tcPr>
            <w:tcW w:w="9580" w:type="dxa"/>
            <w:vAlign w:val="bottom"/>
          </w:tcPr>
          <w:p>
            <w:pPr>
              <w:spacing w:after="0"/>
              <w:rPr>
                <w:sz w:val="19"/>
                <w:szCs w:val="19"/>
                <w:color w:val="auto"/>
              </w:rPr>
            </w:pPr>
          </w:p>
        </w:tc>
      </w:tr>
      <w:tr>
        <w:trPr>
          <w:trHeight w:val="352"/>
        </w:trPr>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228"/>
        </w:trPr>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9"/>
                <w:szCs w:val="19"/>
                <w:color w:val="auto"/>
              </w:rPr>
            </w:pPr>
          </w:p>
        </w:tc>
        <w:tc>
          <w:tcPr>
            <w:tcW w:w="9580" w:type="dxa"/>
            <w:vAlign w:val="bottom"/>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580" w:type="dxa"/>
            <w:vAlign w:val="bottom"/>
            <w:tcBorders>
              <w:bottom w:val="single" w:sz="8" w:color="auto"/>
            </w:tcBorders>
          </w:tcPr>
          <w:p>
            <w:pPr>
              <w:spacing w:after="0"/>
              <w:rPr>
                <w:sz w:val="9"/>
                <w:szCs w:val="9"/>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900" w:type="dxa"/>
            <w:vAlign w:val="bottom"/>
          </w:tcPr>
          <w:p>
            <w:pPr>
              <w:spacing w:after="0"/>
              <w:rPr>
                <w:sz w:val="24"/>
                <w:szCs w:val="24"/>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Restated Certificate of Incorporation.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Amended and Restated Bylaws.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4.1(1)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w w:val="87"/>
              </w:rPr>
              <w:t>Amended and Restated Registration Rights Agreement by and among the Company, its founders and the investors named therein, dated</w:t>
            </w:r>
          </w:p>
        </w:tc>
      </w:tr>
      <w:tr>
        <w:trPr>
          <w:trHeight w:val="216"/>
        </w:trPr>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September 2,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4.2(1)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Amended and Restated Stock Purchase Warrant held by Takashi Kiyoizumi, dated September 2,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4.3(1)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Amended and Restated Stock Purchase Warrant held by Yuichi Iwaki, dated September 2,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w w:val="89"/>
              </w:rPr>
              <w:t>Second Amendment to Office Lease Agreement between the Registrant and CA-La Jolla II Limited Partnership, dated March 21,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w w:val="93"/>
              </w:rPr>
              <w:t>Certification of Chief Executive Officer and Principal Financial Officer pursuant to Section 302 of the Sarbanes-Oxley Act of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900" w:type="dxa"/>
            <w:vAlign w:val="bottom"/>
          </w:tcPr>
          <w:p>
            <w:pPr>
              <w:spacing w:after="0"/>
              <w:rPr>
                <w:sz w:val="18"/>
                <w:szCs w:val="18"/>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w w:val="96"/>
              </w:rPr>
              <w:t>Certification of Chief Executive Officer and Principal Financial Officer pursuant to 18 U.S.C. Section 1350 (Section 906 of the</w:t>
            </w:r>
          </w:p>
        </w:tc>
      </w:tr>
      <w:tr>
        <w:trPr>
          <w:trHeight w:val="222"/>
        </w:trPr>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333-119433) originally filed with the Securities and Exchange Commission on October 1, 2004, as amended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580" w:type="dxa"/>
            <w:vAlign w:val="bottom"/>
            <w:gridSpan w:val="3"/>
          </w:tcPr>
          <w:p>
            <w:pPr>
              <w:ind w:left="4560"/>
              <w:spacing w:after="0"/>
              <w:rPr>
                <w:sz w:val="20"/>
                <w:szCs w:val="20"/>
                <w:color w:val="auto"/>
              </w:rPr>
            </w:pPr>
            <w:r>
              <w:rPr>
                <w:rFonts w:ascii="Arial" w:cs="Arial" w:eastAsia="Arial" w:hAnsi="Arial"/>
                <w:sz w:val="18"/>
                <w:szCs w:val="18"/>
                <w:color w:val="auto"/>
              </w:rPr>
              <w:t>MEDICINOVA, INC.</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Date: May 11, 2005</w:t>
            </w:r>
          </w:p>
        </w:tc>
        <w:tc>
          <w:tcPr>
            <w:tcW w:w="220" w:type="dxa"/>
            <w:vAlign w:val="bottom"/>
          </w:tcPr>
          <w:p>
            <w:pPr>
              <w:spacing w:after="0"/>
              <w:rPr>
                <w:sz w:val="24"/>
                <w:szCs w:val="24"/>
                <w:color w:val="auto"/>
              </w:rPr>
            </w:pPr>
          </w:p>
        </w:tc>
        <w:tc>
          <w:tcPr>
            <w:tcW w:w="9580" w:type="dxa"/>
            <w:vAlign w:val="bottom"/>
            <w:gridSpan w:val="3"/>
          </w:tcPr>
          <w:p>
            <w:pPr>
              <w:ind w:left="4560"/>
              <w:spacing w:after="0"/>
              <w:rPr>
                <w:sz w:val="20"/>
                <w:szCs w:val="20"/>
                <w:color w:val="auto"/>
              </w:rPr>
            </w:pPr>
            <w:r>
              <w:rPr>
                <w:rFonts w:ascii="Arial" w:cs="Arial" w:eastAsia="Arial" w:hAnsi="Arial"/>
                <w:sz w:val="18"/>
                <w:szCs w:val="18"/>
                <w:color w:val="auto"/>
              </w:rPr>
              <w:t>By: /s/ Takashi Kiyoizumi</w:t>
            </w:r>
          </w:p>
        </w:tc>
      </w:tr>
      <w:tr>
        <w:trPr>
          <w:trHeight w:val="110"/>
        </w:trPr>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r>
      <w:tr>
        <w:trPr>
          <w:trHeight w:val="417"/>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3"/>
          </w:tcPr>
          <w:p>
            <w:pPr>
              <w:ind w:left="4560"/>
              <w:spacing w:after="0"/>
              <w:rPr>
                <w:sz w:val="20"/>
                <w:szCs w:val="20"/>
                <w:color w:val="auto"/>
              </w:rPr>
            </w:pPr>
            <w:r>
              <w:rPr>
                <w:rFonts w:ascii="Arial" w:cs="Arial" w:eastAsia="Arial" w:hAnsi="Arial"/>
                <w:sz w:val="18"/>
                <w:szCs w:val="18"/>
                <w:color w:val="auto"/>
                <w:w w:val="92"/>
              </w:rPr>
              <w:t>Takashi Kiyoizumi, M.D., Ph.D. Chief Executive Officer (on behalf of</w:t>
            </w:r>
          </w:p>
        </w:tc>
      </w:tr>
      <w:tr>
        <w:trPr>
          <w:trHeight w:val="216"/>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580" w:type="dxa"/>
            <w:vAlign w:val="bottom"/>
            <w:gridSpan w:val="3"/>
          </w:tcPr>
          <w:p>
            <w:pPr>
              <w:ind w:left="4560"/>
              <w:spacing w:after="0"/>
              <w:rPr>
                <w:sz w:val="20"/>
                <w:szCs w:val="20"/>
                <w:color w:val="auto"/>
              </w:rPr>
            </w:pPr>
            <w:r>
              <w:rPr>
                <w:rFonts w:ascii="Arial" w:cs="Arial" w:eastAsia="Arial" w:hAnsi="Arial"/>
                <w:sz w:val="18"/>
                <w:szCs w:val="18"/>
                <w:color w:val="auto"/>
                <w:w w:val="93"/>
              </w:rPr>
              <w:t>the registrant and as the registrant’s Principal Executive Officer and</w:t>
            </w:r>
          </w:p>
        </w:tc>
      </w:tr>
      <w:tr>
        <w:trPr>
          <w:trHeight w:val="222"/>
        </w:trPr>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580" w:type="dxa"/>
            <w:vAlign w:val="bottom"/>
            <w:gridSpan w:val="3"/>
          </w:tcPr>
          <w:p>
            <w:pPr>
              <w:ind w:left="4560"/>
              <w:spacing w:after="0"/>
              <w:rPr>
                <w:sz w:val="20"/>
                <w:szCs w:val="20"/>
                <w:color w:val="auto"/>
              </w:rPr>
            </w:pPr>
            <w:r>
              <w:rPr>
                <w:rFonts w:ascii="Arial" w:cs="Arial" w:eastAsia="Arial" w:hAnsi="Arial"/>
                <w:sz w:val="18"/>
                <w:szCs w:val="18"/>
                <w:color w:val="auto"/>
              </w:rPr>
              <w:t>Principal Financial and Accounting Officer)</w:t>
            </w:r>
          </w:p>
        </w:tc>
      </w:tr>
      <w:tr>
        <w:trPr>
          <w:trHeight w:val="365"/>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3"/>
          </w:tcPr>
          <w:p>
            <w:pPr>
              <w:ind w:left="3000"/>
              <w:spacing w:after="0"/>
              <w:rPr>
                <w:sz w:val="20"/>
                <w:szCs w:val="20"/>
                <w:color w:val="auto"/>
              </w:rPr>
            </w:pPr>
            <w:r>
              <w:rPr>
                <w:rFonts w:ascii="Arial" w:cs="Arial" w:eastAsia="Arial" w:hAnsi="Arial"/>
                <w:sz w:val="18"/>
                <w:szCs w:val="18"/>
                <w:b w:val="1"/>
                <w:bCs w:val="1"/>
                <w:color w:val="auto"/>
              </w:rPr>
              <w:t>INDEX TO EXHIBITS</w:t>
            </w:r>
          </w:p>
        </w:tc>
      </w:tr>
      <w:tr>
        <w:trPr>
          <w:trHeight w:val="352"/>
        </w:trPr>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8"/>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9"/>
                <w:szCs w:val="19"/>
                <w:color w:val="auto"/>
              </w:rPr>
            </w:pPr>
          </w:p>
        </w:tc>
        <w:tc>
          <w:tcPr>
            <w:tcW w:w="9580" w:type="dxa"/>
            <w:vAlign w:val="bottom"/>
            <w:gridSpan w:val="3"/>
          </w:tcPr>
          <w:p>
            <w:pPr>
              <w:ind w:left="436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7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580" w:type="dxa"/>
            <w:vAlign w:val="bottom"/>
            <w:tcBorders>
              <w:bottom w:val="single" w:sz="8" w:color="auto"/>
            </w:tcBorders>
            <w:gridSpan w:val="3"/>
          </w:tcPr>
          <w:p>
            <w:pPr>
              <w:spacing w:after="0"/>
              <w:rPr>
                <w:sz w:val="9"/>
                <w:szCs w:val="9"/>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40" w:type="dxa"/>
            <w:vAlign w:val="bottom"/>
          </w:tcPr>
          <w:p>
            <w:pPr>
              <w:spacing w:after="0"/>
              <w:rPr>
                <w:sz w:val="24"/>
                <w:szCs w:val="24"/>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rPr>
              <w:t>Restated Certificate of Incorporation.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4.1(1)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w w:val="87"/>
              </w:rPr>
              <w:t>Amended and Restated Registration Rights Agreement by and among the Company, its founders and the investors named therein, dated</w:t>
            </w:r>
          </w:p>
        </w:tc>
      </w:tr>
      <w:tr>
        <w:trPr>
          <w:trHeight w:val="216"/>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rPr>
              <w:t>September 2,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4.2(1)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rPr>
              <w:t>Amended and Restated Stock Purchase Warrant held by Takashi Kiyoizumi, dated September 2,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4.3(1)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rPr>
              <w:t>Amended and Restated Stock Purchase Warrant held by Yuichi Iwaki, dated September 2, 2004.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w w:val="89"/>
              </w:rPr>
              <w:t>Second Amendment to Office Lease Agreement between the Registrant and CA-La Jolla II Limited Partnership, dated March 21, 2005.</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w w:val="93"/>
              </w:rPr>
              <w:t>Certification of Chief Executive Officer and Principal Financial Officer pursuant to Section 302 of the Sarbanes-Oxley Act of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840" w:type="dxa"/>
            <w:vAlign w:val="bottom"/>
          </w:tcPr>
          <w:p>
            <w:pPr>
              <w:spacing w:after="0"/>
              <w:rPr>
                <w:sz w:val="18"/>
                <w:szCs w:val="18"/>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w w:val="96"/>
              </w:rPr>
              <w:t>Certification of Chief Executive Officer and Principal Financial Officer pursuant to 18 U.S.C. Section 1350 (Section 906 of the</w:t>
            </w:r>
          </w:p>
        </w:tc>
      </w:tr>
      <w:tr>
        <w:trPr>
          <w:trHeight w:val="222"/>
        </w:trPr>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gridSpan w:val="4"/>
          </w:tcPr>
          <w:p>
            <w:pPr>
              <w:ind w:left="22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333-119433) originally filed with the Securities and Exchange Commission on October 1, 2004, as amended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5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THIS SECOND AMENDMENT </w:t>
      </w:r>
      <w:r>
        <w:rPr>
          <w:rFonts w:ascii="Arial" w:cs="Arial" w:eastAsia="Arial" w:hAnsi="Arial"/>
          <w:sz w:val="18"/>
          <w:szCs w:val="18"/>
          <w:color w:val="auto"/>
        </w:rPr>
        <w:t>(the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March 21, 2005, by and between</w:t>
      </w:r>
      <w:r>
        <w:rPr>
          <w:rFonts w:ascii="Arial" w:cs="Arial" w:eastAsia="Arial" w:hAnsi="Arial"/>
          <w:sz w:val="18"/>
          <w:szCs w:val="18"/>
          <w:b w:val="1"/>
          <w:bCs w:val="1"/>
          <w:color w:val="auto"/>
        </w:rPr>
        <w:t xml:space="preserve"> CA-LA JOLLA II LIMITED PARTNERSHIP, a Delaware limited partnership </w:t>
      </w: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MEDICINOVA, INC., a Delaware corporation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83" w:lineRule="exact"/>
        <w:rPr>
          <w:sz w:val="20"/>
          <w:szCs w:val="20"/>
          <w:color w:val="auto"/>
        </w:rPr>
      </w:pPr>
    </w:p>
    <w:p>
      <w:pPr>
        <w:ind w:left="460" w:right="160" w:hanging="452"/>
        <w:spacing w:after="0" w:line="25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Landlord and Tenant are parties to that certain lease dated January 28, 2004, which lease has been previously amended by First Amendment dated August 10, 2004 (“First Amendment”) (collectively,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Pursuant to the Lease, Landlord has leased to Tenant space currently containing approximately </w:t>
      </w:r>
      <w:r>
        <w:rPr>
          <w:rFonts w:ascii="Arial" w:cs="Arial" w:eastAsia="Arial" w:hAnsi="Arial"/>
          <w:sz w:val="17"/>
          <w:szCs w:val="17"/>
          <w:b w:val="1"/>
          <w:bCs w:val="1"/>
          <w:color w:val="auto"/>
        </w:rPr>
        <w:t xml:space="preserve">11,367 </w:t>
      </w:r>
      <w:r>
        <w:rPr>
          <w:rFonts w:ascii="Arial" w:cs="Arial" w:eastAsia="Arial" w:hAnsi="Arial"/>
          <w:sz w:val="17"/>
          <w:szCs w:val="17"/>
          <w:color w:val="auto"/>
        </w:rPr>
        <w:t>rentable square feet (the “</w:t>
      </w:r>
      <w:r>
        <w:rPr>
          <w:rFonts w:ascii="Arial" w:cs="Arial" w:eastAsia="Arial" w:hAnsi="Arial"/>
          <w:sz w:val="17"/>
          <w:szCs w:val="17"/>
          <w:b w:val="1"/>
          <w:bCs w:val="1"/>
          <w:color w:val="auto"/>
        </w:rPr>
        <w:t>Original Premises</w:t>
      </w:r>
      <w:r>
        <w:rPr>
          <w:rFonts w:ascii="Arial" w:cs="Arial" w:eastAsia="Arial" w:hAnsi="Arial"/>
          <w:sz w:val="17"/>
          <w:szCs w:val="17"/>
          <w:color w:val="auto"/>
        </w:rPr>
        <w:t>”) described as Suite Nos. 900 and 950 on the 9</w:t>
      </w:r>
      <w:r>
        <w:rPr>
          <w:rFonts w:ascii="Arial" w:cs="Arial" w:eastAsia="Arial" w:hAnsi="Arial"/>
          <w:sz w:val="21"/>
          <w:szCs w:val="21"/>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of the building commonly known as Smith</w:t>
      </w:r>
      <w:r>
        <w:rPr>
          <w:rFonts w:ascii="Arial" w:cs="Arial" w:eastAsia="Arial" w:hAnsi="Arial"/>
          <w:sz w:val="17"/>
          <w:szCs w:val="17"/>
          <w:b w:val="1"/>
          <w:bCs w:val="1"/>
          <w:color w:val="auto"/>
        </w:rPr>
        <w:t xml:space="preserve"> </w:t>
      </w:r>
      <w:r>
        <w:rPr>
          <w:rFonts w:ascii="Arial" w:cs="Arial" w:eastAsia="Arial" w:hAnsi="Arial"/>
          <w:sz w:val="17"/>
          <w:szCs w:val="17"/>
          <w:color w:val="auto"/>
        </w:rPr>
        <w:t>Barney Tower located at 4350 La Jolla Village Drive, San Diego, California (the “</w:t>
      </w:r>
      <w:r>
        <w:rPr>
          <w:rFonts w:ascii="Arial" w:cs="Arial" w:eastAsia="Arial" w:hAnsi="Arial"/>
          <w:sz w:val="17"/>
          <w:szCs w:val="17"/>
          <w:b w:val="1"/>
          <w:bCs w:val="1"/>
          <w:color w:val="auto"/>
        </w:rPr>
        <w:t>Building</w:t>
      </w:r>
      <w:r>
        <w:rPr>
          <w:rFonts w:ascii="Arial" w:cs="Arial" w:eastAsia="Arial" w:hAnsi="Arial"/>
          <w:sz w:val="17"/>
          <w:szCs w:val="17"/>
          <w:color w:val="auto"/>
        </w:rPr>
        <w:t>”).</w:t>
      </w:r>
    </w:p>
    <w:p>
      <w:pPr>
        <w:spacing w:after="0" w:line="39" w:lineRule="exact"/>
        <w:rPr>
          <w:rFonts w:ascii="Arial" w:cs="Arial" w:eastAsia="Arial" w:hAnsi="Arial"/>
          <w:sz w:val="17"/>
          <w:szCs w:val="17"/>
          <w:color w:val="auto"/>
        </w:rPr>
      </w:pPr>
    </w:p>
    <w:p>
      <w:pPr>
        <w:ind w:left="460" w:right="20" w:hanging="452"/>
        <w:spacing w:after="0" w:line="260"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Tenant has requested that additional space containing approximately </w:t>
      </w:r>
      <w:r>
        <w:rPr>
          <w:rFonts w:ascii="Arial" w:cs="Arial" w:eastAsia="Arial" w:hAnsi="Arial"/>
          <w:sz w:val="17"/>
          <w:szCs w:val="17"/>
          <w:b w:val="1"/>
          <w:bCs w:val="1"/>
          <w:color w:val="auto"/>
        </w:rPr>
        <w:t>5,242</w:t>
      </w:r>
      <w:r>
        <w:rPr>
          <w:rFonts w:ascii="Arial" w:cs="Arial" w:eastAsia="Arial" w:hAnsi="Arial"/>
          <w:sz w:val="17"/>
          <w:szCs w:val="17"/>
          <w:color w:val="auto"/>
        </w:rPr>
        <w:t xml:space="preserve"> rentable square feet consisting of (i) 2,418 rentable square feet described as Suite No. 970 (the “</w:t>
      </w:r>
      <w:r>
        <w:rPr>
          <w:rFonts w:ascii="Arial" w:cs="Arial" w:eastAsia="Arial" w:hAnsi="Arial"/>
          <w:sz w:val="17"/>
          <w:szCs w:val="17"/>
          <w:b w:val="1"/>
          <w:bCs w:val="1"/>
          <w:color w:val="auto"/>
        </w:rPr>
        <w:t>Suite 970 Expansion Space</w:t>
      </w:r>
      <w:r>
        <w:rPr>
          <w:rFonts w:ascii="Arial" w:cs="Arial" w:eastAsia="Arial" w:hAnsi="Arial"/>
          <w:sz w:val="17"/>
          <w:szCs w:val="17"/>
          <w:color w:val="auto"/>
        </w:rPr>
        <w:t>”) and (ii) 2,824 rentable square feet described as Suite No. 960 (the “</w:t>
      </w:r>
      <w:r>
        <w:rPr>
          <w:rFonts w:ascii="Arial" w:cs="Arial" w:eastAsia="Arial" w:hAnsi="Arial"/>
          <w:sz w:val="17"/>
          <w:szCs w:val="17"/>
          <w:b w:val="1"/>
          <w:bCs w:val="1"/>
          <w:color w:val="auto"/>
        </w:rPr>
        <w:t>Suite 960 Expansion Space</w:t>
      </w:r>
      <w:r>
        <w:rPr>
          <w:rFonts w:ascii="Arial" w:cs="Arial" w:eastAsia="Arial" w:hAnsi="Arial"/>
          <w:sz w:val="17"/>
          <w:szCs w:val="17"/>
          <w:color w:val="auto"/>
        </w:rPr>
        <w:t>”) on the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of the Building shown on </w:t>
      </w:r>
      <w:r>
        <w:rPr>
          <w:rFonts w:ascii="Arial" w:cs="Arial" w:eastAsia="Arial" w:hAnsi="Arial"/>
          <w:sz w:val="17"/>
          <w:szCs w:val="17"/>
          <w:b w:val="1"/>
          <w:bCs w:val="1"/>
          <w:color w:val="auto"/>
        </w:rPr>
        <w:t>Exhibit A and Exhibit A-1</w:t>
      </w:r>
      <w:r>
        <w:rPr>
          <w:rFonts w:ascii="Arial" w:cs="Arial" w:eastAsia="Arial" w:hAnsi="Arial"/>
          <w:sz w:val="17"/>
          <w:szCs w:val="17"/>
          <w:color w:val="auto"/>
        </w:rPr>
        <w:t xml:space="preserve"> hereto be added to the Original Premises and that the Lease be appropriately amended and Landlord is willing to do the same on the following terms and conditions. For purposes of this Amendment, the Suite 970 Expansion Space and the Suite 960 Expansion Space may collectively be referred to as the “</w:t>
      </w:r>
      <w:r>
        <w:rPr>
          <w:rFonts w:ascii="Arial" w:cs="Arial" w:eastAsia="Arial" w:hAnsi="Arial"/>
          <w:sz w:val="17"/>
          <w:szCs w:val="17"/>
          <w:b w:val="1"/>
          <w:bCs w:val="1"/>
          <w:color w:val="auto"/>
        </w:rPr>
        <w:t>Expansion Spaces</w:t>
      </w:r>
      <w:r>
        <w:rPr>
          <w:rFonts w:ascii="Arial" w:cs="Arial" w:eastAsia="Arial" w:hAnsi="Arial"/>
          <w:sz w:val="17"/>
          <w:szCs w:val="17"/>
          <w:color w:val="auto"/>
        </w:rPr>
        <w:t>”.</w:t>
      </w:r>
    </w:p>
    <w:p>
      <w:pPr>
        <w:spacing w:after="0" w:line="120" w:lineRule="exact"/>
        <w:rPr>
          <w:sz w:val="20"/>
          <w:szCs w:val="20"/>
          <w:color w:val="auto"/>
        </w:rPr>
      </w:pPr>
    </w:p>
    <w:p>
      <w:pPr>
        <w:jc w:val="both"/>
        <w:ind w:right="660" w:firstLine="456"/>
        <w:spacing w:after="0" w:line="378"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above recitals which by this reference are incorporated herein, the mutual covenants and conditions</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herein and other valuable consideration, the receipt and sufficiency of which are hereby acknowledged, Landlord and Tenant agree as follows:</w:t>
      </w:r>
    </w:p>
    <w:p>
      <w:pPr>
        <w:spacing w:after="0" w:line="3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Suite 970 Expansion and Effective Date.</w:t>
      </w:r>
    </w:p>
    <w:p>
      <w:pPr>
        <w:spacing w:after="0" w:line="83" w:lineRule="exact"/>
        <w:rPr>
          <w:sz w:val="20"/>
          <w:szCs w:val="20"/>
          <w:color w:val="auto"/>
        </w:rPr>
      </w:pPr>
    </w:p>
    <w:p>
      <w:pPr>
        <w:ind w:left="1140" w:right="60" w:hanging="566"/>
        <w:spacing w:after="0" w:line="261" w:lineRule="auto"/>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Effective as of the Suite 970 Expansion Effective Date (defined below), the Premises, as defined in the Lease, is increased from 11,367 rentable square feet on the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to </w:t>
      </w:r>
      <w:r>
        <w:rPr>
          <w:rFonts w:ascii="Arial" w:cs="Arial" w:eastAsia="Arial" w:hAnsi="Arial"/>
          <w:sz w:val="17"/>
          <w:szCs w:val="17"/>
          <w:b w:val="1"/>
          <w:bCs w:val="1"/>
          <w:color w:val="auto"/>
        </w:rPr>
        <w:t>13,785</w:t>
      </w:r>
      <w:r>
        <w:rPr>
          <w:rFonts w:ascii="Arial" w:cs="Arial" w:eastAsia="Arial" w:hAnsi="Arial"/>
          <w:sz w:val="17"/>
          <w:szCs w:val="17"/>
          <w:color w:val="auto"/>
        </w:rPr>
        <w:t xml:space="preserve"> rentable square feet on the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by the addition of the Suite 970 Expansion Space, and from and after the Suite 970 Expansion Effective Date, the Original Premises and the Suite 970 Expansion Space, collectively, shall be deemed the Premises, as defined in the Lease. The Term for the Suite 970 Expansion Space shall commence on the Suite 970 Expansion Effective Date and end on the Extended Termination Date (i.e., February 29, 2008). The Suite 970 Expansion Space is subject to all the terms and conditions of the Lease except as expressly modified herein and except that Tenant shall not be entitled to receive any allowances, abatements or other financial concessions granted with respect to the Original Premises unless such concessions are expressly provided for herein with respect to the Suite 970 Expansion Space.</w:t>
      </w:r>
    </w:p>
    <w:p>
      <w:pPr>
        <w:spacing w:after="0" w:line="40" w:lineRule="exact"/>
        <w:rPr>
          <w:sz w:val="20"/>
          <w:szCs w:val="20"/>
          <w:color w:val="auto"/>
        </w:rPr>
      </w:pPr>
    </w:p>
    <w:p>
      <w:pPr>
        <w:ind w:left="1140" w:right="20" w:hanging="566"/>
        <w:spacing w:after="0" w:line="291" w:lineRule="auto"/>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Suite 970 Expansion Effective Date</w:t>
      </w:r>
      <w:r>
        <w:rPr>
          <w:rFonts w:ascii="Arial" w:cs="Arial" w:eastAsia="Arial" w:hAnsi="Arial"/>
          <w:sz w:val="16"/>
          <w:szCs w:val="16"/>
          <w:color w:val="auto"/>
        </w:rPr>
        <w:t>” shall be the later to occur of (i) April 8, 2005 (“</w:t>
      </w:r>
      <w:r>
        <w:rPr>
          <w:rFonts w:ascii="Arial" w:cs="Arial" w:eastAsia="Arial" w:hAnsi="Arial"/>
          <w:sz w:val="16"/>
          <w:szCs w:val="16"/>
          <w:b w:val="1"/>
          <w:bCs w:val="1"/>
          <w:color w:val="auto"/>
        </w:rPr>
        <w:t>Target Suite 970 Expansion Effective Date</w:t>
      </w:r>
      <w:r>
        <w:rPr>
          <w:rFonts w:ascii="Arial" w:cs="Arial" w:eastAsia="Arial" w:hAnsi="Arial"/>
          <w:sz w:val="16"/>
          <w:szCs w:val="16"/>
          <w:color w:val="auto"/>
        </w:rPr>
        <w:t xml:space="preserve">”), or (ii) the date upon which the Landlord Work (as defined in the Work Letter attached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in the Suite 970 Expansion Space has been substantially completed; provided, however, that if Landlord shall be delayed in substantially completing the Landlord Work in the Suite 970 Expansion Space as a result of the occurrence of a Tenant Delay (defined below), then, for purposes of determining the Suite 970 Expansion Effective Date, the date of substantial completion shall be deemed to be the day that said Landlord Work would have been substantially completed absent any such Tenant Delay(s). A “</w:t>
      </w:r>
      <w:r>
        <w:rPr>
          <w:rFonts w:ascii="Arial" w:cs="Arial" w:eastAsia="Arial" w:hAnsi="Arial"/>
          <w:sz w:val="16"/>
          <w:szCs w:val="16"/>
          <w:b w:val="1"/>
          <w:bCs w:val="1"/>
          <w:color w:val="auto"/>
        </w:rPr>
        <w:t>Tenant Delay</w:t>
      </w:r>
      <w:r>
        <w:rPr>
          <w:rFonts w:ascii="Arial" w:cs="Arial" w:eastAsia="Arial" w:hAnsi="Arial"/>
          <w:sz w:val="16"/>
          <w:szCs w:val="16"/>
          <w:color w:val="auto"/>
        </w:rPr>
        <w:t>” means any act or omission of Tenant or its agents, employees, vendors or contractors that actually delays substantial completion of the Landlord Work, including, without limitation, the following:</w:t>
      </w:r>
    </w:p>
    <w:p>
      <w:pPr>
        <w:spacing w:after="0" w:line="25" w:lineRule="exact"/>
        <w:rPr>
          <w:sz w:val="20"/>
          <w:szCs w:val="20"/>
          <w:color w:val="auto"/>
        </w:rPr>
      </w:pPr>
    </w:p>
    <w:p>
      <w:pPr>
        <w:ind w:left="1480" w:right="40" w:hanging="567"/>
        <w:spacing w:after="0" w:line="268"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Tenant’s failure to furnish information or approvals within any time period specified in the Lease or this Amendment, including the failure to prepare or approve preliminary or final plans by any applicable due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0" w:name="page31"/>
    <w:bookmarkEnd w:id="30"/>
    <w:p>
      <w:pPr>
        <w:ind w:left="1472" w:right="80" w:hanging="567"/>
        <w:spacing w:after="0" w:line="268" w:lineRule="auto"/>
        <w:tabs>
          <w:tab w:leader="none" w:pos="147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Tenant’s selection of equipment or materials that have long lead times after first being informed by Landlord that the selection may result in a delay;</w:t>
      </w:r>
    </w:p>
    <w:p>
      <w:pPr>
        <w:spacing w:after="0" w:line="37"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Changes requested or made by Tenant to previously approved plans and specifications;</w:t>
      </w:r>
    </w:p>
    <w:p>
      <w:pPr>
        <w:spacing w:after="0" w:line="77" w:lineRule="exact"/>
        <w:rPr>
          <w:sz w:val="20"/>
          <w:szCs w:val="20"/>
          <w:color w:val="auto"/>
        </w:rPr>
      </w:pPr>
    </w:p>
    <w:p>
      <w:pPr>
        <w:ind w:left="1472" w:right="360" w:hanging="567"/>
        <w:spacing w:after="0" w:line="268" w:lineRule="auto"/>
        <w:tabs>
          <w:tab w:leader="none" w:pos="14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work in the Suite 970 Expansion Space by Tenant or Tenant’s contractor(s) during the performance of the Landlord Work; or</w:t>
      </w:r>
    </w:p>
    <w:p>
      <w:pPr>
        <w:spacing w:after="0" w:line="37" w:lineRule="exact"/>
        <w:rPr>
          <w:rFonts w:ascii="Arial" w:cs="Arial" w:eastAsia="Arial" w:hAnsi="Arial"/>
          <w:sz w:val="18"/>
          <w:szCs w:val="18"/>
          <w:color w:val="auto"/>
        </w:rPr>
      </w:pPr>
    </w:p>
    <w:p>
      <w:pPr>
        <w:ind w:left="1472" w:right="280" w:hanging="567"/>
        <w:spacing w:after="0" w:line="268" w:lineRule="auto"/>
        <w:tabs>
          <w:tab w:leader="none" w:pos="14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performance of any portion of the Landlord Work depends on the prior or simultaneous performance of work by Tenant, a delay by Tenant or Tenant’s contractor(s) in the completion of such work.</w:t>
      </w:r>
    </w:p>
    <w:p>
      <w:pPr>
        <w:spacing w:after="0" w:line="37" w:lineRule="exact"/>
        <w:rPr>
          <w:rFonts w:ascii="Arial" w:cs="Arial" w:eastAsia="Arial" w:hAnsi="Arial"/>
          <w:sz w:val="18"/>
          <w:szCs w:val="18"/>
          <w:color w:val="auto"/>
        </w:rPr>
      </w:pPr>
    </w:p>
    <w:p>
      <w:pPr>
        <w:ind w:left="1472" w:hanging="567"/>
        <w:spacing w:after="0"/>
        <w:tabs>
          <w:tab w:leader="none" w:pos="147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Tenant has not executed this Amendment and returned the same to Landlord for counter-execution by Monday March 14, 2005.</w:t>
      </w:r>
    </w:p>
    <w:p>
      <w:pPr>
        <w:spacing w:after="0" w:line="100" w:lineRule="exact"/>
        <w:rPr>
          <w:sz w:val="20"/>
          <w:szCs w:val="20"/>
          <w:color w:val="auto"/>
        </w:rPr>
      </w:pPr>
    </w:p>
    <w:p>
      <w:pPr>
        <w:ind w:left="912"/>
        <w:spacing w:after="0" w:line="291" w:lineRule="auto"/>
        <w:rPr>
          <w:sz w:val="20"/>
          <w:szCs w:val="20"/>
          <w:color w:val="auto"/>
        </w:rPr>
      </w:pPr>
      <w:r>
        <w:rPr>
          <w:rFonts w:ascii="Arial" w:cs="Arial" w:eastAsia="Arial" w:hAnsi="Arial"/>
          <w:sz w:val="16"/>
          <w:szCs w:val="16"/>
          <w:color w:val="auto"/>
        </w:rPr>
        <w:t>The Suite 970 Expansion Space shall be deemed to be substantially completed on the date that Landlord reasonably determines that all Landlord Work has been performed (or would have been performed absent any Tenant Delays), other than any details of construction, mechanical adjustment or any other matter, the noncompletion of which does not materially interfere with Tenant’s use of the Suite 970 Expansion Space. The adjustment of the Suite 970 Expansion Effective Date and, accordingly, the postponement of Tenant’s obligation to pay Rent on the Suite 970 Expansion Space shall be Tenant’s sole remedy and shall constitute full settlement of all claims that Tenant might otherwise have against Landlord by reason of the Suite 970 Expansion Space not being ready for occupancy by Tenant on the Target Suite 970 Expansion Effective Date.</w:t>
      </w:r>
    </w:p>
    <w:p>
      <w:pPr>
        <w:spacing w:after="0" w:line="26" w:lineRule="exact"/>
        <w:rPr>
          <w:sz w:val="20"/>
          <w:szCs w:val="20"/>
          <w:color w:val="auto"/>
        </w:rPr>
      </w:pPr>
    </w:p>
    <w:p>
      <w:pPr>
        <w:ind w:left="1132" w:right="100" w:hanging="566"/>
        <w:spacing w:after="0" w:line="294" w:lineRule="auto"/>
        <w:tabs>
          <w:tab w:leader="none" w:pos="111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addition to the postponement, if any, of the Suite 970 Expansion Effective Date as a result of the applicability of Section 1.02. of this Amendment, the Suite 970 Expansion Effective Date shall be delayed to the extent that Landlord fails to deliver possession of the Suite 970 Expansion Space for any other reason (other than Tenant Delays by Tenant). Any such delay in the Suite 970 Expansion Effective Date shall not subject Landlord to any liability for any loss or damage resulting therefrom. If the Suite 970 Expansion Effective Date is delayed, the Extended Termination Date under the Lease shall not be similarly extended.</w:t>
      </w:r>
    </w:p>
    <w:p>
      <w:pPr>
        <w:spacing w:after="0" w:line="96"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Suite 960 Expansion and Effective Date.</w:t>
      </w:r>
    </w:p>
    <w:p>
      <w:pPr>
        <w:spacing w:after="0" w:line="83" w:lineRule="exact"/>
        <w:rPr>
          <w:sz w:val="20"/>
          <w:szCs w:val="20"/>
          <w:color w:val="auto"/>
        </w:rPr>
      </w:pPr>
    </w:p>
    <w:p>
      <w:pPr>
        <w:ind w:left="1132" w:hanging="566"/>
        <w:spacing w:after="0" w:line="261" w:lineRule="auto"/>
        <w:tabs>
          <w:tab w:leader="none" w:pos="1112"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color w:val="auto"/>
        </w:rPr>
        <w:t>Effective as of the Suite 960 Expansion Effective Date (defined below), the Premises, as defined in the Lease, is increased from 13,785 rentable square feet on the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to </w:t>
      </w:r>
      <w:r>
        <w:rPr>
          <w:rFonts w:ascii="Arial" w:cs="Arial" w:eastAsia="Arial" w:hAnsi="Arial"/>
          <w:sz w:val="17"/>
          <w:szCs w:val="17"/>
          <w:b w:val="1"/>
          <w:bCs w:val="1"/>
          <w:color w:val="auto"/>
        </w:rPr>
        <w:t>16,609</w:t>
      </w:r>
      <w:r>
        <w:rPr>
          <w:rFonts w:ascii="Arial" w:cs="Arial" w:eastAsia="Arial" w:hAnsi="Arial"/>
          <w:sz w:val="17"/>
          <w:szCs w:val="17"/>
          <w:color w:val="auto"/>
        </w:rPr>
        <w:t xml:space="preserve"> rentable square feet on the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by the addition of the Suite 960 Expansion Space, and from and after the Suite 960 Expansion Effective Date, the Original Premises, the Suite 970 Expansion Space and the Suite 960 Expansion Space, collectively, shall be deemed the Premises, as defined in the Lease. The Term for the Suite 960 Expansion Space shall commence on the Suite 960 Expansion Effective Date and end on the Extended Termination Date (i.e., February 29, 2008). The Suite 960 Expansion Space is subject to all the terms and conditions of the Lease except as expressly modified herein and except that Tenant shall not be entitled to receive any allowances, abatements or other financial concessions granted with respect to the Original Premises unless such concessions are expressly provided for herein with respect to the Suite 960 Expansion Space.</w:t>
      </w:r>
    </w:p>
    <w:p>
      <w:pPr>
        <w:spacing w:after="0" w:line="40" w:lineRule="exact"/>
        <w:rPr>
          <w:sz w:val="20"/>
          <w:szCs w:val="20"/>
          <w:color w:val="auto"/>
        </w:rPr>
      </w:pPr>
    </w:p>
    <w:p>
      <w:pPr>
        <w:ind w:left="1132" w:right="20" w:hanging="566"/>
        <w:spacing w:after="0" w:line="293" w:lineRule="auto"/>
        <w:tabs>
          <w:tab w:leader="none" w:pos="1112"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Suite 960 Expansion Effective Date</w:t>
      </w:r>
      <w:r>
        <w:rPr>
          <w:rFonts w:ascii="Arial" w:cs="Arial" w:eastAsia="Arial" w:hAnsi="Arial"/>
          <w:sz w:val="16"/>
          <w:szCs w:val="16"/>
          <w:color w:val="auto"/>
        </w:rPr>
        <w:t>” shall be the later to occur of (i) May 8, 2005 (“</w:t>
      </w:r>
      <w:r>
        <w:rPr>
          <w:rFonts w:ascii="Arial" w:cs="Arial" w:eastAsia="Arial" w:hAnsi="Arial"/>
          <w:sz w:val="16"/>
          <w:szCs w:val="16"/>
          <w:b w:val="1"/>
          <w:bCs w:val="1"/>
          <w:color w:val="auto"/>
        </w:rPr>
        <w:t>Target Suite 960 Expansion Effective Date</w:t>
      </w:r>
      <w:r>
        <w:rPr>
          <w:rFonts w:ascii="Arial" w:cs="Arial" w:eastAsia="Arial" w:hAnsi="Arial"/>
          <w:sz w:val="16"/>
          <w:szCs w:val="16"/>
          <w:color w:val="auto"/>
        </w:rPr>
        <w:t xml:space="preserve">”), or (ii) the date upon which the Landlord Work (as defined in the Work Letter attached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in the Suite 960 Expansion Space has been substantially completed; provided, however, that if Landlord shall be delayed in substantially completing the Landlord Work in the Suite 960 Expansion Space as a result of the occurrence of a Tenant Delay, then, for purposes of determining the Suite 960 Expansion Effective Date, the date of substantial completion shall be deemed to be the day that said Landlord Work would have been substantially completed absent any such Tenant Delay(s) (as defined in Section 1.02 above).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80" w:right="279" w:bottom="1440" w:gutter="0" w:footer="0" w:header="0"/>
        </w:sectPr>
      </w:pPr>
    </w:p>
    <w:bookmarkStart w:id="31" w:name="page32"/>
    <w:bookmarkEnd w:id="31"/>
    <w:p>
      <w:pPr>
        <w:ind w:left="91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Suite 960 Expansion Space shall be deemed to be substantially completed on the date that Landlord reasonably determines that all Landlord Work has been performed (or would have been performed absent any Tenant Delays), other than any details of construction, mechanical adjustment or any other matter, the noncompletion of which does not materially interfere with Tenant’s use of the Suite 960 Expansion Space. The adjustment of the Suite 960 Expansion Effective Date and, accordingly, the postponement of Tenant’s obligation to pay Rent on the Suite 960 Expansion Space shall be Tenant’s sole remedy and shall constitute full settlement of all claims that Tenant might otherwise have against Landlord by reason of the Suite 960 Expansion Space not being ready for occupancy by Tenant on the Target Suite 960 Expansion Effective Date.</w:t>
      </w:r>
    </w:p>
    <w:p>
      <w:pPr>
        <w:spacing w:after="0" w:line="26" w:lineRule="exact"/>
        <w:rPr>
          <w:sz w:val="20"/>
          <w:szCs w:val="20"/>
          <w:color w:val="auto"/>
        </w:rPr>
      </w:pPr>
    </w:p>
    <w:p>
      <w:pPr>
        <w:ind w:left="1132" w:right="100" w:hanging="566"/>
        <w:spacing w:after="0" w:line="294" w:lineRule="auto"/>
        <w:tabs>
          <w:tab w:leader="none" w:pos="1112"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In addition to the postponement, if any, of the Suite 960 Expansion Effective Date as a result of the applicability of Section 2.02. of this Amendment, the Suite 960 Expansion Effective Date shall be delayed to the extent that Landlord fails to deliver possession of the Suite 960 Expansion Space for any other reason (other than Tenant Delays by Tenant). Any such delay in the Suite 960 Expansion Effective Date shall not subject Landlord to any liability for any loss or damage resulting therefrom. If the Suite 960 Expansion Effective Date is delayed, the Extended Termination Date under the Lease shall not be similarly extended.</w:t>
      </w:r>
    </w:p>
    <w:p>
      <w:pPr>
        <w:spacing w:after="0" w:line="96"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p>
    <w:p>
      <w:pPr>
        <w:spacing w:after="0" w:line="77" w:lineRule="exact"/>
        <w:rPr>
          <w:sz w:val="20"/>
          <w:szCs w:val="20"/>
          <w:color w:val="auto"/>
        </w:rPr>
      </w:pPr>
    </w:p>
    <w:p>
      <w:pPr>
        <w:ind w:left="1132" w:right="80" w:hanging="566"/>
        <w:spacing w:after="0" w:line="275" w:lineRule="auto"/>
        <w:tabs>
          <w:tab w:leader="none" w:pos="1112"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b w:val="1"/>
          <w:bCs w:val="1"/>
          <w:color w:val="auto"/>
        </w:rPr>
        <w:t>Suite 970 Expansion Space</w:t>
      </w:r>
      <w:r>
        <w:rPr>
          <w:rFonts w:ascii="Arial" w:cs="Arial" w:eastAsia="Arial" w:hAnsi="Arial"/>
          <w:sz w:val="18"/>
          <w:szCs w:val="18"/>
          <w:color w:val="auto"/>
        </w:rPr>
        <w:t>. In addition to Tenant’s obligation to pay Base Rent for the Original Premises, Tenant shall pay Landlord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Suite 970 Expansion Space as follows:</w:t>
      </w:r>
    </w:p>
    <w:p>
      <w:pPr>
        <w:spacing w:after="0" w:line="96"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900" w:type="dxa"/>
            <w:vAlign w:val="bottom"/>
            <w:gridSpan w:val="2"/>
          </w:tcPr>
          <w:p>
            <w:pPr>
              <w:jc w:val="center"/>
              <w:ind w:left="1816"/>
              <w:spacing w:after="0"/>
              <w:rPr>
                <w:sz w:val="20"/>
                <w:szCs w:val="20"/>
                <w:color w:val="auto"/>
              </w:rPr>
            </w:pPr>
            <w:r>
              <w:rPr>
                <w:rFonts w:ascii="Arial" w:cs="Arial" w:eastAsia="Arial" w:hAnsi="Arial"/>
                <w:sz w:val="14"/>
                <w:szCs w:val="14"/>
                <w:b w:val="1"/>
                <w:bCs w:val="1"/>
                <w:color w:val="auto"/>
                <w:w w:val="88"/>
              </w:rPr>
              <w:t>Annual Rate Per</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Foot</w:t>
            </w:r>
          </w:p>
        </w:tc>
        <w:tc>
          <w:tcPr>
            <w:tcW w:w="5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Monthly Base Rent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80" w:type="dxa"/>
            <w:vAlign w:val="bottom"/>
            <w:gridSpan w:val="2"/>
          </w:tcPr>
          <w:p>
            <w:pPr>
              <w:spacing w:after="0"/>
              <w:rPr>
                <w:sz w:val="8"/>
                <w:szCs w:val="8"/>
                <w:color w:val="auto"/>
              </w:rPr>
            </w:pPr>
          </w:p>
        </w:tc>
        <w:tc>
          <w:tcPr>
            <w:tcW w:w="19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8, 2005 – April 30, 2005</w:t>
            </w:r>
          </w:p>
        </w:tc>
        <w:tc>
          <w:tcPr>
            <w:tcW w:w="2900" w:type="dxa"/>
            <w:vAlign w:val="bottom"/>
            <w:gridSpan w:val="2"/>
            <w:shd w:val="clear" w:color="auto" w:fill="CCEEFF"/>
          </w:tcPr>
          <w:p>
            <w:pPr>
              <w:jc w:val="center"/>
              <w:ind w:left="1816"/>
              <w:spacing w:after="0"/>
              <w:rPr>
                <w:sz w:val="20"/>
                <w:szCs w:val="20"/>
                <w:color w:val="auto"/>
              </w:rPr>
            </w:pPr>
            <w:r>
              <w:rPr>
                <w:rFonts w:ascii="Arial" w:cs="Arial" w:eastAsia="Arial" w:hAnsi="Arial"/>
                <w:sz w:val="18"/>
                <w:szCs w:val="18"/>
                <w:color w:val="auto"/>
                <w:w w:val="87"/>
              </w:rPr>
              <w:t>$37.20</w:t>
            </w:r>
          </w:p>
        </w:tc>
        <w:tc>
          <w:tcPr>
            <w:tcW w:w="16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$5,746.78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(i.e. $249.86 per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diem x 23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May 1, 2005 – February 7, 2006</w:t>
            </w:r>
          </w:p>
        </w:tc>
        <w:tc>
          <w:tcPr>
            <w:tcW w:w="2900" w:type="dxa"/>
            <w:vAlign w:val="bottom"/>
            <w:gridSpan w:val="2"/>
          </w:tcPr>
          <w:p>
            <w:pPr>
              <w:jc w:val="center"/>
              <w:ind w:left="1816"/>
              <w:spacing w:after="0"/>
              <w:rPr>
                <w:sz w:val="20"/>
                <w:szCs w:val="20"/>
                <w:color w:val="auto"/>
              </w:rPr>
            </w:pPr>
            <w:r>
              <w:rPr>
                <w:rFonts w:ascii="Arial" w:cs="Arial" w:eastAsia="Arial" w:hAnsi="Arial"/>
                <w:sz w:val="18"/>
                <w:szCs w:val="18"/>
                <w:color w:val="auto"/>
                <w:w w:val="87"/>
              </w:rPr>
              <w:t>$37.20</w:t>
            </w:r>
          </w:p>
        </w:tc>
        <w:tc>
          <w:tcPr>
            <w:tcW w:w="166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$7,495.80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February 8, 2006</w:t>
            </w: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February 7, 2007</w:t>
            </w:r>
          </w:p>
        </w:tc>
        <w:tc>
          <w:tcPr>
            <w:tcW w:w="2900" w:type="dxa"/>
            <w:vAlign w:val="bottom"/>
            <w:gridSpan w:val="2"/>
            <w:shd w:val="clear" w:color="auto" w:fill="CCEEFF"/>
          </w:tcPr>
          <w:p>
            <w:pPr>
              <w:jc w:val="center"/>
              <w:ind w:left="1816"/>
              <w:spacing w:after="0"/>
              <w:rPr>
                <w:sz w:val="20"/>
                <w:szCs w:val="20"/>
                <w:color w:val="auto"/>
              </w:rPr>
            </w:pPr>
            <w:r>
              <w:rPr>
                <w:rFonts w:ascii="Arial" w:cs="Arial" w:eastAsia="Arial" w:hAnsi="Arial"/>
                <w:sz w:val="18"/>
                <w:szCs w:val="18"/>
                <w:color w:val="auto"/>
                <w:w w:val="87"/>
              </w:rPr>
              <w:t>$38.40</w:t>
            </w:r>
          </w:p>
        </w:tc>
        <w:tc>
          <w:tcPr>
            <w:tcW w:w="16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$7,737.60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87"/>
              </w:rPr>
              <w:t>February 8, 2007</w:t>
            </w:r>
          </w:p>
        </w:tc>
        <w:tc>
          <w:tcPr>
            <w:tcW w:w="3340" w:type="dxa"/>
            <w:vAlign w:val="bottom"/>
          </w:tcPr>
          <w:p>
            <w:pPr>
              <w:ind w:left="20"/>
              <w:spacing w:after="0"/>
              <w:rPr>
                <w:sz w:val="20"/>
                <w:szCs w:val="20"/>
                <w:color w:val="auto"/>
              </w:rPr>
            </w:pPr>
            <w:r>
              <w:rPr>
                <w:rFonts w:ascii="Arial" w:cs="Arial" w:eastAsia="Arial" w:hAnsi="Arial"/>
                <w:sz w:val="18"/>
                <w:szCs w:val="18"/>
                <w:color w:val="auto"/>
              </w:rPr>
              <w:t>– February 29, 2008</w:t>
            </w:r>
          </w:p>
        </w:tc>
        <w:tc>
          <w:tcPr>
            <w:tcW w:w="2900" w:type="dxa"/>
            <w:vAlign w:val="bottom"/>
            <w:gridSpan w:val="2"/>
          </w:tcPr>
          <w:p>
            <w:pPr>
              <w:jc w:val="center"/>
              <w:ind w:left="1816"/>
              <w:spacing w:after="0"/>
              <w:rPr>
                <w:sz w:val="20"/>
                <w:szCs w:val="20"/>
                <w:color w:val="auto"/>
              </w:rPr>
            </w:pPr>
            <w:r>
              <w:rPr>
                <w:rFonts w:ascii="Arial" w:cs="Arial" w:eastAsia="Arial" w:hAnsi="Arial"/>
                <w:sz w:val="18"/>
                <w:szCs w:val="18"/>
                <w:color w:val="auto"/>
                <w:w w:val="87"/>
              </w:rPr>
              <w:t>$39.60</w:t>
            </w:r>
          </w:p>
        </w:tc>
        <w:tc>
          <w:tcPr>
            <w:tcW w:w="166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$7,979.40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All such Base Rent shall be payable by Tenant in accordance with the terms of the Lease.</w:t>
      </w:r>
    </w:p>
    <w:p>
      <w:pPr>
        <w:spacing w:after="0" w:line="77" w:lineRule="exact"/>
        <w:rPr>
          <w:sz w:val="20"/>
          <w:szCs w:val="20"/>
          <w:color w:val="auto"/>
        </w:rPr>
      </w:pPr>
    </w:p>
    <w:p>
      <w:pPr>
        <w:ind w:left="912" w:right="40"/>
        <w:spacing w:after="0" w:line="291" w:lineRule="auto"/>
        <w:rPr>
          <w:sz w:val="20"/>
          <w:szCs w:val="20"/>
          <w:color w:val="auto"/>
        </w:rPr>
      </w:pPr>
      <w:r>
        <w:rPr>
          <w:rFonts w:ascii="Arial" w:cs="Arial" w:eastAsia="Arial" w:hAnsi="Arial"/>
          <w:sz w:val="16"/>
          <w:szCs w:val="16"/>
          <w:color w:val="auto"/>
        </w:rPr>
        <w:t>Landlord and Tenant acknowledge that the foregoing schedule is based on the assumption that the Suite 970 Expansion Effective Date is the Target Suite 970 Expansion Effective Date. If the Suite 970 Expansion Effective Date is other than the Target Suite 970 Expansion Effective Date, the schedule set forth above with respect to the payment of any installment(s) of Base Rent for the Suite 970 Expansion Space shall be appropriately adjusted on a per diem basis to reflect the actual Suite 970 Expansion Effective Date, and the actual Suite 970 Expansion Effective Date shall be set forth in a confirmation letter to be prepared by Landlord. However, the effective date of any increases or decreases in the Base Rent rate shall not be postponed as a result of an adjustment of the Suite 970 Expansion Effective Date as provided above.</w:t>
      </w:r>
    </w:p>
    <w:p>
      <w:pPr>
        <w:spacing w:after="0" w:line="1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32" w:name="page33"/>
    <w:bookmarkEnd w:id="32"/>
    <w:p>
      <w:pPr>
        <w:ind w:left="1132" w:right="220" w:hanging="566"/>
        <w:spacing w:after="0" w:line="275" w:lineRule="auto"/>
        <w:tabs>
          <w:tab w:leader="none" w:pos="11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3.02.</w:t>
      </w:r>
      <w:r>
        <w:rPr>
          <w:sz w:val="20"/>
          <w:szCs w:val="20"/>
          <w:color w:val="auto"/>
        </w:rPr>
        <w:tab/>
      </w:r>
      <w:r>
        <w:rPr>
          <w:rFonts w:ascii="Arial" w:cs="Arial" w:eastAsia="Arial" w:hAnsi="Arial"/>
          <w:sz w:val="18"/>
          <w:szCs w:val="18"/>
          <w:b w:val="1"/>
          <w:bCs w:val="1"/>
          <w:color w:val="auto"/>
        </w:rPr>
        <w:t>Suite 960 Expansion Space</w:t>
      </w:r>
      <w:r>
        <w:rPr>
          <w:rFonts w:ascii="Arial" w:cs="Arial" w:eastAsia="Arial" w:hAnsi="Arial"/>
          <w:sz w:val="18"/>
          <w:szCs w:val="18"/>
          <w:color w:val="auto"/>
        </w:rPr>
        <w:t>. In addition to Tenant’s obligation to pay Base Rent for the Original Premises and the Suite 970 Expansion Space,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Landlord Base Rent for the Suite 960 Expansion Space as follows:</w:t>
      </w:r>
    </w:p>
    <w:p>
      <w:pPr>
        <w:spacing w:after="0" w:line="96"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0" w:type="dxa"/>
            <w:vAlign w:val="bottom"/>
            <w:gridSpan w:val="2"/>
          </w:tcPr>
          <w:p>
            <w:pPr>
              <w:jc w:val="center"/>
              <w:ind w:left="1717"/>
              <w:spacing w:after="0"/>
              <w:rPr>
                <w:sz w:val="20"/>
                <w:szCs w:val="20"/>
                <w:color w:val="auto"/>
              </w:rPr>
            </w:pPr>
            <w:r>
              <w:rPr>
                <w:rFonts w:ascii="Arial" w:cs="Arial" w:eastAsia="Arial" w:hAnsi="Arial"/>
                <w:sz w:val="14"/>
                <w:szCs w:val="14"/>
                <w:b w:val="1"/>
                <w:bCs w:val="1"/>
                <w:color w:val="auto"/>
                <w:w w:val="88"/>
              </w:rPr>
              <w:t>Annual Rate Per</w:t>
            </w: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Foot</w:t>
            </w:r>
          </w:p>
        </w:tc>
        <w:tc>
          <w:tcPr>
            <w:tcW w:w="184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88"/>
              </w:rPr>
              <w:t>Monthly Base Rent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0" w:type="dxa"/>
            <w:vAlign w:val="bottom"/>
            <w:gridSpan w:val="2"/>
          </w:tcPr>
          <w:p>
            <w:pPr>
              <w:spacing w:after="0"/>
              <w:rPr>
                <w:sz w:val="8"/>
                <w:szCs w:val="8"/>
                <w:color w:val="auto"/>
              </w:rPr>
            </w:pPr>
          </w:p>
        </w:tc>
        <w:tc>
          <w:tcPr>
            <w:tcW w:w="18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8, 2005 – February 7, 2006</w:t>
            </w:r>
          </w:p>
        </w:tc>
        <w:tc>
          <w:tcPr>
            <w:tcW w:w="2800" w:type="dxa"/>
            <w:vAlign w:val="bottom"/>
            <w:gridSpan w:val="2"/>
            <w:shd w:val="clear" w:color="auto" w:fill="CCEEFF"/>
          </w:tcPr>
          <w:p>
            <w:pPr>
              <w:jc w:val="center"/>
              <w:ind w:left="1717"/>
              <w:spacing w:after="0"/>
              <w:rPr>
                <w:sz w:val="20"/>
                <w:szCs w:val="20"/>
                <w:color w:val="auto"/>
              </w:rPr>
            </w:pPr>
            <w:r>
              <w:rPr>
                <w:rFonts w:ascii="Arial" w:cs="Arial" w:eastAsia="Arial" w:hAnsi="Arial"/>
                <w:sz w:val="18"/>
                <w:szCs w:val="18"/>
                <w:color w:val="auto"/>
                <w:w w:val="87"/>
              </w:rPr>
              <w:t>$37.20</w:t>
            </w:r>
          </w:p>
        </w:tc>
        <w:tc>
          <w:tcPr>
            <w:tcW w:w="1840" w:type="dxa"/>
            <w:vAlign w:val="bottom"/>
            <w:gridSpan w:val="2"/>
            <w:shd w:val="clear" w:color="auto" w:fill="CCEEFF"/>
          </w:tcPr>
          <w:p>
            <w:pPr>
              <w:jc w:val="center"/>
              <w:ind w:left="617"/>
              <w:spacing w:after="0"/>
              <w:rPr>
                <w:sz w:val="20"/>
                <w:szCs w:val="20"/>
                <w:color w:val="auto"/>
              </w:rPr>
            </w:pPr>
            <w:r>
              <w:rPr>
                <w:rFonts w:ascii="Arial" w:cs="Arial" w:eastAsia="Arial" w:hAnsi="Arial"/>
                <w:sz w:val="18"/>
                <w:szCs w:val="18"/>
                <w:color w:val="auto"/>
                <w:w w:val="87"/>
              </w:rPr>
              <w:t>$8,754.40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87"/>
              </w:rPr>
              <w:t>February 8, 2006</w:t>
            </w:r>
          </w:p>
        </w:tc>
        <w:tc>
          <w:tcPr>
            <w:tcW w:w="3260" w:type="dxa"/>
            <w:vAlign w:val="bottom"/>
          </w:tcPr>
          <w:p>
            <w:pPr>
              <w:ind w:left="20"/>
              <w:spacing w:after="0"/>
              <w:rPr>
                <w:sz w:val="20"/>
                <w:szCs w:val="20"/>
                <w:color w:val="auto"/>
              </w:rPr>
            </w:pPr>
            <w:r>
              <w:rPr>
                <w:rFonts w:ascii="Arial" w:cs="Arial" w:eastAsia="Arial" w:hAnsi="Arial"/>
                <w:sz w:val="18"/>
                <w:szCs w:val="18"/>
                <w:color w:val="auto"/>
              </w:rPr>
              <w:t>– February 7, 2007</w:t>
            </w:r>
          </w:p>
        </w:tc>
        <w:tc>
          <w:tcPr>
            <w:tcW w:w="2800" w:type="dxa"/>
            <w:vAlign w:val="bottom"/>
            <w:gridSpan w:val="2"/>
          </w:tcPr>
          <w:p>
            <w:pPr>
              <w:jc w:val="center"/>
              <w:ind w:left="1717"/>
              <w:spacing w:after="0"/>
              <w:rPr>
                <w:sz w:val="20"/>
                <w:szCs w:val="20"/>
                <w:color w:val="auto"/>
              </w:rPr>
            </w:pPr>
            <w:r>
              <w:rPr>
                <w:rFonts w:ascii="Arial" w:cs="Arial" w:eastAsia="Arial" w:hAnsi="Arial"/>
                <w:sz w:val="18"/>
                <w:szCs w:val="18"/>
                <w:color w:val="auto"/>
                <w:w w:val="87"/>
              </w:rPr>
              <w:t>$38.40</w:t>
            </w:r>
          </w:p>
        </w:tc>
        <w:tc>
          <w:tcPr>
            <w:tcW w:w="1840" w:type="dxa"/>
            <w:vAlign w:val="bottom"/>
            <w:gridSpan w:val="2"/>
          </w:tcPr>
          <w:p>
            <w:pPr>
              <w:jc w:val="center"/>
              <w:ind w:left="617"/>
              <w:spacing w:after="0"/>
              <w:rPr>
                <w:sz w:val="20"/>
                <w:szCs w:val="20"/>
                <w:color w:val="auto"/>
              </w:rPr>
            </w:pPr>
            <w:r>
              <w:rPr>
                <w:rFonts w:ascii="Arial" w:cs="Arial" w:eastAsia="Arial" w:hAnsi="Arial"/>
                <w:sz w:val="18"/>
                <w:szCs w:val="18"/>
                <w:color w:val="auto"/>
                <w:w w:val="87"/>
              </w:rPr>
              <w:t>$9,036.80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February 8, 2007</w:t>
            </w: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February 29, 2008</w:t>
            </w:r>
          </w:p>
        </w:tc>
        <w:tc>
          <w:tcPr>
            <w:tcW w:w="2800" w:type="dxa"/>
            <w:vAlign w:val="bottom"/>
            <w:gridSpan w:val="2"/>
            <w:shd w:val="clear" w:color="auto" w:fill="CCEEFF"/>
          </w:tcPr>
          <w:p>
            <w:pPr>
              <w:jc w:val="center"/>
              <w:ind w:left="1717"/>
              <w:spacing w:after="0"/>
              <w:rPr>
                <w:sz w:val="20"/>
                <w:szCs w:val="20"/>
                <w:color w:val="auto"/>
              </w:rPr>
            </w:pPr>
            <w:r>
              <w:rPr>
                <w:rFonts w:ascii="Arial" w:cs="Arial" w:eastAsia="Arial" w:hAnsi="Arial"/>
                <w:sz w:val="18"/>
                <w:szCs w:val="18"/>
                <w:color w:val="auto"/>
                <w:w w:val="87"/>
              </w:rPr>
              <w:t>$39.60</w:t>
            </w:r>
          </w:p>
        </w:tc>
        <w:tc>
          <w:tcPr>
            <w:tcW w:w="1840" w:type="dxa"/>
            <w:vAlign w:val="bottom"/>
            <w:gridSpan w:val="2"/>
            <w:shd w:val="clear" w:color="auto" w:fill="CCEEFF"/>
          </w:tcPr>
          <w:p>
            <w:pPr>
              <w:jc w:val="center"/>
              <w:ind w:left="617"/>
              <w:spacing w:after="0"/>
              <w:rPr>
                <w:sz w:val="20"/>
                <w:szCs w:val="20"/>
                <w:color w:val="auto"/>
              </w:rPr>
            </w:pPr>
            <w:r>
              <w:rPr>
                <w:rFonts w:ascii="Arial" w:cs="Arial" w:eastAsia="Arial" w:hAnsi="Arial"/>
                <w:sz w:val="18"/>
                <w:szCs w:val="18"/>
                <w:color w:val="auto"/>
                <w:w w:val="87"/>
              </w:rPr>
              <w:t>$9,319.20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All such Base Rent shall be payable by Tenant in accordance with the terms of the Lease.</w:t>
      </w:r>
    </w:p>
    <w:p>
      <w:pPr>
        <w:spacing w:after="0" w:line="77" w:lineRule="exact"/>
        <w:rPr>
          <w:sz w:val="20"/>
          <w:szCs w:val="20"/>
          <w:color w:val="auto"/>
        </w:rPr>
      </w:pPr>
    </w:p>
    <w:p>
      <w:pPr>
        <w:ind w:left="912" w:right="60"/>
        <w:spacing w:after="0" w:line="291" w:lineRule="auto"/>
        <w:rPr>
          <w:sz w:val="20"/>
          <w:szCs w:val="20"/>
          <w:color w:val="auto"/>
        </w:rPr>
      </w:pPr>
      <w:r>
        <w:rPr>
          <w:rFonts w:ascii="Arial" w:cs="Arial" w:eastAsia="Arial" w:hAnsi="Arial"/>
          <w:sz w:val="16"/>
          <w:szCs w:val="16"/>
          <w:color w:val="auto"/>
        </w:rPr>
        <w:t>Landlord and Tenant acknowledge that the foregoing schedule is based on the assumption that the Suite 960 Expansion Effective Date is the Target Suite 960 Expansion Effective Date. If the Suite 960 Expansion Effective Date is other than the Target Suite 960 Expansion Effective Date, the schedule set forth above with respect to the payment of any installment(s) of Base Rent for the Suite 960 Expansion Space shall be appropriately adjusted on a per diem basis to reflect the actual Suite 960 Expansion Effective Date, and the actual Suite 960 Expansion Effective Date shall be set forth in a confirmation letter to be prepared by Landlord. However, the effective date of any increases or decreases in the Base Rent rate shall not be postponed as a result of an adjustment of the Suite 960 Expansion Effective Date as provided above</w:t>
      </w:r>
    </w:p>
    <w:p>
      <w:pPr>
        <w:spacing w:after="0" w:line="20" w:lineRule="exact"/>
        <w:rPr>
          <w:sz w:val="20"/>
          <w:szCs w:val="20"/>
          <w:color w:val="auto"/>
        </w:rPr>
      </w:pPr>
    </w:p>
    <w:p>
      <w:pPr>
        <w:ind w:left="452" w:hanging="452"/>
        <w:spacing w:after="0" w:line="258"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Upon Tenant’s execution hereof, Tenant shall pay Landlord the sum of $17,298.60 which is added to and becomes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Security Deposit held by Landlord as provided under Section 1.08 of the Lease and Section 4 of the First Amendment as security for payment of Rent and the performance of the other terms and conditions of the Lease by Tenant. Accordingly, simultaneous with the execution hereof, the Security Deposit is increased from $72,365.40 to </w:t>
      </w:r>
      <w:r>
        <w:rPr>
          <w:rFonts w:ascii="Arial" w:cs="Arial" w:eastAsia="Arial" w:hAnsi="Arial"/>
          <w:sz w:val="18"/>
          <w:szCs w:val="18"/>
          <w:b w:val="1"/>
          <w:bCs w:val="1"/>
          <w:color w:val="auto"/>
        </w:rPr>
        <w:t>$89,664.00</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Pro Rata Share.</w:t>
      </w:r>
    </w:p>
    <w:p>
      <w:pPr>
        <w:spacing w:after="0" w:line="77" w:lineRule="exact"/>
        <w:rPr>
          <w:sz w:val="20"/>
          <w:szCs w:val="20"/>
          <w:color w:val="auto"/>
        </w:rPr>
      </w:pPr>
    </w:p>
    <w:p>
      <w:pPr>
        <w:ind w:left="1132" w:right="140" w:hanging="566"/>
        <w:spacing w:after="0" w:line="275" w:lineRule="auto"/>
        <w:tabs>
          <w:tab w:leader="none" w:pos="1112"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8"/>
          <w:szCs w:val="18"/>
          <w:b w:val="1"/>
          <w:bCs w:val="1"/>
          <w:color w:val="auto"/>
        </w:rPr>
        <w:t xml:space="preserve">Suite 970 Expansion Space. </w:t>
      </w:r>
      <w:r>
        <w:rPr>
          <w:rFonts w:ascii="Arial" w:cs="Arial" w:eastAsia="Arial" w:hAnsi="Arial"/>
          <w:sz w:val="18"/>
          <w:szCs w:val="18"/>
          <w:color w:val="auto"/>
        </w:rPr>
        <w:t>For the period commencing with the Suite 970 Expansion Effective Date and ending on the Extended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Tenant’s Pro Rata Share for the Suite 970 Expansion Space is </w:t>
      </w:r>
      <w:r>
        <w:rPr>
          <w:rFonts w:ascii="Arial" w:cs="Arial" w:eastAsia="Arial" w:hAnsi="Arial"/>
          <w:sz w:val="18"/>
          <w:szCs w:val="18"/>
          <w:b w:val="1"/>
          <w:bCs w:val="1"/>
          <w:color w:val="auto"/>
        </w:rPr>
        <w:t>1.2862%</w:t>
      </w:r>
      <w:r>
        <w:rPr>
          <w:rFonts w:ascii="Arial" w:cs="Arial" w:eastAsia="Arial" w:hAnsi="Arial"/>
          <w:sz w:val="18"/>
          <w:szCs w:val="18"/>
          <w:color w:val="auto"/>
        </w:rPr>
        <w:t>.</w:t>
      </w:r>
    </w:p>
    <w:p>
      <w:pPr>
        <w:spacing w:after="0" w:line="25" w:lineRule="exact"/>
        <w:rPr>
          <w:sz w:val="20"/>
          <w:szCs w:val="20"/>
          <w:color w:val="auto"/>
        </w:rPr>
      </w:pPr>
    </w:p>
    <w:p>
      <w:pPr>
        <w:ind w:left="1132" w:right="140" w:hanging="566"/>
        <w:spacing w:after="0" w:line="275" w:lineRule="auto"/>
        <w:tabs>
          <w:tab w:leader="none" w:pos="1112"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8"/>
          <w:szCs w:val="18"/>
          <w:b w:val="1"/>
          <w:bCs w:val="1"/>
          <w:color w:val="auto"/>
        </w:rPr>
        <w:t xml:space="preserve">Suite 960 Expansion Space. </w:t>
      </w:r>
      <w:r>
        <w:rPr>
          <w:rFonts w:ascii="Arial" w:cs="Arial" w:eastAsia="Arial" w:hAnsi="Arial"/>
          <w:sz w:val="18"/>
          <w:szCs w:val="18"/>
          <w:color w:val="auto"/>
        </w:rPr>
        <w:t>For the period commencing with the Suite 960 Expansion Effective Date and ending on the Extended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Tenant’s Pro Rata Share for the Suite 960 Expansion Space is </w:t>
      </w:r>
      <w:r>
        <w:rPr>
          <w:rFonts w:ascii="Arial" w:cs="Arial" w:eastAsia="Arial" w:hAnsi="Arial"/>
          <w:sz w:val="18"/>
          <w:szCs w:val="18"/>
          <w:b w:val="1"/>
          <w:bCs w:val="1"/>
          <w:color w:val="auto"/>
        </w:rPr>
        <w:t>1.5021%</w:t>
      </w:r>
      <w:r>
        <w:rPr>
          <w:rFonts w:ascii="Arial" w:cs="Arial" w:eastAsia="Arial" w:hAnsi="Arial"/>
          <w:sz w:val="18"/>
          <w:szCs w:val="18"/>
          <w:color w:val="auto"/>
        </w:rPr>
        <w:t>.</w:t>
      </w:r>
    </w:p>
    <w:p>
      <w:pPr>
        <w:spacing w:after="0" w:line="25"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 and Taxes.</w:t>
      </w:r>
    </w:p>
    <w:p>
      <w:pPr>
        <w:spacing w:after="0" w:line="77" w:lineRule="exact"/>
        <w:rPr>
          <w:sz w:val="20"/>
          <w:szCs w:val="20"/>
          <w:color w:val="auto"/>
        </w:rPr>
      </w:pPr>
    </w:p>
    <w:p>
      <w:pPr>
        <w:ind w:left="1132" w:right="120" w:hanging="566"/>
        <w:spacing w:after="0" w:line="258" w:lineRule="auto"/>
        <w:tabs>
          <w:tab w:leader="none" w:pos="1112"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8"/>
          <w:szCs w:val="18"/>
          <w:b w:val="1"/>
          <w:bCs w:val="1"/>
          <w:color w:val="auto"/>
        </w:rPr>
        <w:t xml:space="preserve">Suite 970 Expansion Space. </w:t>
      </w:r>
      <w:r>
        <w:rPr>
          <w:rFonts w:ascii="Arial" w:cs="Arial" w:eastAsia="Arial" w:hAnsi="Arial"/>
          <w:sz w:val="18"/>
          <w:szCs w:val="18"/>
          <w:color w:val="auto"/>
        </w:rPr>
        <w:t>For the period commencing with the Suite 970 Expansion Effective Date and ending on the Extended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Tenant shall pay for Tenant’s Pro Rata Share of Expenses and Taxes applicable to the Suite 970 Expansion Space in accordance with the terms of the Lease, provided, however, during such period, the Base Year for the computation of Tenant’s Pro Rata Share of Expenses and Taxes applicable to the Suite 970 Expansion Space is 2005.</w:t>
      </w:r>
    </w:p>
    <w:p>
      <w:pPr>
        <w:spacing w:after="0" w:line="42" w:lineRule="exact"/>
        <w:rPr>
          <w:sz w:val="20"/>
          <w:szCs w:val="20"/>
          <w:color w:val="auto"/>
        </w:rPr>
      </w:pPr>
    </w:p>
    <w:p>
      <w:pPr>
        <w:ind w:left="1132" w:right="120" w:hanging="566"/>
        <w:spacing w:after="0" w:line="258" w:lineRule="auto"/>
        <w:tabs>
          <w:tab w:leader="none" w:pos="1112"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8"/>
          <w:szCs w:val="18"/>
          <w:b w:val="1"/>
          <w:bCs w:val="1"/>
          <w:color w:val="auto"/>
        </w:rPr>
        <w:t xml:space="preserve">Suite 960 Expansion Space. </w:t>
      </w:r>
      <w:r>
        <w:rPr>
          <w:rFonts w:ascii="Arial" w:cs="Arial" w:eastAsia="Arial" w:hAnsi="Arial"/>
          <w:sz w:val="18"/>
          <w:szCs w:val="18"/>
          <w:color w:val="auto"/>
        </w:rPr>
        <w:t>For the period commencing with the Suite 960 Expansion Effective Date and ending on the Extended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Tenant shall pay for Tenant’s Pro Rata Share of Expenses and Taxes applicable to the Suite 960 Expansion Space in accordance with the terms of the Lease, provided, however, during such period, the Base Year for the computation of Tenant’s Pro Rata Share of Expenses and Taxes applicable to the Suite 960 Expansion Space is 2005.</w:t>
      </w:r>
    </w:p>
    <w:p>
      <w:pPr>
        <w:spacing w:after="0" w:line="42"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Improvements to Expansion Spaces.</w:t>
      </w:r>
    </w:p>
    <w:p>
      <w:pPr>
        <w:spacing w:after="0" w:line="77" w:lineRule="exact"/>
        <w:rPr>
          <w:sz w:val="20"/>
          <w:szCs w:val="20"/>
          <w:color w:val="auto"/>
        </w:rPr>
      </w:pPr>
    </w:p>
    <w:p>
      <w:pPr>
        <w:ind w:left="1132" w:right="440" w:hanging="566"/>
        <w:spacing w:after="0" w:line="275" w:lineRule="auto"/>
        <w:tabs>
          <w:tab w:leader="none" w:pos="1112"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b w:val="1"/>
          <w:bCs w:val="1"/>
          <w:color w:val="auto"/>
        </w:rPr>
        <w:t xml:space="preserve">Condition of Expansion Spaces. </w:t>
      </w:r>
      <w:r>
        <w:rPr>
          <w:rFonts w:ascii="Arial" w:cs="Arial" w:eastAsia="Arial" w:hAnsi="Arial"/>
          <w:sz w:val="18"/>
          <w:szCs w:val="18"/>
          <w:color w:val="auto"/>
        </w:rPr>
        <w:t>Tenant has inspected the Expansion Spaces and, subject to Section 7.02, agrees to accept the same “as is”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any</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33" w:name="page34"/>
    <w:bookmarkEnd w:id="33"/>
    <w:p>
      <w:pPr>
        <w:ind w:left="113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 representations, understandings or obligations on the part of Landlord to perform any alterations, repairs or improvements.</w:t>
      </w:r>
    </w:p>
    <w:p>
      <w:pPr>
        <w:spacing w:after="0" w:line="94" w:lineRule="exact"/>
        <w:rPr>
          <w:sz w:val="20"/>
          <w:szCs w:val="20"/>
          <w:color w:val="auto"/>
        </w:rPr>
      </w:pPr>
    </w:p>
    <w:p>
      <w:pPr>
        <w:ind w:left="1132" w:right="40" w:hanging="566"/>
        <w:spacing w:after="0" w:line="275" w:lineRule="auto"/>
        <w:tabs>
          <w:tab w:leader="none" w:pos="1112"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8"/>
          <w:szCs w:val="18"/>
          <w:b w:val="1"/>
          <w:bCs w:val="1"/>
          <w:color w:val="auto"/>
        </w:rPr>
        <w:t xml:space="preserve">Responsibility for Improvements to Expansion Spaces. </w:t>
      </w:r>
      <w:r>
        <w:rPr>
          <w:rFonts w:ascii="Arial" w:cs="Arial" w:eastAsia="Arial" w:hAnsi="Arial"/>
          <w:sz w:val="18"/>
          <w:szCs w:val="18"/>
          <w:color w:val="auto"/>
        </w:rPr>
        <w:t>Landlord shall perform improvements to the Expansion Spaces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Work Letter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25" w:lineRule="exact"/>
        <w:rPr>
          <w:sz w:val="20"/>
          <w:szCs w:val="20"/>
          <w:color w:val="auto"/>
        </w:rPr>
      </w:pPr>
    </w:p>
    <w:p>
      <w:pPr>
        <w:ind w:left="452" w:right="60" w:hanging="452"/>
        <w:spacing w:after="0" w:line="291"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b w:val="1"/>
          <w:bCs w:val="1"/>
          <w:u w:val="single" w:color="auto"/>
          <w:color w:val="auto"/>
        </w:rPr>
        <w:t>Early Access to Expansion Spaces.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is permitted to take possession of the Expansion Spaces upon the full and final execution of this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by Landlord and Tenant. Such possession shall be subject to the terms and conditions of the Lease and this Amendment and, except for the cost of services requested by Tenant (e.g. freight elevator usage), Tenant shall not be required to pay Rent for the Expansion Spaces for any days of possession before the respective effective dates. Landlord may withdraw such permission to enter the Expansion Spaces at any time that Landlord reasonably determines that such entry by Tenant is causing a dangerous situation for Landlord, Tenant or their respective contractors or employees, or if Landlord reasonably determines that such entry by Tenant is hampering or otherwise preventing Landlord from proceeding with the completion of Landlord’s Work at the earliest possible date.</w:t>
      </w:r>
    </w:p>
    <w:p>
      <w:pPr>
        <w:spacing w:after="0" w:line="18" w:lineRule="exact"/>
        <w:rPr>
          <w:rFonts w:ascii="Arial" w:cs="Arial" w:eastAsia="Arial" w:hAnsi="Arial"/>
          <w:sz w:val="16"/>
          <w:szCs w:val="16"/>
          <w:color w:val="auto"/>
        </w:rPr>
      </w:pPr>
    </w:p>
    <w:p>
      <w:pPr>
        <w:ind w:left="452" w:right="780" w:hanging="452"/>
        <w:spacing w:after="0" w:line="275" w:lineRule="auto"/>
        <w:tabs>
          <w:tab w:leader="none" w:pos="45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Pertinent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agree that, effective as of the date of this Amendment (unless different effective date(s) is/are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referenced in this Section), the Lease shall be amended in the following additional respects:</w:t>
      </w:r>
    </w:p>
    <w:p>
      <w:pPr>
        <w:spacing w:after="0" w:line="25" w:lineRule="exact"/>
        <w:rPr>
          <w:sz w:val="20"/>
          <w:szCs w:val="20"/>
          <w:color w:val="auto"/>
        </w:rPr>
      </w:pPr>
    </w:p>
    <w:p>
      <w:pPr>
        <w:jc w:val="center"/>
        <w:ind w:left="520"/>
        <w:spacing w:after="0"/>
        <w:tabs>
          <w:tab w:leader="none" w:pos="20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5"/>
          <w:szCs w:val="15"/>
          <w:b w:val="1"/>
          <w:bCs w:val="1"/>
          <w:color w:val="auto"/>
        </w:rPr>
        <w:t xml:space="preserve">Parking. </w:t>
      </w:r>
      <w:r>
        <w:rPr>
          <w:rFonts w:ascii="Arial" w:cs="Arial" w:eastAsia="Arial" w:hAnsi="Arial"/>
          <w:sz w:val="15"/>
          <w:szCs w:val="15"/>
          <w:color w:val="auto"/>
        </w:rPr>
        <w:t>For the period commencing with the Suite 970 Expansion Effective Date and ending on the Extended Termination Date and pursuant to</w:t>
      </w:r>
    </w:p>
    <w:p>
      <w:pPr>
        <w:spacing w:after="0" w:line="21" w:lineRule="exact"/>
        <w:rPr>
          <w:sz w:val="20"/>
          <w:szCs w:val="20"/>
          <w:color w:val="auto"/>
        </w:rPr>
      </w:pPr>
    </w:p>
    <w:p>
      <w:pPr>
        <w:ind w:left="1132" w:right="60"/>
        <w:spacing w:after="0" w:line="253" w:lineRule="auto"/>
        <w:rPr>
          <w:sz w:val="20"/>
          <w:szCs w:val="20"/>
          <w:color w:val="auto"/>
        </w:rPr>
      </w:pPr>
      <w:r>
        <w:rPr>
          <w:rFonts w:ascii="Arial" w:cs="Arial" w:eastAsia="Arial" w:hAnsi="Arial"/>
          <w:sz w:val="18"/>
          <w:szCs w:val="18"/>
          <w:color w:val="auto"/>
        </w:rPr>
        <w:t>the terms and conditions set forth in Exhibit G, “Parking Agreement” of the Lease, Landlord hereby grants to Tenant the right to lease 17 additional unreserved parking spaces (the “</w:t>
      </w:r>
      <w:r>
        <w:rPr>
          <w:rFonts w:ascii="Arial" w:cs="Arial" w:eastAsia="Arial" w:hAnsi="Arial"/>
          <w:sz w:val="18"/>
          <w:szCs w:val="18"/>
          <w:b w:val="1"/>
          <w:bCs w:val="1"/>
          <w:color w:val="auto"/>
        </w:rPr>
        <w:t>Additional Spaces</w:t>
      </w:r>
      <w:r>
        <w:rPr>
          <w:rFonts w:ascii="Arial" w:cs="Arial" w:eastAsia="Arial" w:hAnsi="Arial"/>
          <w:sz w:val="18"/>
          <w:szCs w:val="18"/>
          <w:color w:val="auto"/>
        </w:rPr>
        <w:t>”) in the Parking Facility. The initial charge for such Additional Spaces is $50.00 per unreserved parking space, per month, subject to change from time to time. No deductions from the monthly charge shall be made for days on which the Parking Facility is not used by Tenant. Except as modified herein, the use of the Additional Spaces shall be subject to the terms of the Lease</w:t>
      </w:r>
    </w:p>
    <w:p>
      <w:pPr>
        <w:spacing w:after="0" w:line="45" w:lineRule="exact"/>
        <w:rPr>
          <w:sz w:val="20"/>
          <w:szCs w:val="20"/>
          <w:color w:val="auto"/>
        </w:rPr>
      </w:pPr>
    </w:p>
    <w:p>
      <w:pPr>
        <w:ind w:left="1132" w:hanging="566"/>
        <w:spacing w:after="0" w:line="290" w:lineRule="auto"/>
        <w:tabs>
          <w:tab w:leader="none" w:pos="1112"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b w:val="1"/>
          <w:bCs w:val="1"/>
          <w:color w:val="auto"/>
        </w:rPr>
        <w:t>Relocation</w:t>
      </w:r>
      <w:r>
        <w:rPr>
          <w:rFonts w:ascii="Arial" w:cs="Arial" w:eastAsia="Arial" w:hAnsi="Arial"/>
          <w:sz w:val="16"/>
          <w:szCs w:val="16"/>
          <w:color w:val="auto"/>
        </w:rPr>
        <w:t>. Landlord shall not relocate Tenant at any time during the Extended Term (as defined in the First Amendment) from the Premises (i.e.</w:t>
      </w:r>
      <w:r>
        <w:rPr>
          <w:rFonts w:ascii="Arial" w:cs="Arial" w:eastAsia="Arial" w:hAnsi="Arial"/>
          <w:sz w:val="16"/>
          <w:szCs w:val="16"/>
          <w:b w:val="1"/>
          <w:bCs w:val="1"/>
          <w:color w:val="auto"/>
        </w:rPr>
        <w:t xml:space="preserve"> </w:t>
      </w:r>
      <w:r>
        <w:rPr>
          <w:rFonts w:ascii="Arial" w:cs="Arial" w:eastAsia="Arial" w:hAnsi="Arial"/>
          <w:sz w:val="16"/>
          <w:szCs w:val="16"/>
          <w:color w:val="auto"/>
        </w:rPr>
        <w:t>the Original Premises, the Suite 970 Expansion Space and the Suite 960 Expansion Space); provided, however, Landlord may have the right to relocate Tenant to space of reasonably comparable size and utility (“</w:t>
      </w:r>
      <w:r>
        <w:rPr>
          <w:rFonts w:ascii="Arial" w:cs="Arial" w:eastAsia="Arial" w:hAnsi="Arial"/>
          <w:sz w:val="16"/>
          <w:szCs w:val="16"/>
          <w:b w:val="1"/>
          <w:bCs w:val="1"/>
          <w:color w:val="auto"/>
        </w:rPr>
        <w:t>Relocation Space</w:t>
      </w:r>
      <w:r>
        <w:rPr>
          <w:rFonts w:ascii="Arial" w:cs="Arial" w:eastAsia="Arial" w:hAnsi="Arial"/>
          <w:sz w:val="16"/>
          <w:szCs w:val="16"/>
          <w:color w:val="auto"/>
        </w:rPr>
        <w:t>”) if Heller, Ehrman, White &amp; McCaulife (or its successors) (“</w:t>
      </w:r>
      <w:r>
        <w:rPr>
          <w:rFonts w:ascii="Arial" w:cs="Arial" w:eastAsia="Arial" w:hAnsi="Arial"/>
          <w:sz w:val="16"/>
          <w:szCs w:val="16"/>
          <w:b w:val="1"/>
          <w:bCs w:val="1"/>
          <w:color w:val="auto"/>
        </w:rPr>
        <w:t>Heller</w:t>
      </w:r>
      <w:r>
        <w:rPr>
          <w:rFonts w:ascii="Arial" w:cs="Arial" w:eastAsia="Arial" w:hAnsi="Arial"/>
          <w:sz w:val="16"/>
          <w:szCs w:val="16"/>
          <w:color w:val="auto"/>
        </w:rPr>
        <w:t>”) or Smith Barney (or its successors) (“</w:t>
      </w:r>
      <w:r>
        <w:rPr>
          <w:rFonts w:ascii="Arial" w:cs="Arial" w:eastAsia="Arial" w:hAnsi="Arial"/>
          <w:sz w:val="16"/>
          <w:szCs w:val="16"/>
          <w:b w:val="1"/>
          <w:bCs w:val="1"/>
          <w:color w:val="auto"/>
        </w:rPr>
        <w:t>Smith Barney</w:t>
      </w:r>
      <w:r>
        <w:rPr>
          <w:rFonts w:ascii="Arial" w:cs="Arial" w:eastAsia="Arial" w:hAnsi="Arial"/>
          <w:sz w:val="16"/>
          <w:szCs w:val="16"/>
          <w:color w:val="auto"/>
        </w:rPr>
        <w:t>”) elect to expand (whether by option or otherwise) into all or a portion of the Premises. In the event Heller or Smith Barney elect to expand into all or a portion of the Premises and Landlord elects to relocate Tenant during the Extended Term, the Base Rent and Tenant’s Pro Rata Share shall be adjusted based on the rentable square footage of the Relocation Space from and after the date of the relocation. Landlord shall pay Tenant’s reasonable costs of relocation in accordance with the terms and conditions outlined in Section 21 of the Lease.</w:t>
      </w:r>
    </w:p>
    <w:p>
      <w:pPr>
        <w:spacing w:after="0" w:line="18" w:lineRule="exact"/>
        <w:rPr>
          <w:sz w:val="20"/>
          <w:szCs w:val="20"/>
          <w:color w:val="auto"/>
        </w:rPr>
      </w:pPr>
    </w:p>
    <w:p>
      <w:pPr>
        <w:ind w:left="1132" w:hanging="566"/>
        <w:spacing w:after="0" w:line="262" w:lineRule="auto"/>
        <w:tabs>
          <w:tab w:leader="none" w:pos="1112"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8"/>
          <w:szCs w:val="18"/>
          <w:b w:val="1"/>
          <w:bCs w:val="1"/>
          <w:color w:val="auto"/>
        </w:rPr>
        <w:t>Renewal Option</w:t>
      </w:r>
      <w:r>
        <w:rPr>
          <w:rFonts w:ascii="Arial" w:cs="Arial" w:eastAsia="Arial" w:hAnsi="Arial"/>
          <w:sz w:val="18"/>
          <w:szCs w:val="18"/>
          <w:color w:val="auto"/>
        </w:rPr>
        <w:t>. Effective as of the Suite 970 Expansion Effective Date, the Renewal Option as set forth in Exhibit F of the Lease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the Suite 970 Expansion Space. Effective as of the Suite 960 Expansion Effective Date, the Renewal Option as set forth in Exhibit F of the Lease shall be applicable to the Suite 960 Expansion Space.</w:t>
      </w:r>
    </w:p>
    <w:p>
      <w:pPr>
        <w:spacing w:after="0" w:line="38"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b w:val="1"/>
          <w:bCs w:val="1"/>
          <w:color w:val="auto"/>
        </w:rPr>
        <w:t>9.04.</w:t>
      </w:r>
      <w:r>
        <w:rPr>
          <w:sz w:val="20"/>
          <w:szCs w:val="20"/>
          <w:color w:val="auto"/>
        </w:rPr>
        <w:tab/>
      </w:r>
      <w:r>
        <w:rPr>
          <w:rFonts w:ascii="Arial" w:cs="Arial" w:eastAsia="Arial" w:hAnsi="Arial"/>
          <w:sz w:val="16"/>
          <w:szCs w:val="16"/>
          <w:b w:val="1"/>
          <w:bCs w:val="1"/>
          <w:color w:val="auto"/>
        </w:rPr>
        <w:t>Right of First Offer.</w:t>
      </w:r>
    </w:p>
    <w:p>
      <w:pPr>
        <w:spacing w:after="0" w:line="77" w:lineRule="exact"/>
        <w:rPr>
          <w:sz w:val="20"/>
          <w:szCs w:val="20"/>
          <w:color w:val="auto"/>
        </w:rPr>
      </w:pPr>
    </w:p>
    <w:p>
      <w:pPr>
        <w:ind w:left="1472" w:right="20" w:hanging="567"/>
        <w:spacing w:after="0" w:line="244" w:lineRule="auto"/>
        <w:tabs>
          <w:tab w:leader="none" w:pos="147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Grant of Option; Conditions.</w:t>
      </w:r>
      <w:r>
        <w:rPr>
          <w:rFonts w:ascii="Arial" w:cs="Arial" w:eastAsia="Arial" w:hAnsi="Arial"/>
          <w:sz w:val="18"/>
          <w:szCs w:val="18"/>
          <w:color w:val="auto"/>
        </w:rPr>
        <w:t xml:space="preserve"> Tenant shall have the one time right of first offer (the “Right of First Offer”) with respect to the </w:t>
      </w:r>
      <w:r>
        <w:rPr>
          <w:rFonts w:ascii="Arial" w:cs="Arial" w:eastAsia="Arial" w:hAnsi="Arial"/>
          <w:sz w:val="18"/>
          <w:szCs w:val="18"/>
          <w:b w:val="1"/>
          <w:bCs w:val="1"/>
          <w:color w:val="auto"/>
        </w:rPr>
        <w:t>1,929</w:t>
      </w:r>
      <w:r>
        <w:rPr>
          <w:rFonts w:ascii="Arial" w:cs="Arial" w:eastAsia="Arial" w:hAnsi="Arial"/>
          <w:sz w:val="18"/>
          <w:szCs w:val="18"/>
          <w:color w:val="auto"/>
        </w:rPr>
        <w:t xml:space="preserve"> rentable square feet known as Suite No. 980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of the Building shown on the demising plan attached hereto as </w:t>
      </w:r>
      <w:r>
        <w:rPr>
          <w:rFonts w:ascii="Arial" w:cs="Arial" w:eastAsia="Arial" w:hAnsi="Arial"/>
          <w:sz w:val="18"/>
          <w:szCs w:val="18"/>
          <w:b w:val="1"/>
          <w:bCs w:val="1"/>
          <w:color w:val="auto"/>
        </w:rPr>
        <w:t>Exhibit A-2</w:t>
      </w:r>
      <w:r>
        <w:rPr>
          <w:rFonts w:ascii="Arial" w:cs="Arial" w:eastAsia="Arial" w:hAnsi="Arial"/>
          <w:sz w:val="18"/>
          <w:szCs w:val="18"/>
          <w:color w:val="auto"/>
        </w:rPr>
        <w:t xml:space="preserve"> (the “Offering Space”). Tenant’s Right of First Offer shall be exercised as follows: at any time after Landlord has determined that (i) the existing tenant in the Offering Space will not extend or renew the term of its lease, or enter into a new lease for the Offering Space and (ii) the Expansion Tenants (defined in Section 9.04.E below) will not exercise their expansion rights to lease the Offering Space (but prior to leasing such Offering Space to a third party</w:t>
      </w:r>
    </w:p>
    <w:p>
      <w:pPr>
        <w:spacing w:after="0" w:line="14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34" w:name="page35"/>
    <w:bookmarkEnd w:id="34"/>
    <w:p>
      <w:pPr>
        <w:ind w:left="567"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existing tenant), Landlord shall advise Tenant (the “Advice”) of the terms under which Landlord is prepared to lease the Offering Space to Tenant for the remainder of the Term, which terms shall reflect the Prevailing Market (hereinafter defined) rate for such Offering Space as reasonably determined by Landlord. Tenant may elect to lease such Offering Space in its entirety only, under such terms, by delivering written notice of exercise to Landlord (the “Notice of Exercise”) within 5 days after receiving the Advice. Tenant shall have no such Right of First Offer and Landlord need not provide Tenant with an Advice, if:</w:t>
      </w:r>
    </w:p>
    <w:p>
      <w:pPr>
        <w:spacing w:after="0" w:line="21" w:lineRule="exact"/>
        <w:rPr>
          <w:sz w:val="20"/>
          <w:szCs w:val="20"/>
          <w:color w:val="auto"/>
        </w:rPr>
      </w:pPr>
    </w:p>
    <w:p>
      <w:pPr>
        <w:ind w:left="1007" w:right="60" w:hanging="440"/>
        <w:spacing w:after="0" w:line="268" w:lineRule="auto"/>
        <w:tabs>
          <w:tab w:leader="none" w:pos="10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Tenant is in default under the Lease beyond any applicable cure periods at the time that Landlord would otherwise deliver the Advice; or</w:t>
      </w:r>
    </w:p>
    <w:p>
      <w:pPr>
        <w:spacing w:after="0" w:line="37" w:lineRule="exact"/>
        <w:rPr>
          <w:rFonts w:ascii="Arial" w:cs="Arial" w:eastAsia="Arial" w:hAnsi="Arial"/>
          <w:sz w:val="18"/>
          <w:szCs w:val="18"/>
          <w:color w:val="auto"/>
        </w:rPr>
      </w:pPr>
    </w:p>
    <w:p>
      <w:pPr>
        <w:ind w:left="1007" w:right="20" w:hanging="440"/>
        <w:spacing w:after="0" w:line="268" w:lineRule="auto"/>
        <w:tabs>
          <w:tab w:leader="none" w:pos="10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Premises, or any portion thereof, is sublet (other than pursuant to a Permitted Transfer, as defined in Section 11 of the Lease) at the time Landlord would otherwise deliver the Advice; or</w:t>
      </w:r>
    </w:p>
    <w:p>
      <w:pPr>
        <w:spacing w:after="0" w:line="37" w:lineRule="exact"/>
        <w:rPr>
          <w:rFonts w:ascii="Arial" w:cs="Arial" w:eastAsia="Arial" w:hAnsi="Arial"/>
          <w:sz w:val="18"/>
          <w:szCs w:val="18"/>
          <w:color w:val="auto"/>
        </w:rPr>
      </w:pPr>
    </w:p>
    <w:p>
      <w:pPr>
        <w:ind w:left="1007" w:right="500" w:hanging="440"/>
        <w:spacing w:after="0" w:line="268" w:lineRule="auto"/>
        <w:tabs>
          <w:tab w:leader="none" w:pos="10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Lease has been assigned (other than pursuant to a Permitted Transfer, as defined in Section 11 of the Lease) prior to the date Landlord would otherwise deliver the Advice; or</w:t>
      </w:r>
    </w:p>
    <w:p>
      <w:pPr>
        <w:spacing w:after="0" w:line="37" w:lineRule="exact"/>
        <w:rPr>
          <w:rFonts w:ascii="Arial" w:cs="Arial" w:eastAsia="Arial" w:hAnsi="Arial"/>
          <w:sz w:val="18"/>
          <w:szCs w:val="18"/>
          <w:color w:val="auto"/>
        </w:rPr>
      </w:pPr>
    </w:p>
    <w:p>
      <w:pPr>
        <w:ind w:left="1007" w:hanging="440"/>
        <w:spacing w:after="0"/>
        <w:tabs>
          <w:tab w:leader="none" w:pos="10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Tenant is not occupying the Premises on the date Landlord would otherwise deliver the Advice; or</w:t>
      </w:r>
    </w:p>
    <w:p>
      <w:pPr>
        <w:spacing w:after="0" w:line="77" w:lineRule="exact"/>
        <w:rPr>
          <w:sz w:val="20"/>
          <w:szCs w:val="20"/>
          <w:color w:val="auto"/>
        </w:rPr>
      </w:pPr>
    </w:p>
    <w:p>
      <w:pPr>
        <w:ind w:left="587" w:right="400"/>
        <w:spacing w:after="0" w:line="268" w:lineRule="auto"/>
        <w:rPr>
          <w:sz w:val="20"/>
          <w:szCs w:val="20"/>
          <w:color w:val="auto"/>
        </w:rPr>
      </w:pPr>
      <w:r>
        <w:rPr>
          <w:rFonts w:ascii="Arial" w:cs="Arial" w:eastAsia="Arial" w:hAnsi="Arial"/>
          <w:sz w:val="18"/>
          <w:szCs w:val="18"/>
          <w:color w:val="auto"/>
        </w:rPr>
        <w:t>Notwithstanding the foregoing, if Tenant is in violation of one of the conditions stated above, Landlord shall provide Tenant reasonable notice of such violation in lieu of providing the Advice.</w:t>
      </w:r>
    </w:p>
    <w:p>
      <w:pPr>
        <w:spacing w:after="0" w:line="37" w:lineRule="exact"/>
        <w:rPr>
          <w:sz w:val="20"/>
          <w:szCs w:val="20"/>
          <w:color w:val="auto"/>
        </w:rPr>
      </w:pPr>
    </w:p>
    <w:p>
      <w:pPr>
        <w:ind w:left="567" w:hanging="567"/>
        <w:spacing w:after="0"/>
        <w:tabs>
          <w:tab w:leader="none" w:pos="56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Terms for Offering Space.</w:t>
      </w:r>
    </w:p>
    <w:p>
      <w:pPr>
        <w:spacing w:after="0" w:line="76" w:lineRule="exact"/>
        <w:rPr>
          <w:rFonts w:ascii="Arial" w:cs="Arial" w:eastAsia="Arial" w:hAnsi="Arial"/>
          <w:sz w:val="18"/>
          <w:szCs w:val="18"/>
          <w:color w:val="auto"/>
        </w:rPr>
      </w:pPr>
    </w:p>
    <w:p>
      <w:pPr>
        <w:ind w:left="1007" w:hanging="440"/>
        <w:spacing w:after="0" w:line="256" w:lineRule="auto"/>
        <w:tabs>
          <w:tab w:leader="none" w:pos="10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term for the Offering Space shall commence upon the effective date set forth in the Offering Amendment (defined below) and thereupon such Offering Space shall be considered a part of the Premises, provided that all of the terms stated in the Advice shall govern Tenant’s leasing of the Offering Space and only to the extent that they do not conflict with the Advice, the terms and conditions of this Lease shall apply to the Offering Space.</w:t>
      </w:r>
    </w:p>
    <w:p>
      <w:pPr>
        <w:spacing w:after="0" w:line="48" w:lineRule="exact"/>
        <w:rPr>
          <w:rFonts w:ascii="Arial" w:cs="Arial" w:eastAsia="Arial" w:hAnsi="Arial"/>
          <w:sz w:val="18"/>
          <w:szCs w:val="18"/>
          <w:color w:val="auto"/>
        </w:rPr>
      </w:pPr>
    </w:p>
    <w:p>
      <w:pPr>
        <w:jc w:val="both"/>
        <w:ind w:left="1007" w:right="200" w:hanging="440"/>
        <w:spacing w:after="0" w:line="259" w:lineRule="auto"/>
        <w:tabs>
          <w:tab w:leader="none" w:pos="10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Tenant shall pay Base Rent and Additional Rent for the Offering Space in accordance with the terms and conditions of the Offering Amendment, which terms and conditions shall reflect the Prevailing Market rate for the Offering Space as determined in Landlord’s reasonable judgment.</w:t>
      </w:r>
    </w:p>
    <w:p>
      <w:pPr>
        <w:spacing w:after="0" w:line="45" w:lineRule="exact"/>
        <w:rPr>
          <w:rFonts w:ascii="Arial" w:cs="Arial" w:eastAsia="Arial" w:hAnsi="Arial"/>
          <w:sz w:val="18"/>
          <w:szCs w:val="18"/>
          <w:color w:val="auto"/>
        </w:rPr>
      </w:pPr>
    </w:p>
    <w:p>
      <w:pPr>
        <w:ind w:left="1007" w:hanging="440"/>
        <w:spacing w:after="0" w:line="290" w:lineRule="auto"/>
        <w:tabs>
          <w:tab w:leader="none" w:pos="1007"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Offering Space (including improvements and personalty, if any) shall be accepted by Tenant in its condition and as-built configuration existing on the earlier of the date Tenant takes possession of the Offering Space or as of the date the term for such Offering Space commences, unless the Offering Amendment specifies any work to be performed by Landlord in the Offering Space, in which case Landlord shall perform such work in the Offering Space. If Landlord is delayed delivering possession of the Offering Space due to the holdover or unlawful possession of the Offering Space by any party, Landlord shall use reasonable efforts to obtain possession of the space, and the commencement of the term for the Offering Space shall be postponed, as will be described in the Offering Amendment, until the date Landlord delivers possession of the Offering Space to Tenant free from occupancy by any party.</w:t>
      </w:r>
    </w:p>
    <w:p>
      <w:pPr>
        <w:spacing w:after="0" w:line="23" w:lineRule="exact"/>
        <w:rPr>
          <w:rFonts w:ascii="Arial" w:cs="Arial" w:eastAsia="Arial" w:hAnsi="Arial"/>
          <w:sz w:val="16"/>
          <w:szCs w:val="16"/>
          <w:color w:val="auto"/>
        </w:rPr>
      </w:pPr>
    </w:p>
    <w:p>
      <w:pPr>
        <w:ind w:left="567" w:hanging="567"/>
        <w:spacing w:after="0" w:line="256" w:lineRule="auto"/>
        <w:tabs>
          <w:tab w:leader="none" w:pos="56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Offer.</w:t>
      </w:r>
      <w:r>
        <w:rPr>
          <w:rFonts w:ascii="Arial" w:cs="Arial" w:eastAsia="Arial" w:hAnsi="Arial"/>
          <w:sz w:val="18"/>
          <w:szCs w:val="18"/>
          <w:color w:val="auto"/>
        </w:rPr>
        <w:t xml:space="preserve"> The rights of Tenant hereunder with respect to the Offering Space shall terminate on the earlier to occur of: (i) Tenant’s failure to exercise its Right of First Offer within the 5 day period provided in Section 9.04.A above; and (ii) the date Landlord would have provided Tenant an Advice if Tenant had not been in violation of one or more of the conditions set forth in Section A above. In addition, if</w:t>
      </w:r>
    </w:p>
    <w:p>
      <w:pPr>
        <w:spacing w:after="0" w:line="130"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7"/>
          </w:cols>
          <w:pgMar w:left="1153" w:top="280" w:right="259" w:bottom="1440" w:gutter="0" w:footer="0" w:header="0"/>
        </w:sectPr>
      </w:pPr>
    </w:p>
    <w:bookmarkStart w:id="35" w:name="page36"/>
    <w:bookmarkEnd w:id="35"/>
    <w:p>
      <w:pPr>
        <w:ind w:left="148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 provides Tenant with an Advice for any portion of the Offering Space and Tenant does not exercise its Right of First Offer to lease the Offering Space described in the Advice, Tenant’s Right of First Offer with respect to the “Encumbered Offering Space” (i.e., other portion(s) of the Offering Space subject to expansion rights) shall be terminated.</w:t>
      </w:r>
    </w:p>
    <w:p>
      <w:pPr>
        <w:spacing w:after="0" w:line="46" w:lineRule="exact"/>
        <w:rPr>
          <w:sz w:val="20"/>
          <w:szCs w:val="20"/>
          <w:color w:val="auto"/>
        </w:rPr>
      </w:pPr>
    </w:p>
    <w:p>
      <w:pPr>
        <w:ind w:left="1480" w:right="40" w:hanging="567"/>
        <w:spacing w:after="0" w:line="291"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Offering Amendment.</w:t>
      </w:r>
      <w:r>
        <w:rPr>
          <w:rFonts w:ascii="Arial" w:cs="Arial" w:eastAsia="Arial" w:hAnsi="Arial"/>
          <w:sz w:val="16"/>
          <w:szCs w:val="16"/>
          <w:color w:val="auto"/>
        </w:rPr>
        <w:t xml:space="preserve"> If Tenant exercises its Right of First Offer, Landlord shall prepare an amendment (the “Offering Amendment”) adding the Offering Space to the Premises on the terms set forth in the Advice and reflecting the changes in the Base Rent, Rentable Square Footage of the Premises, Tenant’s Pro Rata Share and other appropriate terms. A copy of the Offering Amendment shall be sent to Tenant within a reasonable time after Landlord’s receipt of the Notice of Exercise executed by Tenant, and Tenant shall review and provide comment to Landlord within a reasonable time frame, but no longer than 10 days. Tenant shall execute and return the mutually agreed upon Offering Amendment to Landlord within 15 days of receipt from Landlord.</w:t>
      </w:r>
    </w:p>
    <w:p>
      <w:pPr>
        <w:spacing w:after="0" w:line="25" w:lineRule="exact"/>
        <w:rPr>
          <w:rFonts w:ascii="Arial" w:cs="Arial" w:eastAsia="Arial" w:hAnsi="Arial"/>
          <w:sz w:val="16"/>
          <w:szCs w:val="16"/>
          <w:color w:val="auto"/>
        </w:rPr>
      </w:pPr>
    </w:p>
    <w:p>
      <w:pPr>
        <w:ind w:left="1480" w:hanging="567"/>
        <w:spacing w:after="0" w:line="288"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Definition of Prevailing Market.</w:t>
      </w:r>
      <w:r>
        <w:rPr>
          <w:rFonts w:ascii="Arial" w:cs="Arial" w:eastAsia="Arial" w:hAnsi="Arial"/>
          <w:sz w:val="16"/>
          <w:szCs w:val="16"/>
          <w:color w:val="auto"/>
        </w:rPr>
        <w:t xml:space="preserve"> For purposes of this Right of First Offer provision, “Prevailing Market” shall mean the annual rental rate per square foot for space comparable to the Offering Space in the Building and office buildings comparable to the Building in the vicinity of the Building under leases and renewal and expansion amendments being entered into at or about the time that Prevailing Market is being determined, giving appropriate consideration to tenant concessions, brokerage commissions, tenant improvement allowances, existing improvements in the space in question, and the method of allocating operating expenses and taxes. Notwithstanding the foregoing, space leased under any of the following circumstances shall not be considered to be comparable for purposes hereof: (i) the lease term is for less than the lease term of the Offering Space, (ii) the space is encumbered by the option rights of another tenant, or (iii) the space has a lack of windows and/or an awkward or unusual shape or configuration. The foregoing is not intended to be an exclusive list of space that will not be considered to be comparable.</w:t>
      </w:r>
    </w:p>
    <w:p>
      <w:pPr>
        <w:spacing w:after="0" w:line="25" w:lineRule="exact"/>
        <w:rPr>
          <w:rFonts w:ascii="Arial" w:cs="Arial" w:eastAsia="Arial" w:hAnsi="Arial"/>
          <w:sz w:val="16"/>
          <w:szCs w:val="16"/>
          <w:color w:val="auto"/>
        </w:rPr>
      </w:pPr>
    </w:p>
    <w:p>
      <w:pPr>
        <w:jc w:val="both"/>
        <w:ind w:left="1480" w:right="300" w:hanging="567"/>
        <w:spacing w:after="0" w:line="306"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Notwithstanding anything herein to the contrary, Tenant’s Right of First Offer is subject and subordinate to the expansion rights (whether such rights are designated as a right of first offer, right of first refusal, expansion option or otherwise) of any tenant of the Building (including Heller and Smith Barney) existing on the date hereof (collectively, the “Expansion Tenants”).</w:t>
      </w:r>
    </w:p>
    <w:p>
      <w:pPr>
        <w:spacing w:after="0" w:line="8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83" w:lineRule="exact"/>
        <w:rPr>
          <w:sz w:val="20"/>
          <w:szCs w:val="20"/>
          <w:color w:val="auto"/>
        </w:rPr>
      </w:pPr>
    </w:p>
    <w:p>
      <w:pPr>
        <w:ind w:left="1140" w:right="20" w:hanging="566"/>
        <w:spacing w:after="0" w:line="290" w:lineRule="auto"/>
        <w:rPr>
          <w:sz w:val="20"/>
          <w:szCs w:val="20"/>
          <w:color w:val="auto"/>
        </w:rPr>
      </w:pPr>
      <w:r>
        <w:rPr>
          <w:rFonts w:ascii="Arial" w:cs="Arial" w:eastAsia="Arial" w:hAnsi="Arial"/>
          <w:sz w:val="16"/>
          <w:szCs w:val="16"/>
          <w:color w:val="auto"/>
        </w:rPr>
        <w:t>10.01. This Amendment and the attached exhibits, which are hereby incorporated into and made a part of this Amendment, set forth the entire agreement between the parties with respect to the matters set forth herein. There have been no additional oral or written representations or agreements.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Tenant agrees that neither Tenant nor its agents or any other parties acting on behalf of Tenant shall disclose any matters set forth in this Amendment or disseminate or distribute any information concerning the terms, details or conditions hereof to any person, firm or entity without obtaining the express written consent of Landlord.</w:t>
      </w:r>
    </w:p>
    <w:p>
      <w:pPr>
        <w:spacing w:after="0" w:line="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10.02.  Except as herein modified or amended, the provisions, conditions and terms of the Lease shall remain unchanged and in full force and effect.</w:t>
      </w:r>
    </w:p>
    <w:p>
      <w:pPr>
        <w:spacing w:after="0" w:line="100" w:lineRule="exact"/>
        <w:rPr>
          <w:sz w:val="20"/>
          <w:szCs w:val="20"/>
          <w:color w:val="auto"/>
        </w:rPr>
      </w:pPr>
    </w:p>
    <w:p>
      <w:pPr>
        <w:ind w:left="1140" w:right="280" w:hanging="566"/>
        <w:spacing w:after="0" w:line="268" w:lineRule="auto"/>
        <w:rPr>
          <w:sz w:val="20"/>
          <w:szCs w:val="20"/>
          <w:color w:val="auto"/>
        </w:rPr>
      </w:pPr>
      <w:r>
        <w:rPr>
          <w:rFonts w:ascii="Arial" w:cs="Arial" w:eastAsia="Arial" w:hAnsi="Arial"/>
          <w:sz w:val="18"/>
          <w:szCs w:val="18"/>
          <w:color w:val="auto"/>
        </w:rPr>
        <w:t>10.03. In the case of any inconsistency between the provisions of the Lease and this Amendment, the provisions of this Amendment shall govern and control.</w:t>
      </w:r>
    </w:p>
    <w:p>
      <w:pPr>
        <w:spacing w:after="0" w:line="37" w:lineRule="exact"/>
        <w:rPr>
          <w:sz w:val="20"/>
          <w:szCs w:val="20"/>
          <w:color w:val="auto"/>
        </w:rPr>
      </w:pPr>
    </w:p>
    <w:p>
      <w:pPr>
        <w:ind w:left="1140" w:right="220" w:hanging="566"/>
        <w:spacing w:after="0" w:line="268" w:lineRule="auto"/>
        <w:rPr>
          <w:sz w:val="20"/>
          <w:szCs w:val="20"/>
          <w:color w:val="auto"/>
        </w:rPr>
      </w:pPr>
      <w:r>
        <w:rPr>
          <w:rFonts w:ascii="Arial" w:cs="Arial" w:eastAsia="Arial" w:hAnsi="Arial"/>
          <w:sz w:val="18"/>
          <w:szCs w:val="18"/>
          <w:color w:val="auto"/>
        </w:rPr>
        <w:t>10.04. Submission of this Amendment by Landlord is not an offer to enter into this Amendment but rather is a solicitation for such an offer by Tenant. Landlord shall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6" w:name="page37"/>
    <w:bookmarkEnd w:id="36"/>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bound by this Amendment until Landlord has executed and delivered the same to Tenant.</w:t>
      </w:r>
    </w:p>
    <w:p>
      <w:pPr>
        <w:spacing w:after="0" w:line="77" w:lineRule="exact"/>
        <w:rPr>
          <w:sz w:val="20"/>
          <w:szCs w:val="20"/>
          <w:color w:val="auto"/>
        </w:rPr>
      </w:pPr>
    </w:p>
    <w:p>
      <w:pPr>
        <w:ind w:left="560" w:hanging="566"/>
        <w:spacing w:after="0" w:line="268" w:lineRule="auto"/>
        <w:rPr>
          <w:sz w:val="20"/>
          <w:szCs w:val="20"/>
          <w:color w:val="auto"/>
        </w:rPr>
      </w:pPr>
      <w:r>
        <w:rPr>
          <w:rFonts w:ascii="Arial" w:cs="Arial" w:eastAsia="Arial" w:hAnsi="Arial"/>
          <w:sz w:val="18"/>
          <w:szCs w:val="18"/>
          <w:color w:val="auto"/>
        </w:rPr>
        <w:t>10.05. The capitalized terms used in this Amendment shall have the same definitions as set forth in the Lease to the extent that such capitalized terms are defined therein and not redefined in this Amendment.</w:t>
      </w:r>
    </w:p>
    <w:p>
      <w:pPr>
        <w:spacing w:after="0" w:line="37" w:lineRule="exact"/>
        <w:rPr>
          <w:sz w:val="20"/>
          <w:szCs w:val="20"/>
          <w:color w:val="auto"/>
        </w:rPr>
      </w:pPr>
    </w:p>
    <w:p>
      <w:pPr>
        <w:ind w:left="560" w:right="80" w:hanging="566"/>
        <w:spacing w:after="0" w:line="289" w:lineRule="auto"/>
        <w:rPr>
          <w:sz w:val="20"/>
          <w:szCs w:val="20"/>
          <w:color w:val="auto"/>
        </w:rPr>
      </w:pPr>
      <w:r>
        <w:rPr>
          <w:rFonts w:ascii="Arial" w:cs="Arial" w:eastAsia="Arial" w:hAnsi="Arial"/>
          <w:sz w:val="16"/>
          <w:szCs w:val="16"/>
          <w:color w:val="auto"/>
        </w:rPr>
        <w:t>10.06. Tenant hereby represents to Landlord that Tenant has dealt with no broker other than Staubach Company in connection with this Amendment. Tenant agrees to indemnify and hold Landlord, its trustees, members, principals, beneficiaries, partners, officers, directors, employees, mortgagee(s) and agents, and the respective principals and members of any such agents (collectively, the “</w:t>
      </w:r>
      <w:r>
        <w:rPr>
          <w:rFonts w:ascii="Arial" w:cs="Arial" w:eastAsia="Arial" w:hAnsi="Arial"/>
          <w:sz w:val="16"/>
          <w:szCs w:val="16"/>
          <w:b w:val="1"/>
          <w:bCs w:val="1"/>
          <w:color w:val="auto"/>
        </w:rPr>
        <w:t>Landlord Related Parties</w:t>
      </w:r>
      <w:r>
        <w:rPr>
          <w:rFonts w:ascii="Arial" w:cs="Arial" w:eastAsia="Arial" w:hAnsi="Arial"/>
          <w:sz w:val="16"/>
          <w:szCs w:val="16"/>
          <w:color w:val="auto"/>
        </w:rPr>
        <w:t>”) harmless from all claims of any brokers other than Staubach Company claiming to have represented Tenant in connection with this Amendment. Landlord hereby represents to Tenant that Landlord has dealt with no broker in connection with this Amendment. Landlord agrees to indemnify and hold Tenant, its trustees, members, principals, beneficiaries, partners, officers, directors, employees, and agents, and the respective principals and members of any such agents (collectively, the “</w:t>
      </w:r>
      <w:r>
        <w:rPr>
          <w:rFonts w:ascii="Arial" w:cs="Arial" w:eastAsia="Arial" w:hAnsi="Arial"/>
          <w:sz w:val="16"/>
          <w:szCs w:val="16"/>
          <w:b w:val="1"/>
          <w:bCs w:val="1"/>
          <w:color w:val="auto"/>
        </w:rPr>
        <w:t>Tenant Related Parties</w:t>
      </w:r>
      <w:r>
        <w:rPr>
          <w:rFonts w:ascii="Arial" w:cs="Arial" w:eastAsia="Arial" w:hAnsi="Arial"/>
          <w:sz w:val="16"/>
          <w:szCs w:val="16"/>
          <w:color w:val="auto"/>
        </w:rPr>
        <w:t>”) harmless from all claims of any brokers claiming to have represented Landlord in connection with this Amendment.</w:t>
      </w:r>
    </w:p>
    <w:p>
      <w:pPr>
        <w:spacing w:after="0" w:line="18" w:lineRule="exact"/>
        <w:rPr>
          <w:sz w:val="20"/>
          <w:szCs w:val="20"/>
          <w:color w:val="auto"/>
        </w:rPr>
      </w:pPr>
    </w:p>
    <w:p>
      <w:pPr>
        <w:ind w:left="340" w:right="120"/>
        <w:spacing w:after="0" w:line="258" w:lineRule="auto"/>
        <w:rPr>
          <w:sz w:val="20"/>
          <w:szCs w:val="20"/>
          <w:color w:val="auto"/>
        </w:rPr>
      </w:pPr>
      <w:r>
        <w:rPr>
          <w:rFonts w:ascii="Arial" w:cs="Arial" w:eastAsia="Arial" w:hAnsi="Arial"/>
          <w:sz w:val="18"/>
          <w:szCs w:val="18"/>
          <w:color w:val="auto"/>
        </w:rPr>
        <w:t>Equity Office Properties Management Corp. (“</w:t>
      </w:r>
      <w:r>
        <w:rPr>
          <w:rFonts w:ascii="Arial" w:cs="Arial" w:eastAsia="Arial" w:hAnsi="Arial"/>
          <w:sz w:val="18"/>
          <w:szCs w:val="18"/>
          <w:b w:val="1"/>
          <w:bCs w:val="1"/>
          <w:color w:val="auto"/>
        </w:rPr>
        <w:t>EOPMC</w:t>
      </w:r>
      <w:r>
        <w:rPr>
          <w:rFonts w:ascii="Arial" w:cs="Arial" w:eastAsia="Arial" w:hAnsi="Arial"/>
          <w:sz w:val="18"/>
          <w:szCs w:val="18"/>
          <w:color w:val="auto"/>
        </w:rPr>
        <w:t>”) is an affiliate of Landlord and represents only the Landlord in this transaction. Any assistance rendered by any agent or employee of EOPMC in connection with this Lease or any subsequent amendment or modification hereto has been or will be made as an accommodation to Tenant solely in furtherance of consummating the transaction on behalf of Landlord, and not as agent for Tenant.</w:t>
      </w:r>
    </w:p>
    <w:p>
      <w:pPr>
        <w:spacing w:after="0" w:line="48" w:lineRule="exact"/>
        <w:rPr>
          <w:sz w:val="20"/>
          <w:szCs w:val="20"/>
          <w:color w:val="auto"/>
        </w:rPr>
      </w:pPr>
    </w:p>
    <w:p>
      <w:pPr>
        <w:ind w:left="560" w:right="40" w:hanging="566"/>
        <w:spacing w:after="0" w:line="268" w:lineRule="auto"/>
        <w:rPr>
          <w:sz w:val="20"/>
          <w:szCs w:val="20"/>
          <w:color w:val="auto"/>
        </w:rPr>
      </w:pPr>
      <w:r>
        <w:rPr>
          <w:rFonts w:ascii="Arial" w:cs="Arial" w:eastAsia="Arial" w:hAnsi="Arial"/>
          <w:sz w:val="18"/>
          <w:szCs w:val="18"/>
          <w:color w:val="auto"/>
        </w:rPr>
        <w:t>10.07. Each signatory of this Amendment represents hereby that he or she has the authority to execute and deliver the same on behalf of the party hereto for which such signatory is acting.</w:t>
      </w:r>
    </w:p>
    <w:p>
      <w:pPr>
        <w:spacing w:after="0" w:line="3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[SIGNATURES ARE ON FOLLOWING PAGE]</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820" w:top="280"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Landlord and Tenant have duly executed this Amendment as of the day and year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LANDLORD:</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CA-LA JOLLA II LIMITED PARTNERSHIP, a Delaware</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limited partnership</w:t>
      </w:r>
    </w:p>
    <w:p>
      <w:pPr>
        <w:spacing w:after="0" w:line="111" w:lineRule="exact"/>
        <w:rPr>
          <w:sz w:val="20"/>
          <w:szCs w:val="20"/>
          <w:color w:val="auto"/>
        </w:rPr>
      </w:pPr>
    </w:p>
    <w:p>
      <w:pPr>
        <w:ind w:left="6400"/>
        <w:spacing w:after="0"/>
        <w:tabs>
          <w:tab w:leader="none" w:pos="6840" w:val="left"/>
        </w:tabs>
        <w:rPr>
          <w:sz w:val="20"/>
          <w:szCs w:val="20"/>
          <w:color w:val="auto"/>
        </w:rPr>
      </w:pPr>
      <w:r>
        <w:rPr>
          <w:rFonts w:ascii="Arial" w:cs="Arial" w:eastAsia="Arial" w:hAnsi="Arial"/>
          <w:sz w:val="16"/>
          <w:szCs w:val="16"/>
          <w:color w:val="auto"/>
        </w:rPr>
        <w:t>By:</w:t>
        <w:tab/>
        <w:t>EOM GP, L.L.C., a Delaware limited liability company,</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900"/>
        <w:spacing w:after="0"/>
        <w:tabs>
          <w:tab w:leader="none" w:pos="7360" w:val="left"/>
        </w:tabs>
        <w:rPr>
          <w:sz w:val="20"/>
          <w:szCs w:val="20"/>
          <w:color w:val="auto"/>
        </w:rPr>
      </w:pPr>
      <w:r>
        <w:rPr>
          <w:rFonts w:ascii="Arial" w:cs="Arial" w:eastAsia="Arial" w:hAnsi="Arial"/>
          <w:sz w:val="16"/>
          <w:szCs w:val="16"/>
          <w:color w:val="auto"/>
        </w:rPr>
        <w:t>By:</w:t>
        <w:tab/>
        <w:t>Equity Office Management, L.L.C., a Delaware</w:t>
      </w:r>
    </w:p>
    <w:p>
      <w:pPr>
        <w:spacing w:after="0" w:line="38"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limited liability company, its non-member</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manager</w:t>
      </w:r>
    </w:p>
    <w:p>
      <w:pPr>
        <w:spacing w:after="0" w:line="219" w:lineRule="exact"/>
        <w:rPr>
          <w:sz w:val="20"/>
          <w:szCs w:val="20"/>
          <w:color w:val="auto"/>
        </w:rPr>
      </w:pPr>
    </w:p>
    <w:p>
      <w:pPr>
        <w:ind w:left="7380"/>
        <w:spacing w:after="0"/>
        <w:tabs>
          <w:tab w:leader="none" w:pos="7880" w:val="left"/>
        </w:tabs>
        <w:rPr>
          <w:sz w:val="20"/>
          <w:szCs w:val="20"/>
          <w:color w:val="auto"/>
        </w:rPr>
      </w:pPr>
      <w:r>
        <w:rPr>
          <w:rFonts w:ascii="Arial" w:cs="Arial" w:eastAsia="Arial" w:hAnsi="Arial"/>
          <w:sz w:val="18"/>
          <w:szCs w:val="18"/>
          <w:color w:val="auto"/>
        </w:rPr>
        <w:t>By:</w:t>
        <w:tab/>
        <w:t>/s/ Robert E. Dezzutti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4987290</wp:posOffset>
            </wp:positionH>
            <wp:positionV relativeFrom="paragraph">
              <wp:posOffset>10795</wp:posOffset>
            </wp:positionV>
            <wp:extent cx="19723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Name: Robert E. Dezzutti</w:t>
      </w:r>
    </w:p>
    <w:p>
      <w:pPr>
        <w:spacing w:after="0" w:line="15" w:lineRule="exact"/>
        <w:rPr>
          <w:sz w:val="20"/>
          <w:szCs w:val="20"/>
          <w:color w:val="auto"/>
        </w:rPr>
      </w:pPr>
    </w:p>
    <w:p>
      <w:pPr>
        <w:ind w:left="738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TENANT:</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MEDICINOVA, INC., a Delaware corporation</w:t>
      </w:r>
    </w:p>
    <w:p>
      <w:pPr>
        <w:spacing w:after="0" w:line="231"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Takashi Kiyoizumi</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 CEO</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00"/>
          </w:cols>
          <w:pgMar w:left="700" w:top="274" w:right="3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OUTLINE AND LOCATION OF SUITE 970 EXPANSION SPACE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[drawing 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274"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OUTLINE AND LOCATION OF SUITE 960 EXPANSION SPACE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[drawing omitted]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OUTLINE AND LOCATION OF OFFERING SPACE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[drawing omitted]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4" w:right="1440"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15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 xml:space="preserve">This Exhibit is attached to and made a part of the Amendment by and between </w:t>
      </w:r>
      <w:r>
        <w:rPr>
          <w:rFonts w:ascii="Arial" w:cs="Arial" w:eastAsia="Arial" w:hAnsi="Arial"/>
          <w:sz w:val="18"/>
          <w:szCs w:val="18"/>
          <w:b w:val="1"/>
          <w:bCs w:val="1"/>
          <w:color w:val="auto"/>
        </w:rPr>
        <w:t>CA-LA JOLLA II LIMITED PARTNERSHIP, a Delaware limited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partnership </w:t>
      </w:r>
      <w:r>
        <w:rPr>
          <w:rFonts w:ascii="Arial" w:cs="Arial" w:eastAsia="Arial" w:hAnsi="Arial"/>
          <w:sz w:val="18"/>
          <w:szCs w:val="18"/>
          <w:color w:val="auto"/>
        </w:rPr>
        <w:t>(“Landlord”) and</w:t>
      </w:r>
      <w:r>
        <w:rPr>
          <w:rFonts w:ascii="Arial" w:cs="Arial" w:eastAsia="Arial" w:hAnsi="Arial"/>
          <w:sz w:val="18"/>
          <w:szCs w:val="18"/>
          <w:b w:val="1"/>
          <w:bCs w:val="1"/>
          <w:color w:val="auto"/>
        </w:rPr>
        <w:t xml:space="preserve"> MEDICINOVA, INC., a Delaware corporation </w:t>
      </w:r>
      <w:r>
        <w:rPr>
          <w:rFonts w:ascii="Arial" w:cs="Arial" w:eastAsia="Arial" w:hAnsi="Arial"/>
          <w:sz w:val="18"/>
          <w:szCs w:val="18"/>
          <w:color w:val="auto"/>
        </w:rPr>
        <w:t>(“Tenant”) for space in the Building commonly known as Smith Barney Tower</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at 4350 La Jolla Village Drive, San Diego, California.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Work Letter, the “</w:t>
      </w:r>
      <w:r>
        <w:rPr>
          <w:rFonts w:ascii="Arial" w:cs="Arial" w:eastAsia="Arial" w:hAnsi="Arial"/>
          <w:sz w:val="18"/>
          <w:szCs w:val="18"/>
          <w:b w:val="1"/>
          <w:bCs w:val="1"/>
          <w:color w:val="auto"/>
        </w:rPr>
        <w:t>Premises</w:t>
      </w:r>
      <w:r>
        <w:rPr>
          <w:rFonts w:ascii="Arial" w:cs="Arial" w:eastAsia="Arial" w:hAnsi="Arial"/>
          <w:sz w:val="18"/>
          <w:szCs w:val="18"/>
          <w:color w:val="auto"/>
        </w:rPr>
        <w:t>” shall be deemed to mean the Expansion Spaces, as defined in the attached Amendment.</w:t>
      </w:r>
    </w:p>
    <w:p>
      <w:pPr>
        <w:spacing w:after="0" w:line="83" w:lineRule="exact"/>
        <w:rPr>
          <w:sz w:val="20"/>
          <w:szCs w:val="20"/>
          <w:color w:val="auto"/>
        </w:rPr>
      </w:pPr>
    </w:p>
    <w:p>
      <w:pPr>
        <w:ind w:left="460" w:right="18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Landlord, at its sole cost and expense (subject to the terms and provisions of Section 2 below) shall perform improvements to the Premises in accordance with the following work list (the “</w:t>
      </w:r>
      <w:r>
        <w:rPr>
          <w:rFonts w:ascii="Arial" w:cs="Arial" w:eastAsia="Arial" w:hAnsi="Arial"/>
          <w:sz w:val="18"/>
          <w:szCs w:val="18"/>
          <w:b w:val="1"/>
          <w:bCs w:val="1"/>
          <w:color w:val="auto"/>
        </w:rPr>
        <w:t>Worklist</w:t>
      </w:r>
      <w:r>
        <w:rPr>
          <w:rFonts w:ascii="Arial" w:cs="Arial" w:eastAsia="Arial" w:hAnsi="Arial"/>
          <w:sz w:val="18"/>
          <w:szCs w:val="18"/>
          <w:color w:val="auto"/>
        </w:rPr>
        <w:t>”) using Building standard methods, materials and finishes. The improvements to be performed in accordance with the Worklist are hereinafter referred to as the “</w:t>
      </w:r>
      <w:r>
        <w:rPr>
          <w:rFonts w:ascii="Arial" w:cs="Arial" w:eastAsia="Arial" w:hAnsi="Arial"/>
          <w:sz w:val="18"/>
          <w:szCs w:val="18"/>
          <w:b w:val="1"/>
          <w:bCs w:val="1"/>
          <w:color w:val="auto"/>
        </w:rPr>
        <w:t>Landlord Work</w:t>
      </w:r>
      <w:r>
        <w:rPr>
          <w:rFonts w:ascii="Arial" w:cs="Arial" w:eastAsia="Arial" w:hAnsi="Arial"/>
          <w:sz w:val="18"/>
          <w:szCs w:val="18"/>
          <w:color w:val="auto"/>
        </w:rPr>
        <w:t>”. Landlord shall enter into a direct contract for the Landlord Work with a general contractor selected by Landlord. In addition, Landlord shall have the right to select and/or approve of any subcontractors used in connection with the Landlord Work.</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WORK LIST</w:t>
      </w:r>
    </w:p>
    <w:p>
      <w:pPr>
        <w:spacing w:after="0" w:line="83" w:lineRule="exact"/>
        <w:rPr>
          <w:sz w:val="20"/>
          <w:szCs w:val="20"/>
          <w:color w:val="auto"/>
        </w:rPr>
      </w:pPr>
    </w:p>
    <w:p>
      <w:pPr>
        <w:ind w:left="900" w:right="400" w:hanging="446"/>
        <w:spacing w:after="0" w:line="268"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 to install Building standard carpet upon all previously carpeted areas of the Expansion Spaces in a color that most closely matches the carpet in Suite 950.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 to touch up painted areas of the Suite 970 Expansion Space if paint is damaged during carpet installation.</w:t>
      </w:r>
    </w:p>
    <w:p>
      <w:pPr>
        <w:spacing w:after="0" w:line="103" w:lineRule="exact"/>
        <w:rPr>
          <w:rFonts w:ascii="Arial" w:cs="Arial" w:eastAsia="Arial" w:hAnsi="Arial"/>
          <w:sz w:val="18"/>
          <w:szCs w:val="18"/>
          <w:color w:val="auto"/>
        </w:rPr>
      </w:pPr>
    </w:p>
    <w:p>
      <w:pPr>
        <w:ind w:left="900" w:right="520" w:hanging="446"/>
        <w:spacing w:after="0" w:line="268"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 to re-paint all painted wall areas within the Suite 960 Expansion Space using 1 coat of Building standard paint in a color that closely matches the paint in Suite 950.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5"/>
          <w:szCs w:val="15"/>
          <w:color w:val="auto"/>
        </w:rPr>
      </w:pPr>
      <w:r>
        <w:rPr>
          <w:rFonts w:ascii="Arial" w:cs="Arial" w:eastAsia="Arial" w:hAnsi="Arial"/>
          <w:sz w:val="15"/>
          <w:szCs w:val="15"/>
          <w:color w:val="auto"/>
        </w:rPr>
        <w:t>Landlord to create a cut-out opening in the wall between Suite 950 and the Suite 960 Expansion Space using Building standard methods and finishes.</w:t>
      </w:r>
    </w:p>
    <w:p>
      <w:pPr>
        <w:spacing w:after="0" w:line="138" w:lineRule="exact"/>
        <w:rPr>
          <w:rFonts w:ascii="Arial" w:cs="Arial" w:eastAsia="Arial" w:hAnsi="Arial"/>
          <w:sz w:val="15"/>
          <w:szCs w:val="15"/>
          <w:color w:val="auto"/>
        </w:rPr>
      </w:pPr>
    </w:p>
    <w:p>
      <w:pPr>
        <w:ind w:left="460" w:right="18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work and upgrades, subject to Landlord’s approval, shall be at Tenant’s sole cost and expense, plus any applicable state sales or use tax thereon, payable upon demand as Additional Rent. Tenant shall be responsible for any Tenant delay in completion of the Premises resulting from any such other work and upgrades requested or performed by Tenant.</w:t>
      </w:r>
    </w:p>
    <w:p>
      <w:pPr>
        <w:spacing w:after="0" w:line="45"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Landlord’s supervision or performance of any work for or on behalf of Tenant shall not be deemed to be a representation by Landlord that such work complies with applicable insurance requirements, building codes, ordinances, laws or regulations or that the improvements constructed will be adequate for Tenant’s use.</w:t>
      </w:r>
    </w:p>
    <w:p>
      <w:pPr>
        <w:spacing w:after="0" w:line="45"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Tenant acknowledges that the Landlord Work may be performed by Landlord in the Premises during Building Service Hours subsequent to the Suite 970 Expansion Effective Date and Suite 960 Expansion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Landlord and Tenant agree to cooperate with each other in order to enable the Landlord Work to be performed in a timely manner and with as little inconvenience to the operation of Tenant’s business as is reasonably possible. Notwithstanding anything herein to the contrary, any delay in the completion of the Landlord Work or inconvenience suffered by Tenant during the performance of the Landlord Work shall not delay the Suite 970 Expansion Effective Date or the Suite 960 Expansion Space, as the case may be, nor shall it subject Landlord to any liability for any loss or damage resulting therefrom or entitle Tenant to any credit, abatement or adjustment of Rent or other sums payable under the Lease.</w:t>
      </w:r>
    </w:p>
    <w:p>
      <w:pPr>
        <w:spacing w:after="0" w:line="52"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Takashi Kiyoizumi, Chief Executive Officer and Principal Financial Officer of MediciNova, Inc., certify that:</w:t>
      </w:r>
    </w:p>
    <w:p>
      <w:pPr>
        <w:spacing w:after="0" w:line="15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MediciNova, Inc. (the “Registrant”);</w:t>
      </w:r>
    </w:p>
    <w:p>
      <w:pPr>
        <w:spacing w:after="0" w:line="157" w:lineRule="exact"/>
        <w:rPr>
          <w:rFonts w:ascii="Arial" w:cs="Arial" w:eastAsia="Arial" w:hAnsi="Arial"/>
          <w:sz w:val="18"/>
          <w:szCs w:val="18"/>
          <w:color w:val="auto"/>
        </w:rPr>
      </w:pPr>
    </w:p>
    <w:p>
      <w:pPr>
        <w:ind w:right="100" w:firstLine="8"/>
        <w:spacing w:after="0" w:line="332" w:lineRule="auto"/>
        <w:tabs>
          <w:tab w:leader="none" w:pos="307"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200" w:firstLine="8"/>
        <w:spacing w:after="0" w:line="268" w:lineRule="auto"/>
        <w:tabs>
          <w:tab w:leader="none" w:pos="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360" w:firstLine="8"/>
        <w:spacing w:after="0" w:line="268" w:lineRule="auto"/>
        <w:tabs>
          <w:tab w:leader="none" w:pos="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ind w:left="460" w:firstLine="4"/>
        <w:spacing w:after="0" w:line="259" w:lineRule="auto"/>
        <w:tabs>
          <w:tab w:leader="none" w:pos="68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157" w:lineRule="exact"/>
        <w:rPr>
          <w:rFonts w:ascii="Arial" w:cs="Arial" w:eastAsia="Arial" w:hAnsi="Arial"/>
          <w:sz w:val="18"/>
          <w:szCs w:val="18"/>
          <w:color w:val="auto"/>
        </w:rPr>
      </w:pPr>
    </w:p>
    <w:p>
      <w:pPr>
        <w:ind w:left="460" w:right="100" w:firstLine="4"/>
        <w:spacing w:after="0" w:line="332" w:lineRule="auto"/>
        <w:tabs>
          <w:tab w:leader="none" w:pos="684"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460" w:right="260" w:firstLine="4"/>
        <w:spacing w:after="0" w:line="259" w:lineRule="auto"/>
        <w:tabs>
          <w:tab w:leader="none" w:pos="6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00" w:firstLine="8"/>
        <w:spacing w:after="0" w:line="268" w:lineRule="auto"/>
        <w:tabs>
          <w:tab w:leader="none" w:pos="3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8"/>
          <w:szCs w:val="18"/>
          <w:color w:val="auto"/>
        </w:rPr>
      </w:pPr>
    </w:p>
    <w:p>
      <w:pPr>
        <w:ind w:left="460" w:right="100" w:firstLine="4"/>
        <w:spacing w:after="0" w:line="268" w:lineRule="auto"/>
        <w:tabs>
          <w:tab w:leader="none" w:pos="68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460" w:right="260" w:firstLine="4"/>
        <w:spacing w:after="0" w:line="268" w:lineRule="auto"/>
        <w:tabs>
          <w:tab w:leader="none" w:pos="6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Date: May 11, 2005</w:t>
      </w:r>
    </w:p>
    <w:p>
      <w:pPr>
        <w:spacing w:after="0" w:line="333"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80010</wp:posOffset>
            </wp:positionV>
            <wp:extent cx="24352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Takashi Kiyoizumi, M.D., Ph.D.</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March 31, 2005, I, Takashi Kiyoizumi, Chief Executive Officer of MediciNova, Inc., hereby certify pursuant to 18 U.S.C. Section 1350, as adopted pursuant to Section 906 of the Sarbanes-Oxley Act of 2002, that to the best of my knowledge:</w:t>
      </w:r>
    </w:p>
    <w:p>
      <w:pPr>
        <w:spacing w:after="0" w:line="127" w:lineRule="exact"/>
        <w:rPr>
          <w:sz w:val="20"/>
          <w:szCs w:val="20"/>
          <w:color w:val="auto"/>
        </w:rPr>
      </w:pPr>
    </w:p>
    <w:p>
      <w:pPr>
        <w:ind w:right="360" w:firstLine="8"/>
        <w:spacing w:after="0" w:line="268" w:lineRule="auto"/>
        <w:tabs>
          <w:tab w:leader="none" w:pos="3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Quarterly Report on Form 10-Q of MediciNova, Inc. for the period ended March 31, 2005,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right="220" w:firstLine="8"/>
        <w:spacing w:after="0" w:line="332" w:lineRule="auto"/>
        <w:tabs>
          <w:tab w:leader="none" w:pos="3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such Quarterly Report on Form 10-Q of MediciNova, Inc. for the period ended March 31, 2005, fairly presents, in all material respects, the financial condition and results of operations of MediciNova, Inc. at the dates and for the periods indicated.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5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Date: May 11, 2005</w:t>
      </w:r>
    </w:p>
    <w:p>
      <w:pPr>
        <w:spacing w:after="0" w:line="333"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Takashi Kiyoizumi, M.D., Ph.D.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upperLetter"/>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2"/>
    </w:lvl>
  </w:abstractNum>
  <w:abstractNum w:abstractNumId="31">
    <w:nsid w:val="51EAD36B"/>
    <w:multiLevelType w:val="hybridMultilevel"/>
    <w:lvl w:ilvl="0">
      <w:lvlJc w:val="left"/>
      <w:lvlText w:val="%1."/>
      <w:numFmt w:val="lowerLetter"/>
      <w:start w:val="4"/>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1."/>
      <w:numFmt w:val="decimal"/>
      <w:start w:val="4"/>
    </w:lvl>
  </w:abstractNum>
  <w:abstractNum w:abstractNumId="35">
    <w:nsid w:val="3855585C"/>
    <w:multiLevelType w:val="hybridMultilevel"/>
    <w:lvl w:ilvl="0">
      <w:lvlJc w:val="left"/>
      <w:lvlText w:val="%1."/>
      <w:numFmt w:val="decimal"/>
      <w:start w:val="6"/>
    </w:lvl>
  </w:abstractNum>
  <w:abstractNum w:abstractNumId="36">
    <w:nsid w:val="70A64E2A"/>
    <w:multiLevelType w:val="hybridMultilevel"/>
    <w:lvl w:ilvl="0">
      <w:lvlJc w:val="left"/>
      <w:lvlText w:val="%1."/>
      <w:numFmt w:val="decimal"/>
      <w:start w:val="7"/>
    </w:lvl>
  </w:abstractNum>
  <w:abstractNum w:abstractNumId="37">
    <w:nsid w:val="6A2342EC"/>
    <w:multiLevelType w:val="hybridMultilevel"/>
    <w:lvl w:ilvl="0">
      <w:lvlJc w:val="left"/>
      <w:lvlText w:val="%1."/>
      <w:numFmt w:val="decimal"/>
      <w:start w:val="8"/>
    </w:lvl>
  </w:abstractNum>
  <w:abstractNum w:abstractNumId="38">
    <w:nsid w:val="2A487CB0"/>
    <w:multiLevelType w:val="hybridMultilevel"/>
    <w:lvl w:ilvl="0">
      <w:lvlJc w:val="left"/>
      <w:lvlText w:val="%1."/>
      <w:numFmt w:val="upp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upperLetter"/>
      <w:start w:val="2"/>
    </w:lvl>
    <w:lvl w:ilvl="1">
      <w:lvlJc w:val="left"/>
      <w:lvlText w:val="%2."/>
      <w:numFmt w:val="decimal"/>
      <w:start w:val="1"/>
    </w:lvl>
  </w:abstractNum>
  <w:abstractNum w:abstractNumId="41">
    <w:nsid w:val="2CD89A32"/>
    <w:multiLevelType w:val="hybridMultilevel"/>
    <w:lvl w:ilvl="0">
      <w:lvlJc w:val="left"/>
      <w:lvlText w:val="%1."/>
      <w:numFmt w:val="upperLetter"/>
      <w:start w:val="4"/>
    </w:lvl>
  </w:abstractNum>
  <w:abstractNum w:abstractNumId="42">
    <w:nsid w:val="57E4CCAF"/>
    <w:multiLevelType w:val="hybridMultilevel"/>
    <w:lvl w:ilvl="0">
      <w:lvlJc w:val="left"/>
      <w:lvlText w:val="%1."/>
      <w:numFmt w:val="decimal"/>
      <w:start w:val="10"/>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2019-12-12T04:22:42Z</dcterms:created>
  <dcterms:modified xsi:type="dcterms:W3CDTF">2019-12-12T04:22:42Z</dcterms:modified>
</cp:coreProperties>
</file>