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28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77"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41"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3820" w:space="540"/>
            <w:col w:w="700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312" w:lineRule="exact"/>
        <w:rPr>
          <w:sz w:val="24"/>
          <w:szCs w:val="24"/>
          <w:color w:val="auto"/>
        </w:rPr>
      </w:pPr>
    </w:p>
    <w:tbl>
      <w:tblPr>
        <w:tblLayout w:type="fixed"/>
        <w:tblInd w:w="1400" w:type="dxa"/>
        <w:tblCellMar>
          <w:top w:w="0" w:type="dxa"/>
          <w:left w:w="0" w:type="dxa"/>
          <w:bottom w:w="0" w:type="dxa"/>
          <w:right w:w="0" w:type="dxa"/>
        </w:tblCellMar>
      </w:tblPr>
      <w:tr>
        <w:trPr>
          <w:trHeight w:val="530"/>
        </w:trPr>
        <w:tc>
          <w:tcPr>
            <w:tcW w:w="6560" w:type="dxa"/>
            <w:vAlign w:val="bottom"/>
            <w:gridSpan w:val="3"/>
          </w:tcPr>
          <w:p>
            <w:pPr>
              <w:jc w:val="center"/>
              <w:ind w:left="1970"/>
              <w:spacing w:after="0"/>
              <w:rPr>
                <w:sz w:val="20"/>
                <w:szCs w:val="20"/>
                <w:color w:val="auto"/>
              </w:rPr>
            </w:pPr>
            <w:r>
              <w:rPr>
                <w:rFonts w:ascii="Arial" w:cs="Arial" w:eastAsia="Arial" w:hAnsi="Arial"/>
                <w:sz w:val="43"/>
                <w:szCs w:val="43"/>
                <w:b w:val="1"/>
                <w:bCs w:val="1"/>
                <w:color w:val="auto"/>
              </w:rPr>
              <w:t>MEDICINOVA, INC.</w:t>
            </w: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00" w:type="dxa"/>
            <w:vAlign w:val="bottom"/>
          </w:tcPr>
          <w:p>
            <w:pPr>
              <w:spacing w:after="0"/>
              <w:rPr>
                <w:sz w:val="15"/>
                <w:szCs w:val="15"/>
                <w:color w:val="auto"/>
              </w:rPr>
            </w:pPr>
          </w:p>
        </w:tc>
      </w:tr>
      <w:tr>
        <w:trPr>
          <w:trHeight w:val="163"/>
        </w:trPr>
        <w:tc>
          <w:tcPr>
            <w:tcW w:w="31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05"/>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Delaware</w:t>
            </w:r>
          </w:p>
        </w:tc>
        <w:tc>
          <w:tcPr>
            <w:tcW w:w="130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56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9"/>
              </w:rPr>
              <w:t>Incorporation or Organization)</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300" w:type="dxa"/>
            <w:vAlign w:val="bottom"/>
          </w:tcPr>
          <w:p>
            <w:pPr>
              <w:spacing w:after="0"/>
              <w:rPr>
                <w:sz w:val="24"/>
                <w:szCs w:val="24"/>
                <w:color w:val="auto"/>
              </w:rPr>
            </w:pPr>
          </w:p>
        </w:tc>
      </w:tr>
      <w:tr>
        <w:trPr>
          <w:trHeight w:val="231"/>
        </w:trPr>
        <w:tc>
          <w:tcPr>
            <w:tcW w:w="65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San Diego, CA</w:t>
            </w:r>
          </w:p>
        </w:tc>
        <w:tc>
          <w:tcPr>
            <w:tcW w:w="13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56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550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89"/>
              </w:rPr>
              <w:t>(858) 373-1500</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4"/>
        </w:trPr>
        <w:tc>
          <w:tcPr>
            <w:tcW w:w="6560" w:type="dxa"/>
            <w:vAlign w:val="bottom"/>
            <w:gridSpan w:val="3"/>
          </w:tcPr>
          <w:p>
            <w:pPr>
              <w:jc w:val="center"/>
              <w:ind w:left="1970"/>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30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 of “accelerated filer”, “large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33" w:lineRule="exact"/>
        <w:rPr>
          <w:sz w:val="24"/>
          <w:szCs w:val="24"/>
          <w:color w:val="auto"/>
        </w:rPr>
      </w:pPr>
    </w:p>
    <w:p>
      <w:pPr>
        <w:spacing w:after="0" w:line="334"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ind w:left="20"/>
        <w:spacing w:after="0" w:line="122"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ectPr>
          <w:pgSz w:w="11900" w:h="16838" w:orient="portrait"/>
          <w:cols w:equalWidth="0" w:num="5">
            <w:col w:w="1580" w:space="80"/>
            <w:col w:w="500" w:space="720"/>
            <w:col w:w="4400" w:space="720"/>
            <w:col w:w="1920" w:space="100"/>
            <w:col w:w="1340"/>
          </w:cols>
          <w:pgMar w:left="240" w:top="230" w:right="29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6" w:lineRule="exact"/>
        <w:rPr>
          <w:sz w:val="24"/>
          <w:szCs w:val="24"/>
          <w:color w:val="auto"/>
        </w:rPr>
      </w:pPr>
    </w:p>
    <w:p>
      <w:pPr>
        <w:sectPr>
          <w:pgSz w:w="11900" w:h="16838" w:orient="portrait"/>
          <w:cols w:equalWidth="0" w:num="2">
            <w:col w:w="9100" w:space="180"/>
            <w:col w:w="2080"/>
          </w:cols>
          <w:pgMar w:left="240" w:top="230" w:right="29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As of May 14, 2010, the registrant had 12,382,879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240" w:type="dxa"/>
            <w:vAlign w:val="bottom"/>
            <w:gridSpan w:val="9"/>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348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CONSOLIDATED FINANCIAL STATEMENTS</w:t>
              </w:r>
            </w:hyperlink>
          </w:p>
        </w:tc>
        <w:tc>
          <w:tcPr>
            <w:tcW w:w="5220" w:type="dxa"/>
            <w:vAlign w:val="bottom"/>
            <w:gridSpan w:val="3"/>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MANAGEMENT’S DISCUSSION AND ANALYSIS OF FINANCIAL CONDITION AND RESULTS OF OPERATIONS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CONTROLS AND PROCEDURES</w:t>
              </w:r>
            </w:hyperlink>
          </w:p>
        </w:tc>
        <w:tc>
          <w:tcPr>
            <w:tcW w:w="3440" w:type="dxa"/>
            <w:vAlign w:val="bottom"/>
            <w:tcBorders>
              <w:top w:val="single" w:sz="8" w:color="0000EE"/>
            </w:tcBorders>
            <w:gridSpan w:val="4"/>
          </w:tcPr>
          <w:p>
            <w:pPr>
              <w:spacing w:after="0"/>
              <w:rPr>
                <w:sz w:val="17"/>
                <w:szCs w:val="17"/>
                <w:color w:val="auto"/>
              </w:rPr>
            </w:pPr>
          </w:p>
        </w:tc>
        <w:tc>
          <w:tcPr>
            <w:tcW w:w="27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PART II. OTHER INFORMATION</w:t>
              </w:r>
            </w:hyperlink>
          </w:p>
        </w:tc>
        <w:tc>
          <w:tcPr>
            <w:tcW w:w="7540" w:type="dxa"/>
            <w:vAlign w:val="bottom"/>
            <w:gridSpan w:val="11"/>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3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8700" w:type="dxa"/>
            <w:vAlign w:val="bottom"/>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RISK FACTORS</w:t>
              </w:r>
            </w:hyperlink>
          </w:p>
        </w:tc>
        <w:tc>
          <w:tcPr>
            <w:tcW w:w="600" w:type="dxa"/>
            <w:vAlign w:val="bottom"/>
            <w:tcBorders>
              <w:top w:val="single" w:sz="8" w:color="0000EE"/>
            </w:tcBorders>
            <w:gridSpan w:val="2"/>
          </w:tcPr>
          <w:p>
            <w:pPr>
              <w:spacing w:after="0"/>
              <w:rPr>
                <w:sz w:val="17"/>
                <w:szCs w:val="17"/>
                <w:color w:val="auto"/>
              </w:rPr>
            </w:pPr>
          </w:p>
        </w:tc>
        <w:tc>
          <w:tcPr>
            <w:tcW w:w="6880" w:type="dxa"/>
            <w:vAlign w:val="bottom"/>
            <w:gridSpan w:val="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5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UNREGISTERED SALES OF EQUITY SECURITIES AND USE OF PROCEEDS</w:t>
              </w:r>
            </w:hyperlink>
          </w:p>
        </w:tc>
        <w:tc>
          <w:tcPr>
            <w:tcW w:w="278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DEFAULTS UPON SENIOR SECURITIES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31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REMOVED AND RESERVED</w:t>
              </w:r>
            </w:hyperlink>
          </w:p>
        </w:tc>
        <w:tc>
          <w:tcPr>
            <w:tcW w:w="5600" w:type="dxa"/>
            <w:vAlign w:val="bottom"/>
            <w:gridSpan w:val="4"/>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5.</w:t>
            </w:r>
          </w:p>
        </w:tc>
        <w:tc>
          <w:tcPr>
            <w:tcW w:w="18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OTHER INFORMATION</w:t>
              </w:r>
            </w:hyperlink>
          </w:p>
        </w:tc>
        <w:tc>
          <w:tcPr>
            <w:tcW w:w="380" w:type="dxa"/>
            <w:vAlign w:val="bottom"/>
            <w:tcBorders>
              <w:top w:val="single" w:sz="8" w:color="0000EE"/>
            </w:tcBorders>
          </w:tcPr>
          <w:p>
            <w:pPr>
              <w:spacing w:after="0"/>
              <w:rPr>
                <w:sz w:val="17"/>
                <w:szCs w:val="17"/>
                <w:color w:val="auto"/>
              </w:rPr>
            </w:pPr>
          </w:p>
        </w:tc>
        <w:tc>
          <w:tcPr>
            <w:tcW w:w="6480" w:type="dxa"/>
            <w:vAlign w:val="bottom"/>
            <w:gridSpan w:val="6"/>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8700" w:type="dxa"/>
            <w:vAlign w:val="bottom"/>
            <w:gridSpan w:val="1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304"/>
        </w:trPr>
        <w:tc>
          <w:tcPr>
            <w:tcW w:w="1360" w:type="dxa"/>
            <w:vAlign w:val="bottom"/>
            <w:gridSpan w:val="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8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83"/>
        </w:trPr>
        <w:tc>
          <w:tcPr>
            <w:tcW w:w="10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920" w:type="dxa"/>
            <w:vAlign w:val="bottom"/>
            <w:gridSpan w:val="11"/>
          </w:tcPr>
          <w:p>
            <w:pPr>
              <w:ind w:left="43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40" w:type="dxa"/>
            <w:vAlign w:val="bottom"/>
          </w:tcPr>
          <w:p>
            <w:pPr>
              <w:jc w:val="center"/>
              <w:ind w:left="2372"/>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40" w:type="dxa"/>
            <w:vAlign w:val="bottom"/>
          </w:tcPr>
          <w:p>
            <w:pPr>
              <w:ind w:left="38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40" w:type="dxa"/>
            <w:vAlign w:val="bottom"/>
          </w:tcPr>
          <w:p>
            <w:pPr>
              <w:jc w:val="center"/>
              <w:ind w:left="2372"/>
              <w:spacing w:after="0"/>
              <w:rPr>
                <w:sz w:val="20"/>
                <w:szCs w:val="20"/>
                <w:color w:val="auto"/>
              </w:rPr>
            </w:pPr>
            <w:r>
              <w:rPr>
                <w:rFonts w:ascii="Arial" w:cs="Arial" w:eastAsia="Arial" w:hAnsi="Arial"/>
                <w:sz w:val="18"/>
                <w:szCs w:val="18"/>
                <w:b w:val="1"/>
                <w:bCs w:val="1"/>
                <w:color w:val="auto"/>
              </w:rPr>
              <w:t>MEDICINOVA, INC.</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40" w:type="dxa"/>
            <w:vAlign w:val="bottom"/>
          </w:tcPr>
          <w:p>
            <w:pPr>
              <w:jc w:val="center"/>
              <w:ind w:left="2392"/>
              <w:spacing w:after="0"/>
              <w:rPr>
                <w:sz w:val="20"/>
                <w:szCs w:val="20"/>
                <w:color w:val="auto"/>
              </w:rPr>
            </w:pPr>
            <w:r>
              <w:rPr>
                <w:rFonts w:ascii="Arial" w:cs="Arial" w:eastAsia="Arial" w:hAnsi="Arial"/>
                <w:sz w:val="18"/>
                <w:szCs w:val="18"/>
                <w:b w:val="1"/>
                <w:bCs w:val="1"/>
                <w:color w:val="auto"/>
                <w:w w:val="86"/>
              </w:rPr>
              <w:t>(a development stage company)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40" w:type="dxa"/>
            <w:vAlign w:val="bottom"/>
          </w:tcPr>
          <w:p>
            <w:pPr>
              <w:jc w:val="center"/>
              <w:ind w:left="2392"/>
              <w:spacing w:after="0"/>
              <w:rPr>
                <w:sz w:val="20"/>
                <w:szCs w:val="20"/>
                <w:color w:val="auto"/>
              </w:rPr>
            </w:pPr>
            <w:r>
              <w:rPr>
                <w:rFonts w:ascii="Arial" w:cs="Arial" w:eastAsia="Arial" w:hAnsi="Arial"/>
                <w:sz w:val="18"/>
                <w:szCs w:val="18"/>
                <w:b w:val="1"/>
                <w:bCs w:val="1"/>
                <w:color w:val="auto"/>
                <w:w w:val="96"/>
              </w:rPr>
              <w:t>CONSOLIDATED BALANCE SHEETS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March 31,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15,597,457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Investment securities-current (Note 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20,913,658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24,254,987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ARS put-current (Note 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2,785,978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2,557,007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1,048,259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869,649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40,345,352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46,923,224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Restricted cash (Note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28,351,198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30,045,965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investment (Note 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648,542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Restricted letter of credit (Note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500,166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In-process research and development (Notes 2, 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4,800,000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Goodwill (Notes 2, 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9,142,205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9,142,205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117,595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Long-term investments (Note 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1,796,113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2,085,425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85,701,171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94,326,907</w:t>
            </w:r>
          </w:p>
        </w:tc>
        <w:tc>
          <w:tcPr>
            <w:tcW w:w="0" w:type="dxa"/>
            <w:vAlign w:val="bottom"/>
          </w:tcPr>
          <w:p>
            <w:pPr>
              <w:spacing w:after="0"/>
              <w:rPr>
                <w:sz w:val="1"/>
                <w:szCs w:val="1"/>
                <w:color w:val="auto"/>
              </w:rPr>
            </w:pPr>
          </w:p>
        </w:tc>
      </w:tr>
      <w:tr>
        <w:trPr>
          <w:trHeight w:val="20"/>
        </w:trPr>
        <w:tc>
          <w:tcPr>
            <w:tcW w:w="8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1,041,856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1,300,271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ARS loan payable (Note 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14,443,366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Escrow holdback (Note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951,559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1,094,045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1,672,585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284,823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1,146,960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18,394,189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Management transition plan liability (Note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648,542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 (Note 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1,956,000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Convertible notes (Note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27,594,664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29,258,137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48,593,395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54,313,433</w:t>
            </w:r>
          </w:p>
        </w:tc>
        <w:tc>
          <w:tcPr>
            <w:tcW w:w="0" w:type="dxa"/>
            <w:vAlign w:val="bottom"/>
          </w:tcPr>
          <w:p>
            <w:pPr>
              <w:spacing w:after="0"/>
              <w:rPr>
                <w:sz w:val="1"/>
                <w:szCs w:val="1"/>
                <w:color w:val="auto"/>
              </w:rPr>
            </w:pPr>
          </w:p>
        </w:tc>
      </w:tr>
      <w:tr>
        <w:trPr>
          <w:trHeight w:val="221"/>
        </w:trPr>
        <w:tc>
          <w:tcPr>
            <w:tcW w:w="8300" w:type="dxa"/>
            <w:vAlign w:val="bottom"/>
            <w:gridSpan w:val="3"/>
          </w:tcPr>
          <w:p>
            <w:pPr>
              <w:spacing w:after="0"/>
              <w:rPr>
                <w:sz w:val="20"/>
                <w:szCs w:val="20"/>
                <w:color w:val="auto"/>
              </w:rPr>
            </w:pPr>
            <w:r>
              <w:rPr>
                <w:rFonts w:ascii="Arial" w:cs="Arial" w:eastAsia="Arial" w:hAnsi="Arial"/>
                <w:sz w:val="18"/>
                <w:szCs w:val="18"/>
                <w:color w:val="auto"/>
              </w:rPr>
              <w:t>Commitments and contingencies (Note 8)</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w w:val="91"/>
              </w:rPr>
              <w:t>Preferred stock, $0.01 par value; 500,000 shares authorized at March 31, 2010 and December 31, 2009; no</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shares outstanding at March 31, 2010 and December 31, 2009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Common stock, $0.001 par value; 30,000,000 shares authorized at March 31, 2010 and December 31, 2009;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1"/>
              </w:rPr>
              <w:t>12,421,801 and 12,172,510 shares issued at March 31, 2010 and December 31, 2009, respectively, and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1"/>
              </w:rPr>
              <w:t>12,375,994 and 12,122,217 shares outstanding at March 31, 2010 and December 31, 2009, respectively</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12,422</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290,886,127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288,652,712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(66,136)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20"/>
              <w:spacing w:after="0"/>
              <w:rPr>
                <w:sz w:val="20"/>
                <w:szCs w:val="20"/>
                <w:color w:val="auto"/>
              </w:rPr>
            </w:pPr>
            <w:r>
              <w:rPr>
                <w:rFonts w:ascii="Arial" w:cs="Arial" w:eastAsia="Arial" w:hAnsi="Arial"/>
                <w:sz w:val="18"/>
                <w:szCs w:val="18"/>
                <w:color w:val="auto"/>
                <w:w w:val="98"/>
              </w:rPr>
              <w:t>Treasury stock, at cost; 45,807 shares at March 31, 2010 and 50,293 shares at December 31, 2009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(1,212,288)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(1,235,395)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(252,512,349)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(247,351,099)</w:t>
            </w:r>
          </w:p>
        </w:tc>
        <w:tc>
          <w:tcPr>
            <w:tcW w:w="0" w:type="dxa"/>
            <w:vAlign w:val="bottom"/>
          </w:tcPr>
          <w:p>
            <w:pPr>
              <w:spacing w:after="0"/>
              <w:rPr>
                <w:sz w:val="1"/>
                <w:szCs w:val="1"/>
                <w:color w:val="auto"/>
              </w:rPr>
            </w:pPr>
          </w:p>
        </w:tc>
      </w:tr>
      <w:tr>
        <w:trPr>
          <w:trHeight w:val="20"/>
        </w:trPr>
        <w:tc>
          <w:tcPr>
            <w:tcW w:w="8300" w:type="dxa"/>
            <w:vAlign w:val="bottom"/>
            <w:gridSpan w:val="3"/>
            <w:vMerge w:val="restart"/>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37,107,776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40,013,474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85,701,171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94,326,907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right"/>
              <w:ind w:right="40"/>
              <w:spacing w:after="0" w:line="149" w:lineRule="exact"/>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2,949,456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3,100,901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147,495,323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2,286,952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2,164,194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91,313,950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5,236,408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5,265,095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240,067,694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(5,236,408)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(5,265,095)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(238,509,467)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(Impairment charge)/gain on investment securities</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(957,213)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(loss)/gain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85,632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217,950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18,462,795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(39,815)</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(5,161,250)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(4,993,391)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(221,149,227)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w w:val="94"/>
              </w:rPr>
              <w:t>Deemed dividend resulting from beneficial conversion feature on Series C redeemable convertible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(5,161,250)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(4,993,391)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(252,512,349)</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common share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12,269,102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12,072,027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(5,161,250)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(4,993,391)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(221,149,227)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Non-cash stock-based compensation</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538,485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688,355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46,846,083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62,607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Amortization of premium/discount on investment securities and convertible notes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31,307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(2,445,113)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(Gain)/impairment charge, net on investment securities and ARS put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Loss on disposal of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Restricted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Escrow holdback liability</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(142,486)</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Management transition plan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(27,957)</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Impairment of sublease</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(178,610)</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(506,160)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(1,011,310)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accrued expenses, income taxes payable and deferred rent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136,912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705,978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(862,137)</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(537,731)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188,682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(5,587,920)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(4,607,013)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(172,429,222)</w:t>
            </w: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acquired business, net of acquired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Purchases of investment securities</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(377,205,766)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or sales of investment securities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3,394,193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353,200,490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(7,101)</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(2,260,047)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3,387,092</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(28,380,227)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Net proceeds from the sale of common stock</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121,297,173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conversion of convertible notes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1,695,466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Sale of preferred stock, net of issuance costs</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80,216,971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proceeds from ARS loan,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(3,162,119)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18,058,366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14,443,366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Purchase of treasury stock, net of employee stock purchases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23,107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41,315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(1,246,070)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(1,443,296)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18,099,681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216,406,906</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(3,644,124)</w:t>
            </w: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13,492,668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15,597,457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19,241,581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19,297,284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15,597,457</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32,789,952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15,597,457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Conversion of convertible preferred stock into common stock upon IPO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43,515,677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1,695,466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1,695,466</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42,757</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Interest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44,174</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42,477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279,538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were incorporated in the state of Delaware in September 2000. We are a development stage biopharmaceutical company focused on acquiring and developing novel, small molecule therapeutics for the treatment of diseases with unmet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United States of America for interim financial information. Accordingly, they do not include all of the information and disclosures required by generally accepted accounting principles for complete financial statements. In the opinion of management, all adjustments (consisting of normal recurring adjustments) considered necessary for a fair presentation of the financial position, results of operations and cash flow for the interim period presented have been included. Operating results for the three months ended March 31, 2010 are not necessarily indicative of the results that may be expected for the year ending December 31, 2010 or for any other period. For further information, see the financial statements and disclosures thereto for the year ended December 31, 2009 in our Annual Report on Form 10-K as filed with the Securities and Exchange Commission on March 24, 2010.</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sustained operating losses since inception and expect such losses to continue over the next several years. Management plans to continue financing the operations with equity issuances, debt arrangements or a combination thereof. We expect current working capital to be sufficient to fund our operations through at least March 31, 2011. If adequate funds are not available, we may be required to delay, reduce the scope of or eliminate one or more of our research or development programs or implement a reduction in workforce.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compounds for the European marketplace. MediciNova (Europe) Limited’s functional currency is the U.S. dollar, the reporting currency of its parent.</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August 17, 2009, Absolute Merger, Inc., a wholly-owned subsidiary of MediciNova, Inc. was incorporated under the General Corporation Law of the State of Delaware for the purpose of facilitating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Merger (the “Merger”) with Avigen, Inc. (“Avigen”). On December 18, 2009, Absolute Merger, Inc. merged with and into Avigen, with Avigen continuing as the surviving entity and wholly-owned subsidiary of ours.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prepared the accompanying unaudited consolidated financial statements in conformity with accounting principles generally accepted in the United States of America, which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October 2009, the FASB ratified Accounting Standards Update, or ASU, 2009-13, which eliminates the residual method of allocation and the requirement to use the relative selling price method when allocating revenue in a multiple deliverable arrangement. When applying the relative selling price method, the selling price for each deliverable is determined using vendor specific objective evidence of selling price, if such evidence exists, or in its absence third-party evidence of selling price. If neither vendor specific objective evidence nor third-party evidence of selling price exists for a deliverable, companies are instructed to use their best estimate of the selling price for that deliverable when applying the relative selling price method. ASU 2009-13 is effective in fiscal years beginning on or after June 15, 2010, with earlier application permitted. Companies may elect to adopt this guidance prospectively for all revenue arrangements entered into or materially modified after the date of adoption, or retrospectively for all periods presented. We have not yet adopted this accounting standard, however, we do not believe the adoption of this accounting standard will have a material effect on our consolidated results of operations or financial condition.</w:t>
      </w:r>
    </w:p>
    <w:p>
      <w:pPr>
        <w:spacing w:after="0" w:line="12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In January 2010, the FASB issued ASU 2010-06, which requires additional disclosures about fair value measurements including transfers in and out of Levels 1 and 2 and a higher level of disaggregation for the different types of financial instruments. For the reconciliation of Level 3 fair value measurements, information about purchases, sales, issuances and settlements should be presented separately. This ASU is effective for annual and interim reporting periods beginning after December 15, 2009 for most of the new fair value measurement disclosures and for periods beginning after December 15, 2010 for most of the new Level 3 disclosures. We have not early adopted the new Level 3 disclosures; however, adoption of this accounting standard will not have an effect on our consolidated results of operations or financial condition.</w:t>
      </w:r>
    </w:p>
    <w:p>
      <w:pPr>
        <w:spacing w:after="0" w:line="120"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In April 2010, the FASB issued ASU No. 2010-12, which indicates that the Securities and Exchange Commission (“SEC”) staff would not object to incorporating the effects of the Health Care and Education Reconciliation Act of 2010 (which was enacted on March 30, 2010) when accounting for the Patient Protection and Affordable Care Act (which was enacted on March 23, 2010). This view is based partly on the SEC’s understanding that the two aforementioned acts, when taken together, represent the current health care reforms as passed by Congress and signed by the President. As of March 31, 2010, we have performed an initial review of the two acts, and we do not believe that either will have a material impact on our consolidated results of operations or financial condition. Our belief is based on the fact that: we are a development stage biopharmaceutical whose lead drug candidates are only in Phase II of development and we have no other revenue generating products; therefore the pharmaceutical industry fee should not be applicable to us, nor would we be impacted by the drug subsidy changes; we have less than 25 employees so the fee for health plans will have minimal impact to our operating expenses, we do not have “high-cost” coverage health plans, nor do we offer retiree medical benefits; thus, the fees and the changes related to these would not impact our operating expenses, and, with regard to the limit on tax-deductible employee compensation this should not impact our tax position as we are currently a net loss company and will continue to be a net loss company in the foreseeable future. The health care reforms also provide for a “new investment tax credit for qualified therapeutic discovery”, which we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plan to apply for. Because we cannot be assured that our product candidate will be selected to receive a cash grant in lieu of a research and development tax credit, we are uncertain if our application will have a material impact on our consolidated results of operations or financial condition.</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April 2010, the FASB issued ASU No. 2010-17, which codifies the consensus reached in EITF No. 08-9, which provides guidance on defining a milestone and determining when it may be appropriate to apply the milestone method of revenue recognition for research or development transactions. Consideration that is contingent on achievement of a milestone in its entirety may be recognized as revenue in the period in which the milestone is achieved only if the milestone is judged to meet certain criteria to be considered substantive. Milestones should be considered substantive in their entirety and may not be bifurcated. An arrangement may contain both substantive and nonsubstantive milestones, and each milestone should be evaluated individually to determine if it is substantive. The amendments in this ASU are effective on a prospective basis for milestones achieved in fiscal years, and interim periods within those years, beginning on or after June 15, 2010. Early adoption is permitted. We have not early adopted this accounting standard; however, we do not believe adoption of this standard will have a material effect on our consolidated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Avigen Transaction</w:t>
      </w:r>
    </w:p>
    <w:p>
      <w:pPr>
        <w:spacing w:after="0" w:line="96"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On December 18, 2009 we acquired 100% of the outstanding shares of Avigen, a biopharmaceutical company that had focused on identifying and developing differentiated products to treat patients with serious disorders, whose potential product candidate is AV411, a glial attenuator and ibudalist small molecule therapeutic, for CNS disorders. Under the terms of the Merger, Avigen shareholders, at their election, received an amount per share either in cash, convertible notes issued by us or a combination thereof, upon closing. Of the 29,852,115 shares of Avigen common stock outstanding, approximately 17% of Avigen shareholders elected to receive cash at closing in the amount of approximately $1.19 per share with an additional $0.04 per share expected to be paid in two increments on June 30, 2010 and after November 30, 2010, while the remaining 83% elected to receive convertible notes issued by us. The primary reasons for the Avigen acquisition were to combine the ibudalist development programs each company was respectively pursuing, to utilize the preclinical and clinical data for AV411 as support for the development pathway of MN-166 resulting in cost savings for us, and to capture a potential financing opportunity given Avigen’s cash balance prior to the merger.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the December 31, 2009 acquisition related balances with their respective balances at March 31,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Carrying</w:t>
            </w: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Value of Notes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Expense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Value at</w:t>
            </w:r>
          </w:p>
        </w:tc>
        <w:tc>
          <w:tcPr>
            <w:tcW w:w="1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Converted</w:t>
            </w:r>
          </w:p>
        </w:tc>
        <w:tc>
          <w:tcPr>
            <w:tcW w:w="180" w:type="dxa"/>
            <w:vAlign w:val="bottom"/>
          </w:tcPr>
          <w:p>
            <w:pPr>
              <w:spacing w:after="0"/>
              <w:rPr>
                <w:sz w:val="12"/>
                <w:szCs w:val="12"/>
                <w:color w:val="auto"/>
              </w:rPr>
            </w:pPr>
          </w:p>
        </w:tc>
        <w:tc>
          <w:tcPr>
            <w:tcW w:w="14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Interest Earned</w:t>
            </w:r>
          </w:p>
        </w:tc>
        <w:tc>
          <w:tcPr>
            <w:tcW w:w="14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(Accretion)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2"/>
              </w:rPr>
              <w:t>Expenses</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Value at</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12/31/09</w:t>
            </w:r>
          </w:p>
        </w:tc>
        <w:tc>
          <w:tcPr>
            <w:tcW w:w="420" w:type="dxa"/>
            <w:vAlign w:val="bottom"/>
          </w:tcPr>
          <w:p>
            <w:pPr>
              <w:spacing w:after="0"/>
              <w:rPr>
                <w:sz w:val="14"/>
                <w:szCs w:val="14"/>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1/1/10-3/31/10(9)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1/1/10-3/31/10(10)</w:t>
            </w:r>
          </w:p>
        </w:tc>
        <w:tc>
          <w:tcPr>
            <w:tcW w:w="42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1/1/10-3/31/10(11)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1/1/10-3/31/10</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3/31/2010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30,045,965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(1,695,466)</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28,351,198</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Restricted investment-MTP(2)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676,499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(27,962)(12)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648,542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letter of credit(3)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500,166</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IPR&amp;D(4)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4,800,000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9,142,205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9,142,205</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Escrow holdback(6)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(1,094,045)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142,500(13)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(951,559)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MTP liability(2)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(676,499)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27,962(12)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(648,542)</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liability(7)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(1,956,000)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(1,956,000)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(29,258,137)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1,695,466</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(31,307)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(27,594,664)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Restricted cash consists of cash held in a separate trust account, managed by a third-party, in connection with the $32.4 million of cash funded by Avigen and the $3.0 million of cash paid by us, or the First Payment Consideration, less the $6.0 million paid out to Avigen shareholders who elected a cash payout at the merger closing date and the Second Payment Consideration described in (6)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52"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Restricted investment consists of cash held in an irrevocable grantor trust, or rabbi trust, which is intended to fund benefit obligations under the Avigen, Inc. Management Transition Plan, or MTP. These funds represent reserves for benefits eligible to terminated employees as defined by the MTP. Accordingly, we booked the associated MTP liability. Upon termination of the trust, these funds are to be paid to the former Avigen stockholders on a pro rata basis.</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Restricted letter of credit consists of cash provided as a credit guarantee and security for an irrevocable letter of credit related to Avigen’s original lease of office space which expires November 30, 2010. Any funds remaining after the letter of credit expires will revert to the escrow holdback account described below.</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In-process research and development (“IPR&amp;D”) represents an estimate of fair value of in-process technology related to Avigen’s AV411 program, which at the merger closing date, had not received U.S. Food and Drug Administration (“FDA”) approval for any indication. As such, pursuant to ASC 805, amortization of the IPR&amp;D will not occur until it reaches market feasibility. The annual test date for IPR&amp;D impairment is December 31. During the three months ended March 31, 2010 and through the date of this report, there were no triggering events, market conditions or other factors that would indicate possible or actual impairment of IPR&amp;D.</w:t>
      </w:r>
    </w:p>
    <w:p>
      <w:pPr>
        <w:spacing w:after="0" w:line="2"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included in the purchase price of Avigen the fair value of the aggregate merger consideration, which included both the convertible notes associated with the First Payment Consideration described in (1) above and the Second Payment Consideration described in (6) below, the $3.0 million cash paid by us and the conversion feature on the convertible notes. As such, we recorded $9.1 million of goodwill related to the excess purchase price over the assigned values of the net assets acquired. The goodwill was primarily a direct result of the fair value of the conversion feature of the convertible notes. The annual test date for goodwill impairment is December 31. During the three months ended March 31, 2010 and through the date of this report, there were no triggering events, market conditions or other factors that would indicate possible or actual impairment of goodwill.</w:t>
      </w:r>
    </w:p>
    <w:p>
      <w:pPr>
        <w:spacing w:after="0" w:line="4"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the closing of the merger, we and Avigen funded $1,500,000 in a combination of cash and a letter of credit in a separate escrow account, or Second Payment Consideration, pursuant to an escrow agreement. The Second Payment Consideration is considered the “escrow holdback.” We and Avigen identified certain additional liabilities of approximately $400,000 prior to closing of the Merger. As such, in accordance with the procedures set forth in the escrow agreement, $400,000 was released from the escrow account in satisfaction of these additional liabilities. As a result, the Second Payment Consideration is estimated to be no more than approximately $1.1 million, or $0.04 per share of Avigen common stock outstanding immediately prior to the Merger. At acquisition date, we recorded the escrow holdback in our consolidated balance sheet at fair value.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deferred tax liability represents the book to tax basis difference related to IPR&amp;D acquired through the acquisition of Avigen.</w:t>
      </w:r>
    </w:p>
    <w:p>
      <w:pPr>
        <w:spacing w:after="0" w:line="9" w:lineRule="exact"/>
        <w:rPr>
          <w:rFonts w:ascii="Arial" w:cs="Arial" w:eastAsia="Arial" w:hAnsi="Arial"/>
          <w:sz w:val="18"/>
          <w:szCs w:val="18"/>
          <w:color w:val="auto"/>
        </w:rPr>
      </w:pPr>
    </w:p>
    <w:p>
      <w:pPr>
        <w:ind w:left="460" w:right="30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the closing of the merger, we and American Stock Transfer &amp; Trust Company, LLC, as trustee, entered into an indenture governing the terms of the convertible notes. Under the terms of a separate trust agreement, $29.4 million, which represents the initial principal amount of the convertible notes, or 83% of the First Payment Consideration, was deposited with a trust agent for the benefit of the holders and us (the amount of such deposit together with interest accrued and capitalized thereon, the Property). See (11) below which discusses the discount on the convertible notes. At the election of the respective convertible note holders, the convertible notes can be converted into our common stock at the conversion price of $6.80 per share. Upon maturity of the convertible notes on June 18, 2011, the 18-month anniversary of the closing of the merger, we will use the Property to pay the principal amount of, and accrued interest on, the remaining convertible notes. For the three months ended March 31, 2010, $686 was the amount of interest capitalized on the convertible notes.</w:t>
      </w:r>
    </w:p>
    <w:p>
      <w:pPr>
        <w:spacing w:after="0" w:line="5"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months ended March 31, 2010, 249,291 shares of our common stock were issued in connection with the conversion of convertible notes to our common stock at a conversion price of $6.80, with any fractional shares being paid out of restricted cash. The $1.7 million of proceeds received as a result of the convertible notes conversions into our common stock were deposited into a money market account and recorded as cash and cash equivalents in our consolidated balance sheet at March 31, 2010.</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earned on the restricted cash, investment and letter of credit balances is added to the principal of the respective liability accounts.</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December 31, 2009, the fair value of the convertible notes was less than their face value. As a result, over the term of the convertible notes (18 months) we will accrete the discount on the convertible notes with the offset being charged to interest expense.</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reduction in restricted investments and MTP liability relate to the payout of eligible benefits to terminated employees.</w:t>
      </w:r>
    </w:p>
    <w:p>
      <w:pPr>
        <w:spacing w:after="0" w:line="9" w:lineRule="exact"/>
        <w:rPr>
          <w:rFonts w:ascii="Arial" w:cs="Arial" w:eastAsia="Arial" w:hAnsi="Arial"/>
          <w:sz w:val="18"/>
          <w:szCs w:val="18"/>
          <w:color w:val="auto"/>
        </w:rPr>
      </w:pPr>
    </w:p>
    <w:p>
      <w:pPr>
        <w:ind w:left="460" w:right="40" w:hanging="452"/>
        <w:spacing w:after="0" w:line="25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terms of the escrow agreement, on or prior to June 30, 2010, we are entitled to submit one demand certificate to claim all or a portion of the funds in the escrow account with respect to certain liabilities, including liabilities in excess of specified amounts agreed upon by the parties. We believe the settlement of the Pennsylvania Avenue Fund litigation would qualify as a claimable liability; therefore, at March 31, 2010 we reduced the escrow holdback by the amount specified in the April 2010 preliminary settlement. (See Note 8, Commitments and Contingencies, for further information regarding this lawsuit.)</w:t>
      </w:r>
    </w:p>
    <w:p>
      <w:pPr>
        <w:spacing w:after="0" w:line="145" w:lineRule="exact"/>
        <w:rPr>
          <w:sz w:val="20"/>
          <w:szCs w:val="20"/>
          <w:color w:val="auto"/>
        </w:rPr>
      </w:pPr>
    </w:p>
    <w:p>
      <w:pPr>
        <w:jc w:val="center"/>
        <w:ind w:right="80"/>
        <w:spacing w:after="0" w:line="440" w:lineRule="auto"/>
        <w:rPr>
          <w:sz w:val="20"/>
          <w:szCs w:val="20"/>
          <w:color w:val="auto"/>
        </w:rPr>
      </w:pPr>
      <w:r>
        <w:rPr>
          <w:rFonts w:ascii="Arial" w:cs="Arial" w:eastAsia="Arial" w:hAnsi="Arial"/>
          <w:sz w:val="18"/>
          <w:szCs w:val="18"/>
          <w:color w:val="auto"/>
        </w:rPr>
        <w:t>See Notes to Consolidated Financial Statements—Note 2, Avigen Transaction, in our Annual Report on Form 10-K for further information on the Avigen merger. 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Measurements—Other Than Intangibles and Goodwill</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defined in the authoritative guidance for fair value measurements and disclosures under ASC 820 (formerly SFAS No. 157),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153"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620" w:right="620" w:hanging="1160"/>
        <w:spacing w:after="0" w:line="268"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620" w:right="540" w:hanging="1160"/>
        <w:spacing w:after="0" w:line="370"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March 31, 2010, cash and cash equivalents (instruments with maturities of three months or less at the date of purchase) were $15.6 million and primarily invested in money market accounts. At March 31, 2010, restricted cash, restricted investments and restricted letter of credit were $29.5 million and primarily invested in money market funds. We measure our cash equivalents, restricted cash, restricted investments and restricted letter of credit on a recurring basis and the fair value of these are current assets is based on Level 1 criteria in which their carrying amount is a reasonable estimate of their fair value based on daily quoted market prices.</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At March 31, 2010, we held investment securities-current of $20.9 million consisting of Auction Rate Securities (“ARS”), all of which had AAA ratings at the time of purchase, that principally represent interests in government-guaranteed student loans and we held an ARS Put (as defined below) in the amount of $2.8 million. In August 2008, UBS AG and its affiliates (“UBS”), the brokerage firm through which we purchased the majority of our ARS, entered into a settlement with the Securities and Exchange Commission (“SEC”), the New York Attorney General and other state agencies. Pursuant to the settlement, UBS issued to us Auction Rate Security Rights, which would allow us to sell to UBS our ARS held in accounts with UBS (“ARS Rights Offer”). As part of the ARS Rights Offer, we received the right to sell to UBS our ARS held in accounts with UBS at par value any time during the period beginning June 30, 2010 and ending July 2, 2012 (“ARS Put”). As part of the settlement, UBS also offered to us a no net cost loan program, whereby we would be able to borrow up to 75 percent of the market value, as determined by UBS at its sole discretion, of our ARS that have been pledged as collateral at an interest cost that would not exceed the interest being paid on the underlying ARS investments (“ARS Loan”). Under the terms of the ARS Loan, UBS may demand full or partial payment of the ARS Loan, at its sole option and without cause, at any time.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At June 30, 2009, the ARS associated with the ARS Rights Offer and the ARS Put were reclassified out of long-term assets to current assets due to the time frame in which they can be readily converted to cash.</w:t>
      </w:r>
    </w:p>
    <w:p>
      <w:pPr>
        <w:spacing w:after="0" w:line="34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At March 31, 2010, the carrying cost of the ARS Loan, which approximates its fair value due to its short-term nature, was $14.4 million. For the three months ended March 31, 2010, $3.1 million of our current investment securities were redeemed at par value, with the proceeds being used to pay down the outstanding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balance of the ARS Loan. Although the ARS Loan is a “no net cost loan”, for the three months ended March 31, 2010, approximately $44,000 of interest (or 1.4%) was charged on the ARS Loan and approximately $106,000 of interest earned on the associated ARS for the three months ended March 31, 2010 was applied to the ARS Loan. Total interest earned on all cash, cash equivalents and investment securities totaled approximately $161,000 for the three months ended March 31, 2010.</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At March 31, 2010, we held long-term investments of $1.8 million which consisted of ARS that principally represent interests in insurance notes and portfolios of securities (primarily commercial paper).</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At March 31, 2010, our total ARS portfolio (both current and long-term) totaled $22.7 million at fair value ($26.1 million at par value), of which $1.8 million at fair value ($2.2 million at par value) consisted of private placement securities. None of the underlying collateral of our ARS portfolio consisted of subprime mortgages or collateralized debt obligations. Our ARS were designated as trading investment securities at December 31, 2008. We measure all of our ARS and the ARS Put on a recurring basis based on Level 3 criteria because neither an active primary nor active secondary market exists for these securities. The table below reconciles fair value of our ARS trading investment securities and the ARS Put at December 31, 2009 with fair value at March 31, 2010, as determined by Level 3 (unobservable) inputs: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6"/>
              </w:rPr>
              <w:t>Transfers in/(out)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Transfers in/(out)</w:t>
            </w:r>
          </w:p>
        </w:tc>
        <w:tc>
          <w:tcPr>
            <w:tcW w:w="2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Long-term to</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Sales/</w:t>
            </w:r>
          </w:p>
        </w:tc>
        <w:tc>
          <w:tcPr>
            <w:tcW w:w="16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Impairment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Level 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Current</w:t>
            </w:r>
          </w:p>
        </w:tc>
        <w:tc>
          <w:tcPr>
            <w:tcW w:w="28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Redemptions</w:t>
            </w:r>
          </w:p>
        </w:tc>
        <w:tc>
          <w:tcPr>
            <w:tcW w:w="16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Charge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Gain at</w:t>
            </w:r>
          </w:p>
        </w:tc>
        <w:tc>
          <w:tcPr>
            <w:tcW w:w="12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12/31/09</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8"/>
              </w:rPr>
              <w:t>1/1/10-3/31/10</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1/1/10-3/31/10</w:t>
            </w:r>
          </w:p>
        </w:tc>
        <w:tc>
          <w:tcPr>
            <w:tcW w:w="28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1/1/10-3/31/10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8"/>
              </w:rPr>
              <w:t>3/31/10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89"/>
              </w:rPr>
              <w:t>3/31/10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3/31/10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securities-current asset(1)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24,254,987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(3,100,000)</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(241,329)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20,913,658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color w:val="auto"/>
                <w:w w:val="97"/>
              </w:rPr>
              <w:t>Investment securities-long-term asset(2)</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2"/>
            <w:vMerge w:val="continue"/>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2,085,425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(294,192)</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4,880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1,796,113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ARS Put-current asset(3)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2,557,007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228,971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2,785,978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20" w:hanging="332"/>
        <w:spacing w:after="0" w:line="28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Aggregated fair value reported at March 31, 2010 reflects fair value as determined by our discounted cash flow model with liquidity discounts, pursuant to which we took into consideration the brokerage firm’s pricing model, the tax status (taxable vs. tax exempt) of the security, credit quality of the issuer, assumed maturity (five years), insurance wraps and the portfolio composition. We also made assumptions regarding future cash flows and the likelihood of the ARS being redeemed or refinanced. In addition, we performed a sensitivity analysis by calculating fair value with a maturity of one year through ten years. The annual coupon rate utilized was set at the U.S. Treasury Department published average of the bond equivalent rates of the 91-day Treasury bills auctioned during the quarter ending March 31, 2010 (which was the Federal Family Education Loan Program special allowance rate for the quarter ending March 31, 2010) plus 120 basis points. We believe that using this interest rate is reasonable given that a majority of our ARS portfolio is collateralized by student loans guaranteed by the U.S. government under the Federal Family Education Loan Program. Using our discounted cash flow model with liquidity discounts ranging from 3% to 27%, we calculated aggregate fair value for these securities, which ranged between $22.6 million with a two-year maturity, $19.8 million with a seven-year maturity and $18.3 million with a ten-year maturity. As of March 31, 2010, these ARS continued to pay interest according to their stated interest terms, and during the three months ended March 31, 2010, we received a partial redemption at par value of $150,000 on one of the securities and one of the securities was redeemed in full at par value. However, as these investment securities are trading securities, the decrease of approximately $241,000 in the overall fair value of the ARS was a recorded as a loss in our consolidated statement of operations. Pursuant to the ARS Rights Offer, the earliest date that we can redeem these investment securities at par is June 30, 2010; therefore, we believe these investment securities are appropriately classified as current assets.</w:t>
      </w:r>
    </w:p>
    <w:p>
      <w:pPr>
        <w:spacing w:after="0" w:line="4" w:lineRule="exact"/>
        <w:rPr>
          <w:rFonts w:ascii="Arial" w:cs="Arial" w:eastAsia="Arial" w:hAnsi="Arial"/>
          <w:sz w:val="16"/>
          <w:szCs w:val="16"/>
          <w:color w:val="auto"/>
        </w:rPr>
      </w:pPr>
    </w:p>
    <w:p>
      <w:pPr>
        <w:ind w:left="340" w:right="60" w:hanging="332"/>
        <w:spacing w:after="0" w:line="25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Aggregated fair value reported at March 31, 2010 reflects fair value as determined by our discounted cash flow model, which employed liquidity discounts ranging from 3% to 25% depending on the security type and included assumptions regarding future cash flows and the likelihood of the redemption or refinancing of such ARS. We believe the assumed maturities (seven years) we utilized to be reasonable after discussing with certain financial advisors the outlook of the ARS market. We also performed a sensitivity analysis by calculating fair value with a maturity of one year through ten years. The interest rate utilized in the model was the London Interbank Offered Rate (“LIBOR”) plus the spread, as indicated in the respective security prospectus which was generally 200 basis points. The LIBOR rate was per bankrate.com, which we deemed as a reasonable source given it is a widely utilized third-party rate source. Using these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160"/>
        <w:spacing w:after="0" w:line="283" w:lineRule="auto"/>
        <w:rPr>
          <w:sz w:val="20"/>
          <w:szCs w:val="20"/>
          <w:color w:val="auto"/>
        </w:rPr>
      </w:pPr>
      <w:r>
        <w:rPr>
          <w:rFonts w:ascii="Arial" w:cs="Arial" w:eastAsia="Arial" w:hAnsi="Arial"/>
          <w:sz w:val="16"/>
          <w:szCs w:val="16"/>
          <w:color w:val="auto"/>
        </w:rPr>
        <w:t>inputs, we calculated aggregate fair value for these securities, which ranged between $2.1 million with a two-year maturity for all securities, $1.9 million with a five-year maturity for all securities and $1.6 million with a ten-year maturity. As of March 31, 2010, the ARS continue to pay interest according to their stated interest terms. Because these investment securities are trading securities, the approximately $5,000 increase in fair value was recorded as a gain in our consolidated statement of operations. In addition, because of our expectation as to when we may be required to liquidate these ARS for operating purposes, we believe these securities are appropriately classified as long-term investments in our consolidated balance sheets.</w:t>
      </w:r>
    </w:p>
    <w:p>
      <w:pPr>
        <w:spacing w:after="0" w:line="2" w:lineRule="exact"/>
        <w:rPr>
          <w:sz w:val="20"/>
          <w:szCs w:val="20"/>
          <w:color w:val="auto"/>
        </w:rPr>
      </w:pPr>
    </w:p>
    <w:p>
      <w:pPr>
        <w:ind w:left="340" w:right="20" w:hanging="332"/>
        <w:spacing w:after="0" w:line="288"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elected to measure the ARS Put under the fair value option of ASC 825, authoritative guidance on financial instruments (formerly SFAS No. 159), to mitigate the volatility in reported earnings due to the linkage of certain of our ARS and the ARS Put. Fair value of the ARS Put, which equaled $2.8 million at March 31, 2010, was also determined through the use of a discounted cash flow valuation model with assumptions being made related to interest rate, maturity and liquidity. We effectively used a liquidity discount of approximately 5%, an interest rate of approximately 5% which took into consideration the brokerage firm’s weighted average cost of capital and a maturity of 12 months. Based on our discounted cash flow valuation, at March 31, 2010, we recorded a gain of approximately $229,000 in our consolidated statement of operations, which minimized the loss we recognized on the linked ARS. In addition, as the ARS Put can be exercised within 12 months, we believe the put’s classification as a current asset is appropriate.</w:t>
      </w:r>
    </w:p>
    <w:p>
      <w:pPr>
        <w:spacing w:after="0" w:line="12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portion of trading gains and losses for the three months ended March 31, 2010 related to our investment securities classified as trading securities which were still held at March 31, 2010 is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loss recognized on trading securities</w:t>
            </w:r>
          </w:p>
        </w:tc>
        <w:tc>
          <w:tcPr>
            <w:tcW w:w="3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$(7,479)</w:t>
            </w: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 recognized on trading securities sold</w:t>
            </w:r>
          </w:p>
        </w:tc>
        <w:tc>
          <w:tcPr>
            <w:tcW w:w="3160" w:type="dxa"/>
            <w:vAlign w:val="bottom"/>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trading securities still held</w:t>
            </w:r>
          </w:p>
        </w:tc>
        <w:tc>
          <w:tcPr>
            <w:tcW w:w="3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(7,479)</w:t>
            </w: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presents our financial instruments measured at fair value on a non-recurring basis classified by the fair value measurements and disclosures valuation hierarchy: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As of March 31, 2010</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520" w:type="dxa"/>
            <w:vAlign w:val="bottom"/>
            <w:tcBorders>
              <w:bottom w:val="single" w:sz="8" w:color="auto"/>
            </w:tcBorders>
            <w:gridSpan w:val="6"/>
          </w:tcPr>
          <w:p>
            <w:pPr>
              <w:ind w:left="340"/>
              <w:spacing w:after="0" w:line="142" w:lineRule="exact"/>
              <w:rPr>
                <w:sz w:val="20"/>
                <w:szCs w:val="20"/>
                <w:color w:val="auto"/>
              </w:rPr>
            </w:pPr>
            <w:r>
              <w:rPr>
                <w:rFonts w:ascii="Arial" w:cs="Arial" w:eastAsia="Arial" w:hAnsi="Arial"/>
                <w:sz w:val="14"/>
                <w:szCs w:val="14"/>
                <w:b w:val="1"/>
                <w:bCs w:val="1"/>
                <w:color w:val="auto"/>
              </w:rPr>
              <w:t>Fair Value Measurements Using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4"/>
              </w:rPr>
              <w:t>Level 1</w:t>
            </w:r>
          </w:p>
        </w:tc>
        <w:tc>
          <w:tcPr>
            <w:tcW w:w="34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8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Escrow holdback (1, 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951,559</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951,559</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3"/>
            <w:vMerge w:val="restart"/>
          </w:tcPr>
          <w:p>
            <w:pPr>
              <w:spacing w:after="0"/>
              <w:rPr>
                <w:sz w:val="20"/>
                <w:szCs w:val="20"/>
                <w:color w:val="auto"/>
              </w:rPr>
            </w:pPr>
            <w:r>
              <w:rPr>
                <w:rFonts w:ascii="Arial" w:cs="Arial" w:eastAsia="Arial" w:hAnsi="Arial"/>
                <w:sz w:val="18"/>
                <w:szCs w:val="18"/>
                <w:color w:val="auto"/>
              </w:rPr>
              <w:t>Non-current liability: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Convertible notes (1, 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27,594,664</w:t>
            </w:r>
          </w:p>
        </w:tc>
        <w:tc>
          <w:tcPr>
            <w:tcW w:w="3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27,594,664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3"/>
          </w:tcPr>
          <w:p>
            <w:pPr>
              <w:spacing w:after="0"/>
              <w:rPr>
                <w:sz w:val="20"/>
                <w:szCs w:val="20"/>
                <w:color w:val="auto"/>
              </w:rPr>
            </w:pPr>
            <w:r>
              <w:rPr>
                <w:rFonts w:ascii="Arial" w:cs="Arial" w:eastAsia="Arial" w:hAnsi="Arial"/>
                <w:sz w:val="18"/>
                <w:szCs w:val="18"/>
                <w:color w:val="auto"/>
              </w:rPr>
              <w:t>Total non-current liability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27,594,664</w:t>
            </w:r>
          </w:p>
        </w:tc>
        <w:tc>
          <w:tcPr>
            <w:tcW w:w="32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27,594,664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83"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the convertible notes and escrow holdback and their related conversion feature was based on a binomial option pricing model (“BOPM”). Assumptions used in the BOPM included the maturity date of the convertible notes and the escrow holdback, the time between nodes, volatility, face value of the convertible notes and the escrow holdback at the merger closing date and the risk-free rate. The maturity date utilized was 1.5 year based on the maturity of the notes in June 2011. As our projected period was 1.5 years we used the average of the one and two year U.S. Treasury bonds as of the closing date and we based volatility on the historical volatility of publicly-traded comparable companies to Avigen and our stock price volatility. See Notes to Consolidated Financial Statements- Note 2, Avigen Transaction in our Annual Report on Form 10-K for further information on the BOPM.</w:t>
      </w:r>
    </w:p>
    <w:p>
      <w:pPr>
        <w:spacing w:after="0" w:line="1" w:lineRule="exact"/>
        <w:rPr>
          <w:rFonts w:ascii="Arial" w:cs="Arial" w:eastAsia="Arial" w:hAnsi="Arial"/>
          <w:sz w:val="16"/>
          <w:szCs w:val="16"/>
          <w:color w:val="auto"/>
        </w:rPr>
      </w:pPr>
    </w:p>
    <w:p>
      <w:pPr>
        <w:ind w:left="460" w:right="12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we recorded the convertible notes as a liability upon merger closing on December 18, 2009, following ASC 805, the fair value of the conversion feature was accounted for within equity and will not be re-measured during interim periods and subsequent settlements (conversions to our stock) will be accounted for in equity. See Note 2, Avigen Transaction, above for information on the activity impacting the convertible notes liability during the three months ended March 31, 2010.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we recorded the escrow holdback as a liability upon merger closing on December 18, 2009, following ASC 805, the fair value of the conversion feature was accounted for within equity and will not be re-measured during interim periods and subsequent settlements (conversions to our stock) for those who elected convertible notes will be accounted for in equity. See Note 2, Avigen Transaction, above for information on the activity impacting the escrow holdback liability during the three months ended March 31,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Net loss per share is presented as basic and diluted net loss per share. Basic net loss per share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stock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 For the three months ended March 31, 2010 and March 31, 2009, respectively, 4,641,016 and 109,669 potentially dilutive securities, were excluded from determining diluted earnings per share because of their anti-dilutive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Income (Loss)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authoritative guidance for comprehensive income under ASC 820 (formerly SFAS No. 130) requires that all components of comprehensive income (loss), including net income (loss), be reported in the financial statements in the period in which they are recognized. Comprehensive income (loss) is defined as the change in equity (net assets)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Our comprehensive loss includes unrealized losses on marketable securities and currency translation. The table below sets forth the components of our accumulated other comprehensive loss at:</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March 31,</w:t>
            </w:r>
          </w:p>
        </w:tc>
        <w:tc>
          <w:tcPr>
            <w:tcW w:w="2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r>
      <w:tr>
        <w:trPr>
          <w:trHeight w:val="161"/>
        </w:trPr>
        <w:tc>
          <w:tcPr>
            <w:tcW w:w="8480" w:type="dxa"/>
            <w:vAlign w:val="bottom"/>
          </w:tcPr>
          <w:p>
            <w:pPr>
              <w:spacing w:after="0"/>
              <w:rPr>
                <w:sz w:val="14"/>
                <w:szCs w:val="14"/>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2"/>
              </w:rPr>
              <w:t>$ (64,914)</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(29,744)</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Currency translation</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(1,222)</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(39,518)</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Ending balance</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(66,136)</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(69,262)</w:t>
            </w:r>
          </w:p>
        </w:tc>
      </w:tr>
      <w:tr>
        <w:trPr>
          <w:trHeight w:val="20"/>
        </w:trPr>
        <w:tc>
          <w:tcPr>
            <w:tcW w:w="8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and 2009, our comprehensive loss was $5,162,472 and $5,032,909,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Payments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March 31, 2010 and 2009, share-based compensation expense related to stock options of approximately $400,000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$500,000, respectively, was recorded as a component of general and administrative expense, and approximately $90,000 and $200,000, respectively, was recorded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as research and development expense. There were no stock option exercises during the three months ended March 31, 2010. As of March 31, 2010, there was $3.5</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million of unamortized compensation cost related to unvested stock option awards, which is expected to be recognized over a remaining weighted-average vesting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period of 1.6 years.</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exercise price of stock options to purchase 400,000 shares of common stock and 403,373 shares of common stock granted during the three months ended March 31, 2010 and March 31, 2009, respectively, was equal to market value on the date of grant and the share-based compensation expense for such stock options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reflected in operating results for the three months ended March 31, 2010 and March 31, 2009. The estimated fair value of each stock option award was determined on the date of grant using the Black-Scholes option valuation model with the following weighted-average assumptions for stock option grants: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780" w:type="dxa"/>
            <w:vAlign w:val="bottom"/>
            <w:gridSpan w:val="2"/>
          </w:tcPr>
          <w:p>
            <w:pPr>
              <w:jc w:val="right"/>
              <w:ind w:right="1540"/>
              <w:spacing w:after="0"/>
              <w:rPr>
                <w:sz w:val="20"/>
                <w:szCs w:val="20"/>
                <w:color w:val="auto"/>
              </w:rPr>
            </w:pPr>
            <w:r>
              <w:rPr>
                <w:rFonts w:ascii="Arial" w:cs="Arial" w:eastAsia="Arial" w:hAnsi="Arial"/>
                <w:sz w:val="14"/>
                <w:szCs w:val="14"/>
                <w:b w:val="1"/>
                <w:bCs w:val="1"/>
                <w:color w:val="auto"/>
                <w:w w:val="88"/>
              </w:rPr>
              <w:t>Three Months Ended</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6280" w:type="dxa"/>
            <w:vAlign w:val="bottom"/>
          </w:tcPr>
          <w:p>
            <w:pPr>
              <w:spacing w:after="0"/>
              <w:rPr>
                <w:sz w:val="14"/>
                <w:szCs w:val="14"/>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March 31, 2010</w:t>
            </w:r>
          </w:p>
        </w:tc>
        <w:tc>
          <w:tcPr>
            <w:tcW w:w="1540" w:type="dxa"/>
            <w:vAlign w:val="bottom"/>
          </w:tcPr>
          <w:p>
            <w:pPr>
              <w:spacing w:after="0"/>
              <w:rPr>
                <w:sz w:val="14"/>
                <w:szCs w:val="14"/>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March 31, 2009</w:t>
            </w:r>
          </w:p>
        </w:tc>
        <w:tc>
          <w:tcPr>
            <w:tcW w:w="200" w:type="dxa"/>
            <w:vAlign w:val="bottom"/>
          </w:tcPr>
          <w:p>
            <w:pPr>
              <w:spacing w:after="0"/>
              <w:rPr>
                <w:sz w:val="14"/>
                <w:szCs w:val="14"/>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8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1.38%</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1.60 %</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780" w:type="dxa"/>
            <w:vAlign w:val="bottom"/>
            <w:gridSpan w:val="2"/>
          </w:tcPr>
          <w:p>
            <w:pPr>
              <w:jc w:val="right"/>
              <w:ind w:right="1400"/>
              <w:spacing w:after="0"/>
              <w:rPr>
                <w:sz w:val="20"/>
                <w:szCs w:val="20"/>
                <w:color w:val="auto"/>
              </w:rPr>
            </w:pPr>
            <w:r>
              <w:rPr>
                <w:rFonts w:ascii="Arial" w:cs="Arial" w:eastAsia="Arial" w:hAnsi="Arial"/>
                <w:sz w:val="18"/>
                <w:szCs w:val="18"/>
                <w:color w:val="auto"/>
              </w:rPr>
              <w:t>76.63%</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69.00%</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8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0.00%</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2780" w:type="dxa"/>
            <w:vAlign w:val="bottom"/>
            <w:gridSpan w:val="2"/>
          </w:tcPr>
          <w:p>
            <w:pPr>
              <w:jc w:val="right"/>
              <w:ind w:right="1540"/>
              <w:spacing w:after="0"/>
              <w:rPr>
                <w:sz w:val="20"/>
                <w:szCs w:val="20"/>
                <w:color w:val="auto"/>
              </w:rPr>
            </w:pPr>
            <w:r>
              <w:rPr>
                <w:rFonts w:ascii="Arial" w:cs="Arial" w:eastAsia="Arial" w:hAnsi="Arial"/>
                <w:sz w:val="18"/>
                <w:szCs w:val="18"/>
                <w:color w:val="auto"/>
              </w:rPr>
              <w:t>4.4</w:t>
            </w: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risk-free interest rate assumption is based upon observed interest rates appropriate for the expected term of our outstanding stock options. The expected volatility of our common stock is based on the historical volatility of our stock since listing on the Nasdaq Global Market in December 2006. We have not paid any dividends on our common stock since our inception, and we do not anticipate paying any dividends on our common stock in the foreseeable future. The expected term of employee stock options is based on the simplified method for “plain vanilla options” as provided by the authoritative guidance on stock compensation, as we concluded that our historical stock option exercise experience does not provide a reasonable basis for us to estimate the expected term.</w:t>
      </w:r>
    </w:p>
    <w:p>
      <w:pPr>
        <w:spacing w:after="0" w:line="116"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As share-based compensation expense recognized in the accompanying consolidated statement of operations for the three months ended March 31, 2010 was based on stock option awards ultimately expected to vest, such expense should be reduced for estimated forfeitures. The authoritative guidance for compensation under ASC 718 (formerly SFAS No. 123R) requires forfeitures to be estimated at the time of grant and revised, if necessary, in subsequent periods if actual forfeitures differ from those estimates. We have very few employees and our stock options vest monthly; therefore, we did not estimate any forfeitures during the first quarter of 2010, and we will adjust our stock-based compensation expense should any forfeitures occur. The weighted-average fair value of each stock option granted during the three months ended March 31, 2010, estimated as of the grant date using the Black-Scholes option valuation model, was $4.34 per stock option, whereas the weighted-average fair value of each stock option granted during the three months ended March 31, 2009 was $1.16 per stock 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accordance with the authoritative guidance for income taxes under ASC 740 (formerly SFAS No. 109), a deferred liability is determined based on the difference between the financial statement and the tax basis of assets and liabilities as measured by the enacted tax rates, which will be in effect when these differences reverse. We provide a valuation allowance against net deferred assets unless, based upon the available evidence, it is more likely than not that the deferred tax assets will be realized.</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March 31, 2010 and we have we not recorded any uncertain income tax benefits at March 31, 2010.</w:t>
      </w:r>
    </w:p>
    <w:p>
      <w:pPr>
        <w:spacing w:after="0" w:line="207" w:lineRule="exact"/>
        <w:rPr>
          <w:sz w:val="20"/>
          <w:szCs w:val="20"/>
          <w:color w:val="auto"/>
        </w:rPr>
      </w:pPr>
    </w:p>
    <w:p>
      <w:pPr>
        <w:ind w:right="8740" w:firstLine="8"/>
        <w:spacing w:after="0" w:line="391" w:lineRule="auto"/>
        <w:tabs>
          <w:tab w:leader="none" w:pos="176"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August 24, 2009, The Pennsylvania Avenue Funds, an Avigen stockholder, filed a complaint in Alameda County Superior Court alleging that Avigen’s directors breached their fiduciary duties in connection with the proposed transaction with us. On October 15, 2009, The Pennsylvania Avenue Funds filed an amended complaint adding us as a defendant. In the amended complaint, The Pennsylvania Avenue funds alleged, among other things, that we aided and abetted the alleged breach of fiduciary duties by the Avigen directors. Avigen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Pennsylvania Avenue Funds have signed a stipulation of settlement agreement and moved the court for preliminary approval. A case management conference was scheduled for March 8, 2010. We and our directors intend to take all appropriate actions to defend the suit. The Court heard oral argument on the Motion for Preliminary Approval of Settlement and held a case management conference on March 8, 2010, during which it raised a few issues regarding the settlement provisions. On April 6, 2010, the Superior Court for the State of California for the County of Alameda approved the preliminary settlement and set a final settlement hearing for June 24, 2010. Under the terms of the Stipulation of Settlement, Avigen, a wholly-owned subsidiary of ours, has agreed not to oppose a fee motion by counsel to The Pennsylvania Avenue Funds for fees and expenses in the amount not to exceed $140,000 and a petition by The Pennsylvania Avenue Funds for an incentive award of up to $2,500. Under the Order Preliminarily Approving Settlement and Providing for Notice preliminarily certifies a class and states that such class is all persons or entities who held common stock of Avigen, either of record or beneficially, between August 20, 2009, through and including December 18, 2009. Members of the class may request exclusion from the class by June 7, 2010. We believe that the payment of the aforementioned amounts would qualify for reimbursement under the terms of the Avigen transaction and as such we have reclassified $142,500 out of the escrow holdback liability and recorded it as an accrued liability on our consolidated balance sheet at March 31, 2010 as it is reasonably possible we will have to pay the maximum amounts we have agreed to not oppose.</w:t>
      </w:r>
    </w:p>
    <w:p>
      <w:pPr>
        <w:spacing w:after="0" w:line="199" w:lineRule="exact"/>
        <w:rPr>
          <w:sz w:val="20"/>
          <w:szCs w:val="20"/>
          <w:color w:val="auto"/>
        </w:rPr>
      </w:pPr>
    </w:p>
    <w:p>
      <w:pPr>
        <w:ind w:right="9640" w:firstLine="8"/>
        <w:spacing w:after="0" w:line="391" w:lineRule="auto"/>
        <w:tabs>
          <w:tab w:leader="none" w:pos="176"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Options</w:t>
      </w:r>
    </w:p>
    <w:p>
      <w:pPr>
        <w:spacing w:after="0" w:line="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currently grant stock options to our employees, officers, directors and consultants under the 2004 Plan, the successor to the 2000 Plan. No additional stock options have been or will be issued under the 2000 Plan subsequent to our initial public offering. However, the stock options previously granted under the 2000 Plan will remain outstanding until the earlier of expiration or exercise.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changes in stock options outstanding under the 2000 Plan and 2004 Plan during the three months ended March 31, 2010 is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0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rPr>
              <w:t>Stock</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Options</w:t>
            </w:r>
          </w:p>
        </w:tc>
        <w:tc>
          <w:tcPr>
            <w:tcW w:w="74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Exercise 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2,055,576</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338"/>
              <w:spacing w:after="0"/>
              <w:rPr>
                <w:sz w:val="20"/>
                <w:szCs w:val="20"/>
                <w:color w:val="auto"/>
              </w:rPr>
            </w:pPr>
            <w:r>
              <w:rPr>
                <w:rFonts w:ascii="Arial" w:cs="Arial" w:eastAsia="Arial" w:hAnsi="Arial"/>
                <w:sz w:val="18"/>
                <w:szCs w:val="18"/>
                <w:color w:val="auto"/>
                <w:w w:val="85"/>
              </w:rPr>
              <w:t>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Granted</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ind w:left="338"/>
              <w:spacing w:after="0"/>
              <w:rPr>
                <w:sz w:val="20"/>
                <w:szCs w:val="20"/>
                <w:color w:val="auto"/>
              </w:rPr>
            </w:pPr>
            <w:r>
              <w:rPr>
                <w:rFonts w:ascii="Arial" w:cs="Arial" w:eastAsia="Arial" w:hAnsi="Arial"/>
                <w:sz w:val="18"/>
                <w:szCs w:val="18"/>
                <w:color w:val="auto"/>
                <w:w w:val="85"/>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298"/>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Cancelled</w:t>
            </w:r>
          </w:p>
        </w:tc>
        <w:tc>
          <w:tcPr>
            <w:tcW w:w="3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ind w:left="298"/>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30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2,455,576</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338"/>
              <w:spacing w:after="0"/>
              <w:rPr>
                <w:sz w:val="20"/>
                <w:szCs w:val="20"/>
                <w:color w:val="auto"/>
              </w:rPr>
            </w:pPr>
            <w:r>
              <w:rPr>
                <w:rFonts w:ascii="Arial" w:cs="Arial" w:eastAsia="Arial" w:hAnsi="Arial"/>
                <w:sz w:val="18"/>
                <w:szCs w:val="18"/>
                <w:color w:val="auto"/>
                <w:w w:val="85"/>
              </w:rPr>
              <w:t>8.42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aggregate intrinsic value of stock options exercised during the three months ended March 31, 2010 was $0. The aggregate intrinsic value of stock options outstanding at March 31, 2010 and exercisable at March 31, 2010 was approximately $3.1 million and approximately $1.1 million, respectively. Of the total stock options outstanding as of March 31, 2010, options to purchase 1,442,911 shares of common stock are exercisable, with a weighted average exercise price of $10.11 per share and a weighted average contractual life of 6.8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assumptions were used to value the March 31, 2010 employee stock purchases: a risk-free interest rate of 2.37%, expected volatility of 73%, expected term of 6 months and a dividend rate of 0%. At March 31, 2010, 4,486 shares of common stock were issued under the ESPP and 261,199 shares of common stock were available for future issuance.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Holders of the convertible notes may submit conversion notices, which are irrevocable, instructing the trustee to convert such convertible notes into shares of our common stock at an initial conversion price of $6.80 per share. Following each conversion date, which date generally is the final business day of each calendar month, we will issue the number of whole shares of common stock issuable upon conversion as promptly as practicable (and in any event within 10 business days). The trustee will in turn release to us the respective amount of restricted cash to cover the stock issuance. We will then invest the unrestricted cash into either a money market fund or a money market account. Any fractional shares (after aggregating all convertible notes being converted by a holder on such date) will be rounded down and we will deliver cash for the current market value of the fractional share. For the three months ended March 31, 2010, $1.7 million of convertible notes were converted into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May 10, 2010, we entered into a loan and security agreement (“loan agreement”) with Oxford Finance Corporation (“Oxford”) providing for a term loan of $15.0 million. This loan is secured by substantially all of our assets other than intellectual property. Pursuant to the loan agreement, we issued to Oxford a warrant to acquire 198,020 shares of our common stock, par value $0.001 per share, at an exercise price of $6.06 per share. The net proceeds of $14.9 million were received on May 11, 2010 and will be used to satisfy working capital needs, including the continued development of MN-221.</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2009 included in our Annual Report on Form 10-K filed with the Securities and Exchange Commission, or SEC, on March 24, 2010. Past operating results are not necessarily indicative of results that may occur in future periods.</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and the differences may be material. Forward-looking statements discuss matters that are not historical facts. Forward-looking statements include, but are not limited to, statements regarding our plans, strategies, objectives,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We are a biopharmaceutical company focused on acquiring and developing novel, small molecule therapeutics for the treatment of diseases with unmet medical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 We were incorporated in Delaware in September 2000.</w:t>
      </w:r>
    </w:p>
    <w:p>
      <w:pPr>
        <w:spacing w:after="0" w:line="9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a development stage company. We have incurred significant net losses since our inception. At March 31, 2010, from inception, our accumulated deficit was approximately $252.5 million, including $46.8 million of non-cash stock-based compensation charges related to employee stock-based compensation and founders’ warrants. We expect to incur substantial net losses for at least the next several years as we continue to develop certain of our existing product development programs, primarily MN-221 for the treatment of acute exacerbations of asthma and Chronic Obstructive Pulmonary Disease, or COPD, exacerbations, and over the long-term if we are successful in expanding our research and development programs and acquiring or in-licensing products, technologies or businesses that are complementary to our own.</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acquired licenses to eight compounds for the development of ten product candidates. Our development pipeline consists of eight product development programs which have been in clinical development for the treatment of acute exacerbations of asthma, MS, bronchial asthma, IC, solid tumor cancers, Generalized Anxiety Disorders/insomnia, preterm labor and urinary incontinence, and two product development programs which have been in preclinical development for the treatment of thrombotic disorders. In addition, we have expanded our development program for MN-221 for the treatment of COPD exacerbations.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2009 we acquired Avigen Inc., or Avigen, a biopharmaceutical company that focused on identifying and developing differentiated products to treat patients with serious disorders, whose potential product candidate was AV411, a glial attenuator, for CNS disorders, such as neuropathic pain, opioid withdrawal and methamphetamine addiction. Avigen’s AV411 and our MN-166 are both ibudalist, an orally available, small molecule therapeutic. With the acquisition of AV411, we are in the process of integrating the two ibudalist-based product development programs and we are pursuing discussions with potential partners to secure a strategic collaboration to advance clinical development of the combined development programs.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present, we are focusing our resources on the following prioritized product development programs:</w:t>
      </w:r>
    </w:p>
    <w:p>
      <w:pPr>
        <w:spacing w:after="0" w:line="90" w:lineRule="exact"/>
        <w:rPr>
          <w:sz w:val="20"/>
          <w:szCs w:val="20"/>
          <w:color w:val="auto"/>
        </w:rPr>
      </w:pPr>
    </w:p>
    <w:p>
      <w:pPr>
        <w:ind w:left="900" w:right="40" w:hanging="446"/>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MN-221 for the treatment of acute exacerbations of asthma and COPD exacerbations, for which we initiated a Phase II clinical trial in the first quarter of 2009 to evaluate the safety and efficacy of MN-221 in patients with severe, acute exacerbations of asthma treated in the emergency room, which is on-going, and initiated a Phase 1b clinical trial in the fourth quarter of 2009 to evaluate the safety of MN-221 at planned escalating doses in patients with stable, moderate to severe COPD, in which we announced preliminary positive results in the first quarter of 2010.</w:t>
      </w:r>
    </w:p>
    <w:p>
      <w:pPr>
        <w:spacing w:after="0" w:line="31" w:lineRule="exact"/>
        <w:rPr>
          <w:rFonts w:ascii="Arial" w:cs="Arial" w:eastAsia="Arial" w:hAnsi="Arial"/>
          <w:sz w:val="16"/>
          <w:szCs w:val="16"/>
          <w:color w:val="auto"/>
        </w:rPr>
      </w:pPr>
    </w:p>
    <w:p>
      <w:pPr>
        <w:ind w:left="900" w:right="80" w:hanging="446"/>
        <w:spacing w:after="0" w:line="25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MN-166/AV411 for which we are in the process of integrating the two programs into a combined ibudalist-based product development program to pursue discussions with potential partners to secure a strategic collaboration. For MN-166 for the treatment of MS, we completed a Phase II clinical trial in Eastern Europe in the second quarter of 2008 and we are nearing the completion of a monkey toxicity preclinical study in 2010. For AV411 for other CNS disorders, we have an on-going Phase 1b/2a opioid withdrawal clinical trial being funded by the National Institute on Drug Abuse, or NIDA, which is expected to be completed by third quarter of 2010 and we have on-going collaborative studies with NIDA for methamphetamine addiction.</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completion of proof-of-concept Phase II clinical trials, we intend to make a determination as to whether we will continue to pursue development independently potentially in select markets, as we presently intend with MN-221, or establish a strategic collaboration to support further clinical development, as we presently intend with MN-166/AV411. In addition, we continue to limit development activities for the balance of our existing product candidates. For each of these remaining product candidates, we plan to conduct development activities only to the extent deemed necessary to maintain our license rights or maximize its value while pursuing a variety of initiatives to monetize such product candidate on appropriate terms. See “Research and Development” below.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eight non-prioritized product development programs consist of the following:</w:t>
      </w:r>
    </w:p>
    <w:p>
      <w:pPr>
        <w:spacing w:after="0" w:line="90" w:lineRule="exact"/>
        <w:rPr>
          <w:sz w:val="20"/>
          <w:szCs w:val="20"/>
          <w:color w:val="auto"/>
        </w:rPr>
      </w:pPr>
    </w:p>
    <w:p>
      <w:pPr>
        <w:ind w:left="900" w:right="4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III clinical program in the fourth quarter of 2006 that we subsequently terminated in the second quarter of 2007 and for which we developed prototypes of once-per-day oral dosing formulations;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II/III clinical trial in the first quarter of 2007;</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I clinical trial in the second quarter of 2006 and one Phase I clinical trial in the fourth quarter of 2007;</w:t>
      </w:r>
    </w:p>
    <w:p>
      <w:pPr>
        <w:spacing w:after="0" w:line="50" w:lineRule="exact"/>
        <w:rPr>
          <w:rFonts w:ascii="Arial" w:cs="Arial" w:eastAsia="Arial" w:hAnsi="Arial"/>
          <w:sz w:val="18"/>
          <w:szCs w:val="18"/>
          <w:color w:val="auto"/>
        </w:rPr>
      </w:pPr>
    </w:p>
    <w:p>
      <w:pPr>
        <w:ind w:left="900" w:right="16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II/III clinical trial for the treatment of Generalized Anxiety Disorder in the second quarter of 2006 and a Phase II clinical trial for the treatment of insomnia in the fourth quarter of 2007;</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I clinical trial to investigate the pharmacokinetic profile of MN-221 in healthy pregnant women not in labor in the second quarter of 2007;</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I clinical trial in the fourth quarter of 2006 and a Phase I food effects study in the first quarter of 2007;</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December 18, 2009, Absolute Merger, Inc., a wholly-owned subsidiary of ours, merged with and into Avigen, with Avigen continuing as the surviving entity and wholly-owned subsidiary of ours. Under the terms of the merger, we issued $29.4 million in secured convertible notes that mature on June 18, 2011, the 18-month anniversary of the closing of the merger. Holders of these convertible notes may convert their notes into our common stock at an initial conversion price of $6.80 per share. At the maturity of the convertible notes, the remaining holders would be paid out the same per share amount as the Avigen shareholders that elected to receive cash at the merger closing, plus accrued interest. The former Avigen shareholders also are entitled to receive approximately $0.04 per share expected to be paid in two increments on June 30, 2010 and after November 30, 2010, subject to certain adjustments, and rights under contingent payment rights issued as part of the merger consideration.</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a result of the Avigen transaction, our consolidated financial statements include Avigen’s operations after the completion of the acquisition. We accounted for the Avigen merger using the acquisition method of accounting. The acquisition method of accounting for acquired businesses requires, among other things, that most assets acquired and liabilities assumed be recognized at their fair values as of the acquisition date and that the fair value of acquired in-process research and development (IPR&amp;D) be recorded on the balance sheet. Also, transaction costs are expensed as incurred. As a result of the Avigen transaction we recorded $4.8 million of IPR&amp;D related to Avigen’s AV411 asset and we recorded $9.1 million of goodwill related to the excess purchase price over the assigned values of the net assets acquired. The goodwill was primarily a result of the conversion feature related to the convertible notes issued pursuant to the merger agreement. Our annual test date for IPR&amp;D and goodwill impairment is December 31. We operate as one reporting segment and during the three months ended March 31, 2010 through the date of this report, there were no triggering events, market conditions (such as a drop in our stock price by more than 50%) or other factors (such as adverse clinical trial results) that would indicate possible or actual impairment of IPR&amp;D or goodwill.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9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On May 10, 2010, we entered into a loan and security agreement, or the Loan Agreement, with Oxford Finance Corporation, or Oxford, providing for a term loan of $15.0 million. This loan is secured by substantially all of our assets other than intellectual property. Pursuant to the Loan Agreement, we issued to Oxford a warrant to acquire 198,020 shares of our common stock, par value $0.001 per share, at an exercise price of $6.06 per share. The net proceeds of $14.9 million were received on May 11, 2010 and will be used to satisfy working capital needs, including the continued development of MN-221.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several years, if at all. Our revenues to date have been generated from providing development management services under master service agreements with Asahi Kasei Pharma Corporation and Argenes, Inc., pursuant to which we billed consulting fees and our pass-through clinical contract costs. The primary costs associated with our revenue were the clinical contract costs we incurred and passed-through to our customer. Our agreement with Asahi Kasei Pharma Corporation has been completed, and we terminated our agreement with Argenes, Inc. Therefore, we will not generate any further revenue from these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research and development expenses consist primarily of the license fees related to our product candidates, salaries and related employee benefits, costs associated with the preclinical and clinical development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of our product candidates, costs associated with non-clinical activities, such as regulatory expenses, and pre-commercialization manufacturing development activities. We use external service providers to manufacture our product candidates to be used in clinical trials and for the majority of the services performed in connection with the preclinical and clinical development of our product candidates; therefore, these research and development expenses consist substantially of external costs, such as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consist of costs of compensation and other expenses for research and development personnel, supplies, materials, facility costs and depreciation.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2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following table summarizes our research and development expenses for the periods indicated for each of our product candidates. To the extent that costs, including personnel costs, are not tracked to a specific product development program, such costs are included in the “Unallocated” category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6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1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Candidate</w:t>
            </w:r>
          </w:p>
        </w:tc>
        <w:tc>
          <w:tcPr>
            <w:tcW w:w="6880" w:type="dxa"/>
            <w:vAlign w:val="bottom"/>
          </w:tcPr>
          <w:p>
            <w:pPr>
              <w:ind w:left="2900"/>
              <w:spacing w:after="0" w:line="129" w:lineRule="exact"/>
              <w:rPr>
                <w:sz w:val="20"/>
                <w:szCs w:val="20"/>
                <w:color w:val="auto"/>
              </w:rPr>
            </w:pPr>
            <w:r>
              <w:rPr>
                <w:rFonts w:ascii="Arial" w:cs="Arial" w:eastAsia="Arial" w:hAnsi="Arial"/>
                <w:sz w:val="14"/>
                <w:szCs w:val="14"/>
                <w:b w:val="1"/>
                <w:bCs w:val="1"/>
                <w:color w:val="auto"/>
              </w:rPr>
              <w:t>Disease/Indication</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6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3"/>
              </w:rPr>
              <w:t>MN-221</w:t>
            </w:r>
          </w:p>
        </w:tc>
        <w:tc>
          <w:tcPr>
            <w:tcW w:w="124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Acute exacerbations of asthma/COPD</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$ 2,334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MN-166/AV411</w:t>
            </w:r>
          </w:p>
        </w:tc>
        <w:tc>
          <w:tcPr>
            <w:tcW w:w="6880" w:type="dxa"/>
            <w:vAlign w:val="bottom"/>
          </w:tcPr>
          <w:p>
            <w:pPr>
              <w:spacing w:after="0"/>
              <w:rPr>
                <w:sz w:val="20"/>
                <w:szCs w:val="20"/>
                <w:color w:val="auto"/>
              </w:rPr>
            </w:pPr>
            <w:r>
              <w:rPr>
                <w:rFonts w:ascii="Arial" w:cs="Arial" w:eastAsia="Arial" w:hAnsi="Arial"/>
                <w:sz w:val="18"/>
                <w:szCs w:val="18"/>
                <w:color w:val="auto"/>
              </w:rPr>
              <w:t>Multiple sclerosis/other CNS disorders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Bronchial asthma</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MN-001</w:t>
            </w:r>
          </w:p>
        </w:tc>
        <w:tc>
          <w:tcPr>
            <w:tcW w:w="6880" w:type="dxa"/>
            <w:vAlign w:val="bottom"/>
          </w:tcPr>
          <w:p>
            <w:pPr>
              <w:spacing w:after="0"/>
              <w:rPr>
                <w:sz w:val="20"/>
                <w:szCs w:val="20"/>
                <w:color w:val="auto"/>
              </w:rPr>
            </w:pPr>
            <w:r>
              <w:rPr>
                <w:rFonts w:ascii="Arial" w:cs="Arial" w:eastAsia="Arial" w:hAnsi="Arial"/>
                <w:sz w:val="18"/>
                <w:szCs w:val="18"/>
                <w:color w:val="auto"/>
              </w:rPr>
              <w:t>Interstitial cystitis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Solid tumors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MN-305</w:t>
            </w:r>
          </w:p>
        </w:tc>
        <w:tc>
          <w:tcPr>
            <w:tcW w:w="6880" w:type="dxa"/>
            <w:vAlign w:val="bottom"/>
          </w:tcPr>
          <w:p>
            <w:pPr>
              <w:spacing w:after="0"/>
              <w:rPr>
                <w:sz w:val="20"/>
                <w:szCs w:val="20"/>
                <w:color w:val="auto"/>
              </w:rPr>
            </w:pPr>
            <w:r>
              <w:rPr>
                <w:rFonts w:ascii="Arial" w:cs="Arial" w:eastAsia="Arial" w:hAnsi="Arial"/>
                <w:sz w:val="18"/>
                <w:szCs w:val="18"/>
                <w:color w:val="auto"/>
              </w:rPr>
              <w:t>Generalized Anxiety Disorder/insomnia</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Preterm labor</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MN-246</w:t>
            </w:r>
          </w:p>
        </w:tc>
        <w:tc>
          <w:tcPr>
            <w:tcW w:w="6880" w:type="dxa"/>
            <w:vAlign w:val="bottom"/>
          </w:tcPr>
          <w:p>
            <w:pPr>
              <w:spacing w:after="0"/>
              <w:rPr>
                <w:sz w:val="20"/>
                <w:szCs w:val="20"/>
                <w:color w:val="auto"/>
              </w:rPr>
            </w:pPr>
            <w:r>
              <w:rPr>
                <w:rFonts w:ascii="Arial" w:cs="Arial" w:eastAsia="Arial" w:hAnsi="Arial"/>
                <w:sz w:val="18"/>
                <w:szCs w:val="18"/>
                <w:color w:val="auto"/>
              </w:rPr>
              <w:t>Urinary incontinence</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Thrombotic disorders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MN-462</w:t>
            </w:r>
          </w:p>
        </w:tc>
        <w:tc>
          <w:tcPr>
            <w:tcW w:w="6880" w:type="dxa"/>
            <w:vAlign w:val="bottom"/>
          </w:tcPr>
          <w:p>
            <w:pPr>
              <w:spacing w:after="0"/>
              <w:rPr>
                <w:sz w:val="20"/>
                <w:szCs w:val="20"/>
                <w:color w:val="auto"/>
              </w:rPr>
            </w:pPr>
            <w:r>
              <w:rPr>
                <w:rFonts w:ascii="Arial" w:cs="Arial" w:eastAsia="Arial" w:hAnsi="Arial"/>
                <w:sz w:val="18"/>
                <w:szCs w:val="18"/>
                <w:color w:val="auto"/>
              </w:rPr>
              <w:t>Thrombotic disorders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6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60" w:type="dxa"/>
            <w:vAlign w:val="bottom"/>
            <w:gridSpan w:val="4"/>
          </w:tcPr>
          <w:p>
            <w:pPr>
              <w:spacing w:after="0"/>
              <w:rPr>
                <w:sz w:val="20"/>
                <w:szCs w:val="20"/>
                <w:color w:val="auto"/>
              </w:rPr>
            </w:pPr>
            <w:r>
              <w:rPr>
                <w:rFonts w:ascii="Arial" w:cs="Arial" w:eastAsia="Arial" w:hAnsi="Arial"/>
                <w:sz w:val="18"/>
                <w:szCs w:val="18"/>
                <w:color w:val="auto"/>
              </w:rPr>
              <w:t>Total research and development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$ 2,949</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of the end of the second quarter of 2007, we determined to focus our resources on the development of our two prioritized product candidates, MN-221 for the treatment of acute exacerbations of asthma and MN-166 for the treatment of MS. However, following completion of the Phase II clinical trial of MN-166 ibudalist for the treatment of MS in the second quarter of 2008 and the December 2009 acquisition of AV411 ibudalist for the treatment of other CNS disorders, we are in the process of combining the two ibudalist-based development programs and we are pursuing discussions with potential partners to secure a strategic collaboration. As such, we do not plan to undertake any further significant clinical development of MN-166/AV411 until such time that we secure a strategic collaboration to advance the combined ibudalist-based development program. In addition, as of the third quarter of 2009, we determined to expand the product development program for MN-221 to evaluate MN-221 for the treatment of COPD exacerbations. We anticipate that our research and development expenses will increase with respect to MN-221 in future periods as we continue development and launch clinical trials in support of potential commercialization of this product candidate for the treatment of acute exacerbations of asthma and COPD exacerbations and decrease with respect to MN-166/AV411 in future periods as we will limit expenditures on this product candidate to those development activities deemed necessary, if any, to maximize its value for purposes of securing a partner for clinical development. However, at this time, due to the risks inherent in the clinical development process and given the early stage of our MN-221 product development programs, we are unable to estimate with any certainty the costs that we will incur in the continued development of such product candidate for potential commercialization.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continue to limit our expenditures on the remainder of our existing product candidates to only those activities deemed necessary to maintain our license rights or maximize the value of such product candidates, if any, while pursuing a variety of initiatives to monetize such product candidates on appropriate terms. As a result, we expect that research and development expenses will decrease or otherwise remain low for the remainder of our existing product candidates in future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general and administrative expenses primarily consist of salaries, benefits and consulting and professional fees related to our administrative, finance, human resources, business development, legal and information systems support functions. In addition, general and administrative expenses include facilities and insurance costs. General and administrative costs are expensed as incurred or accrued based on monitoring the status of the specified project, contractual factors such as milestones or retainer fees, services provided and invoices received. As actual costs become known to us, we adjust our accruals. To date, general and administrative accruals have not differed significantly from the actual costs incurred.</w:t>
      </w:r>
    </w:p>
    <w:p>
      <w:pPr>
        <w:spacing w:after="0" w:line="11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We anticipate that our general and administrative expenses may increase in future periods if we are required to expand our infrastructure based on the success of our current prioritized product development programs and in raising capital to support those and other development programs or otherwise in connection with increased business development activities related to partnering, out-licensing or disposition of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and ARS Put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 securities consist of Auction Rate Securities, or ARS, all of which had AAA ratings at the time of original purchase. ARS are generally long-term debt instruments that historically have provided liquidity through a “Dutch” auction process that resets the applicable interest rate at predetermined calendar intervals, typically seven, 28, 35 or 49 days. All of our ARS principally represent interests in government-guaranteed student loans, insurance notes and portfolios of securities (primarily commercial paper). When our ARS were originally purchased, there was an active market for purchasing and selling ARS; therefore, we considered these investment securities to be available-for-sale.</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Due to continued negative conditions in the global credit markets, our ARS have continued to fail at auction with few to no trades in either the primary or the secondary markets. As such, with the adoption of Accounting Standards Codification, or ASC, 820, authoritative guidance for fair value measurements and disclosures (formerly Statement of Financial Accounting Standards, or SFAS, No. 157), we determine the fair value of our ARS portfolio primarily on Level 3 criteria, which results in our reliance on a discounted cash flow valuation model with assumptions related to interest rates, maturities and liquidity determined by us based on the credit quality of the security, the credit quality of the associated insurer, if applicable, the respective prospectus and the credit market outlook. Given the lack of a primary and secondary market for our ARS investment securities, we designated all of our ARS investment securities as trading securities at December 31, 2008. As a result, any additional increase or decrease in the fair value of our ARS investment securities is recorded as either a gain or an impairment charge, respectively, in our consolidated statement of operations. For the three months ended March 31, 2010, we recorded a net loss on our investment securities of $7,000 to decrease the overall carrying value of our investment securities. We have classified our investment securities covered by the ARS Rights Offer (as described below) as current assets given that they can be converted into cash within twelve months from March 31, 2010. Our remaining investment securities are considered long-term assets, as they cannot be readily converted to cash within 12 months from March 31, 2010.</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August 2008, UBS, the brokerage firm through which we purchased the majority of our ARS, entered into a settlement with the SEC, the New York Attorney General and other state agencies. Under the settlement, UBS issued to us Auction Rate Security Rights, which would allow us to sell to UBS our ARS held in accounts with UBS, or the ARS Rights Offer. Pursuant to the ARS Rights Offer, we received the right to sell to UBS the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ARS held in accounts with UBS at par value at any time during the period beginning June 30, 2010 and ending July 2, 2012, or the ARS Put. As part of the settlement, UBS also offered to us a no net cost loan program, or ARS Loan, whereby we would be able to borrow up to 75 percent of the market value, as determined by UBS at its sole discretion, of our ARS that have been pledged as collateral at an interest cost that would not exceed the interest being paid on the underlying ARS investments. Under the terms of the ARS Loan, UBS may demand full or partial payment of the ARS Loan, at its sole option and without cause, at any time.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At March 31, 2010, the outstanding balance of the ARS Loan was $14.4 million. For the three months ended March 31, 2010, $3.1 million of our current investment securities were redeemed at par value, with the proceeds used to pay down the outstanding loan balance.</w:t>
      </w:r>
    </w:p>
    <w:p>
      <w:pPr>
        <w:spacing w:after="0" w:line="12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Although we have the right to sell to UBS the ARS subject to the ARS Put at par beginning June 30, 2010, we determined the fair market value of the ARS without consideration of the ARS Put because they are deemed separate contractual agreements under ASC 820.</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elected to measure the ARS Put under the fair value option of ASC 825, authoritative guidance on financial instruments (formerly SFAS No. 159), to mitigate the volatility in reported earnings due to the linkage of certain of our ARS and the ARS Put. Under ASC 825, any subsequent increase or decrease in the fair value of the ARS Put would be recorded as either a gain or an impairment charge, respectively, in our consolidated statement of operations. The fair value of the ARS Put was also determined by a discounted cash flow valuation model with assumptions being made related to interest rate, maturity and liquidity. For the three months ended March 31, 2010, based on our discounted cash flow valuation, we recorded in our consolidated statement of operations a gain of $229,000 in our consolidated statement of operations due to an increase the carrying value of the ARS Put to $2.8 million, which offset the net loss we recorded of $241,000 based on the fair market value decline of the UBS ARS which are linked with the ARS Put.</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for the three months ended March 31, 2010, based on our internal discounted cash flow valuation, we recorded in our consolidated statement of operations a net gain of $5,000 on our long-term investment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Loss/(Gain)</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To date, we have conducted most of our clinical trials in the United States. However, the Phase II clinical trial for MN-166 for the treatment of MS that completed in 2008 was conducted in Eastern Europe and the on-going Phase II clinical trial in MN-221 for the treatment of acute exacerbations of asthma, has a few clinical sites located in Australia and New Zealand in which certain of the invoices are denominated the Australian dollar and New Zealand dollar, respectively. In addition, we have certain investor relation invoices denominated in Japanese Yen and we have certain manufacturing invoices denominated in British Pound. At this time, we have not established a hedging program to mitigate our foreign exchange exposure. Foreign exchange gain/loss is based on the difference between the exchange rate at the settlement date and the exchange rate at the balance sheet date for the respective foreign currency invoice.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Other income, net, consists primarily of interest earned on our cash, cash equivalents and investment securities, offset by the interest charged on the ARS Loan and interest expense related to accretion of the convertible notes.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under different assumptions or conditions. Our critical accounting policies and estimates are the same as those noted in our Annual Report on Form 10-K for the year ended December 31, 2009, as filed with the SEC on March 24, 2010.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October 2009, the FASB ratified Accounting Standards Update, or ASU, 2009-13, which eliminates the residual method of allocation and the requirement to use the relative selling price method when allocating revenue in a multiple deliverable arrangement. When applying the relative selling price method, the selling price for each deliverable shall be determined using vendor specific objective evidence of selling price, if it exists, otherwise third-party evidence of selling price. If neither vendor specific objective evidence nor third-party evidence of selling price exists for a deliverable, companies shall use its best estimate of the selling price for that deliverable when applying the relative selling price method. ASU 2009-13 shall be effective in fiscal years beginning on or after June 15, 2010, with earlier application permitted. Companies may elect to adopt this guidance prospectively for all revenue arrangements entered into or materially modified after the date of adoption, or retrospectively for all periods presented. We have not yet adopted this accounting standard; however, we do not believe the adoption of this accounting standard will have a material effect on our consolidated results of operations or financial condition.</w:t>
      </w:r>
    </w:p>
    <w:p>
      <w:pPr>
        <w:spacing w:after="0" w:line="118"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In January 2010, the FASB issued ASU 2010-06, which requires additional disclosures about fair value measurements including transfers in and out of Levels 1 and 2 and a higher level of disaggregation for the different types of financial instruments. For the reconciliation of Level 3 fair value measurements, information about purchases, sales, issuances and settlements should be presented separately. This ASU is effective for annual and interim reporting periods beginning after December 15, 2009 for most of the new fair value measurement disclosures and for periods beginning after December 15, 2010 for most of the new Level 3 disclosures. We have not early adopted the new Level 3 disclosures; however, adoption of this accounting standard will not have an effect on our consolidated results of operations or financial condition.</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April 2010, the FASB issued ASU No. 2010-12, which indicates that the Securities and Exchange Commission (“SEC”) staff would not object to incorporating the effects of the Health Care and Education Reconciliation Act of 2010 (which was enacted on March 30, 2010) when accounting for the Patient Protection and Affordable Care Act (which was enacted on March 23, 2010). This view is based partly on the SEC’s understanding that the two aforementioned acts, when taken together, represent the current health care reforms as passed by Congress and signed by the President. As of March 31, 2010, we have performed an initial review of the two acts, and we do not believe that either will have a material impact on our consolidated results of operations or financial condition. Our belief is based on the fact that: we are a development stage biopharmaceutical whose lead drug candidates are only in Phase II of development and we have no other revenue generating products; therefore the pharmaceutical industry fee should not be applicable to us, nor would we be impacted by the drug subsidy changes; we have less than 25 employees so the fee for health plans will have minimal impact to our operating expenses, we do not have “high-cost” coverage health plans, nor do we offer retiree medical benefits; thus, the fees and the changes related to these would not impact our operating expenses, and, with regard to the limit on tax-deductible employee compensation this should not impact our tax position as we are currently a net loss company and will continue to be a net loss company in the foreseeable future.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health care reforms also provide for a “new investment tax credit for qualified therapeutic discovery”, which we plan to apply for. Because we cannot be assured that our product candidate will be selected to receive a cash grant in lieu of a research and development tax credit, we are uncertain if our application will have a material impact on our consolidated results of operations or financial condition.</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April 2010, the FASB issued ASU No. 2010-17, which codifies the consensus reached in EITF No. 08-9, which provides guidance on defining a milestone and determining when it may be appropriate to apply the milestone method of revenue recognition for research or development transactions. Consideration that is contingent on achievement of a milestone in its entirety may be recognized as revenue in the period in which the milestone is achieved only if the milestone is judged to meet certain criteria to be considered substantive. Milestones should be considered substantive in their entirety and may not be bifurcated. An arrangement may contain both substantive and nonsubstantive milestones, and each milestone should be evaluated individually to determine if it is substantive. The amendments in this ASU are effective on a prospective basis for milestones achieved in fiscal years, and interim periods within those years, beginning on or after June 15, 2010. Early adoption is permitted. We have not early adopted this accounting standard; however, we do not believe adoption of this standard will have a material effect on our consolidated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2010 and 2009</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three months ended March 31, 2010 or March 31, 2009.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Research and development expenses for the three months ended March 31, 2010 were $2.9 million, a decrease of $0.2 million when compared to $3.1 million for the three months ended March 31, 2009. This decrease in research and development expenses was due to a decrease of $0.7 million in spending on our clinical programs, except for our prioritized asset MN-221 for the treatment of acute exacerbations of asthma and COPD for which spending increased by $0.5 million due to the continued progression of the MN-221-CL-007 and MN-221-CL-010 clinical trials.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General and administrative expenses were $2.3 million for the three months ended March 31, 2010, an increase of $0.1 million when compared to $2.2 million for the three months ended March 31, 2009. This increase in general and administrative expenses was due primarily to an increase in fees paid to third-party consultants.</w:t>
      </w:r>
    </w:p>
    <w:p>
      <w:pPr>
        <w:spacing w:after="0" w:line="140" w:lineRule="exact"/>
        <w:rPr>
          <w:sz w:val="20"/>
          <w:szCs w:val="20"/>
          <w:color w:val="auto"/>
        </w:rPr>
      </w:pPr>
    </w:p>
    <w:p>
      <w:pPr>
        <w:ind w:right="440" w:firstLine="456"/>
        <w:spacing w:after="0" w:line="335" w:lineRule="auto"/>
        <w:rPr>
          <w:sz w:val="20"/>
          <w:szCs w:val="20"/>
          <w:color w:val="auto"/>
        </w:rPr>
      </w:pPr>
      <w:r>
        <w:rPr>
          <w:rFonts w:ascii="Arial" w:cs="Arial" w:eastAsia="Arial" w:hAnsi="Arial"/>
          <w:sz w:val="15"/>
          <w:szCs w:val="15"/>
          <w:color w:val="auto"/>
        </w:rPr>
        <w:t>We anticipate that our general and administrative expenses may increase in future periods if we are required to expand our infrastructure based on the success of our current prioritized product development programs and in raising capital to support those and other development programs or otherwise in connection with increased business development activities related to partnering, out-licensing or disposition of our product candidates other than MN-221.</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Charge/Gain, net, on Investment Securities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Net impairment charge on investment securities for the three months ended March 31, 2010 was $7,000, as compared to a net gain on investment securities of $27,000 for the three months ended March 31, 2009. The net impairment charge was primarily a result of the $241,000 decrease in the fair market value of our current investment securities, offset by sum of the $229,000 gain on the fair market value of the ARS Put and the $5,000 gain on fair market value long-term investment securities as determined by our discounted cash flow model.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Loss/Gain</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Foreign exchange loss for the three months ended March 31, 2010 was $4,000, as compared to a foreign exchange gain of $27,000 for the three months ended March 31, 2009. The foreign exchange loss was primarily a result of marking to market Japanese yen based invoices, whereas in the first quarter of 2009, marking to market the outstanding euro based invoice primarily resulted in the foreign exchange gain.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 net</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Other income, net, consisted primarily of income earned on our cash and investment balances and totaled $86,000 for the three months ended March 31, 2010, as compared to $218,000 for the three months ended March 31, 2009. The decrease in other income, net of $132,000 was primarily due to a decrease in interest earned on most of our cash and investment balances due to lower interest rates, interest charged on our ARS loan of $44,000 and interest expense on our convertible notes of $31,000 due to accretion.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Since our inception, we have primarily financed our operations through the private placement of our equity securities, the public sale of our common stock, the conversion of convertible notes to our common stock and the exercise of founders’ warrants, net of treasury stock repurchases. Through March 31, 2010, we received estimated net proceeds of $201.5 million from the sale of equity securities, the exercise of warrants and stock options and employee stock purchases and proceeds of $1.7 million from the conversion of convertible notes into our common stock.</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At March 31, 2010, we had $24.9 million in cash, cash equivalents, investment securities—current and an ARS put, net of ARS loan, as compared to $28.4 million as of December 31, 2009, which decrease of $3.5 million was primarily a result of our operating loss of $5.2 million, offset by the proceeds received from the conversion of convertible notes to our common stock. At March 31, 2010, $20.9 million of our ARS consisted primarily of government-guaranteed student loan securities and $1.8 million of our ARS consisted of private placement securities. None of the underlying collateral for our ARS consisted of subprime mortgages or collateralized debt obligations. Based on our discounted cash flow model, our current investment securities consisting of ARS, which were designated as trading securities, decreased in fair value and resulted in the recording of an impairment charge of $241,000, for the three months ended March 31, 2010, in our consolidated statement of operations to decrease their carrying value. In addition, we also recorded a gain of $229,000, for the three months ended March 31, 2010, on the linked ARS Put to increase its carrying value and reduce the overall net loss on the ARS subject to the UBS settlement.</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Based on our discounted cash flow model, our long-term investment securities, which were designated as trading securities, increased in fair value and resulted in the recording of a gain of approximately $5,000, for the three months ended March 31, 2010, in our consolidated statement of operations to increase their carrying value.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August 2008, UBS, the brokerage firm through which we purchased the majority of our ARS investments, entered into a settlement with the SEC, the New York Attorney General and other state agencies. Under the settlement, UBS issued to us the ARS Rights Offer. Pursuant to the ARS Rights Offer, we received the ARS Put. As part of the settlement, UBS also offered to us the ARS Loan, whereby we would be able to borrow up to 75 percent of the market value, as determined by UBS at its sole discretion, of our ARS that have been pledged as collateral at an interest cost that would not exceed the interest being paid on the underlying ARS investments. Under the ARS Loan program, UBS may demand full or partial payment of the ARS Loan, at its sole option and without cause, at any time.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ARS Loan was invested in money market accounts. Our ARS Loan balance was $14.4 million at March 31, 2010. For the three months ended March 31, 2010, $3.1 million of our current investment securities were redeemed at par value, with the proceeds used to pay down the outstanding loan balance.</w:t>
      </w:r>
    </w:p>
    <w:p>
      <w:pPr>
        <w:spacing w:after="0" w:line="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 of our ARS and the ARS Put are based in part on management’s estimates and assumptions. In the event of actual market exchanges, if any, these assumptions may prove materially different from those assumed in our valuation models and amounts may be materially different than our estimates. For example, a reduction of the expected term to redemption by two years for our ARS portfolio yielded in our models an increase in valuation of our ARS of $1.2 million and an increase in expected term to redemption by two years for our ARS portfolio yielded in our models a decrease in valuation of our ARS of $1.2 million. Other factors that may impact the valuation of our ARS and the ARS Put include changes to the credit quality of the underlying assets, discount rates, counterparty risk and the condition of the overall credit market.</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continue to closely monitor our ARS investments, as the liquidity of such securities could impact our ability to fund our operations if we are unable to liquidate such securities, otherwise obtain capital to fund our operations or UBS calls our ARS Loan and fails to provide alternative financing on comparable terms on a timely basis. In the event that the credit crisis continues or worsens and the ARS market remains illiquid, we may not be able to recover the full value of our ARS investments should we determine it is necessary to liquidate any such securities. Further, in such event we may not be able to borrow the maximum available amount under the ARS loan or, if we have borrowed the maximum available amount, maintain such loan outstanding.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operating activities increased to $5.6 million for the three months ended March 31, 2010 from $4.6 million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31, 2009. The increase was primarily a result of the payment of accrued compensation expenses. Net cash provided by investing activities increased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 million for the three months ended March 31, 2010, as compared to no cash provided by or used in investing activities for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The increase was primarily due to the par redemption of one of our current investment securities and the sale of one of our long-term investment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less than par. Net cash used in financing activities was $1.4 million for the three months ended March 31, 2010, compared to net cash provided by financing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activities of $18.1 million for the three months ended March 31, 2009. The decrease was primarily due to the partial repayment of the ARS Loan which was put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into service in the first quarter of 2009 offset, by proceeds received from the conversation of convertible notes.</w:t>
      </w:r>
    </w:p>
    <w:p>
      <w:pPr>
        <w:spacing w:after="0" w:line="16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have consumed substantial amounts of capital since our inception. We do not have any material commitments for capital expenditures and our current cash, cash equivalents and the ARS Loan are our principal sources of liquidity as we cannot be assured of future conversion of the convertible notes into our common stock. We believe that our existing cash, cash equivalents and current investment securities, net of the ARS Loan, as of March 31, 2010, will be sufficient to fund our anticipated operating requirements, at a minimum, through March 31, 2011, including all of our planned research and development activities. We anticipate that we may require additional funding in the future to fund our operations and intended research and development activities.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uses and capital requirements will depend on many factors, including but not limited to the following:</w:t>
      </w:r>
    </w:p>
    <w:p>
      <w:pPr>
        <w:spacing w:after="0" w:line="90" w:lineRule="exact"/>
        <w:rPr>
          <w:sz w:val="20"/>
          <w:szCs w:val="20"/>
          <w:color w:val="auto"/>
        </w:rPr>
      </w:pPr>
    </w:p>
    <w:p>
      <w:pPr>
        <w:ind w:left="900" w:right="1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progress of our clinical trials and other research and development activities, including expenses to support the clinical development of MN-221 for the treatment of acute exacerbations of asthma and milestone payments that may become payable to Kissei Pharmaceutical based on the progress of such product development program;</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and commercial production of our product candidates;</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establishing sales and marketing capabilities and commercialization activities if we obtain regulatory clearances to market our product candidates;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may in-license, acquire or invest in other indications, products, technologies and businesses.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delay, reduce the scope of or terminate one or more of our product development programs, curtail our efforts to acquire new product candidates or relinquish some or even all rights to product candidates. Failure to obtain adequate financing also may adversely affect our ability to operate as a going concern.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while at the same time maximizing the income we receive without significantly increasing risk. Our risk associated with fluctuating interest rates is limited to our investments in interest rate sensitive financial instruments. Under our current policies,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 Declines in interest rates over time, however, will reduce our interest income, while increases in interest rates over time will increase our interest income.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securities are trading securities and consist solely of ARS, which are debt instruments with long-term maturities in which the interest rates reset in short intervals through “Dutch” auctions by matching buyers and sellers. All of our ARS had AAA ratings at the time of purchase and principally represent interests in government-guaranteed student loans, insurance notes and portfolios of securities (primarily commercial paper). None of the underlying collateral for our ARS consisted of subprime mortgages or collateralized debt obligations. At March 31, 2010, $20.9 million of our ARS consisted primarily of government-guaranteed student loan securities and $1.8 million of our ARS consisted of private placement securities.</w:t>
      </w:r>
    </w:p>
    <w:p>
      <w:pPr>
        <w:spacing w:after="0" w:line="1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continued negative conditions in the global credit markets have prevented most investors, including ourselves, from liquidating certain holdings of ARS because the amount of securities submitted for sale has exceeded the amount of purchase orders for the securities. If there is insufficient demand for the securities at the time of the “Dutch” auction, the auction may not be completed and the interest rates may be reset to the maximum interest rate applicable to the specific securities being auctioned as per the official statement issued at the initial bond sale. When auctions for these securities fail, as they continue to in 2010, the investments may not be readily convertible to cash until a future auction of these investments is successful or they are redeemed or repurchased, sold through a secondary market or mature. For the three months ended March 31, 2010, we liquidated $3.4 million of ARS, of which $3.1 million was utilized to pay down our ARS Loan and $0.3 million was invested in cash equivalents.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the fourth quarter of 2008, we received and accepted the ARS Rights Offer from UBS. Pursuant to the ARS Rights Offer, we received the ARS Put. In January 2009, we were approved by UBS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Under the ARS Loan program, UBS may demand full or partial payment of the ARS Loan, at its sole option and without cause, at any time. All cash received under the UBS Loan was invested in money market accounts. At March 31, 2010, our outstanding ARS Loan balance was $14.4 million. Because the interest that we pay on the ARS Loan will not exceed the interest that we receive on the ARS pledged as security for the ARS Loan and which are held in the collateral account, we do not believe that this arrangement subjects us to additional interest rate risk.</w:t>
      </w:r>
    </w:p>
    <w:p>
      <w:pPr>
        <w:spacing w:after="0" w:line="2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or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 August 24, 2009, The Pennsylvania Avenue Funds, an Avigen stockholder, filed a complaint in Alameda County Superior Court alleging that Avigen’s directors breached their fiduciary duties in connection with the proposed transaction with us. On October 15, 2009, The Pennsylvania Avenue Funds filed an amended complaint adding us as a defendant. In the amended complaint, The Pennsylvania Avenue funds alleged, among other things, that we aided and abetted the alleged breach of fiduciary duties by the Avigen directors. Avigen and Pennsylvania Avenue Funds have signed a stipulation of settlement agreement and moved the court for preliminary approval. A case management conference was scheduled for March 8, 2010. We and our directors intend to take all appropriate actions to defend the suit. The Court heard oral argument on the Motion for Preliminary Approval of Settlement and held a case management conference on March 8, 2010, during which it raised a few issues regarding the settlement provisions. On April 6, 2010, the Superior Court for the State of California for the County of Alameda approved the preliminary settlement and set a final settlement hearing for June 24, 2010. Under the terms of the Stipulation of Settlement, Avigen., a wholly-owned subsidiary of ours, has agreed not to oppose a fee motion by counsel to The Pennsylvania Avenue Funds for fees and expenses in the amount not to exceed $140,000 and a petition by The Pennsylvania Avenue Funds for an incentive award of up to $2,500. Under the Order Preliminarily Approving Settlement and Providing for Notice preliminarily certifies a class and states that such class is all persons or entities who held common stock of Avigen, either of record or beneficially, between August 20, 2009, through and including December 18, 2009. Members of the class may request exclusion from the class by June 7, 2010.</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Quarterly Report on Form 10-Q and our other public filings with the SEC. Other events that we do not currently anticipate or that we currently deem immaterial may also affect our results of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13"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We are a development stage biopharmaceutical company with a limited operating history. We have incurred significant net losses since our inception. For the three months ended March 31, 2010, we had a net loss of $5.2 million and our accumulated deficit was approximately $252.5 million. If we are successful in raising additional capital to support the expansion of our business, our annual net losses may increase over the next several years as we expand our infrastructure and incur significant costs related to the development of our product candidates.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our research and development expenses to increase in connection with ongoing and planned clinical trials for our prioritized product candidates, primarily related to MN-221 for the treatment of acute exacerbations of asthma and COPD exacerbations, and any other development activities that it may initiate. In addition, our general and administrative expenses may increase in future periods as a result of several factors, including our research and development activities, our business development activities and any expansions in our infrastructure related to such activities. Consequently, we expect to continue to incur significant and increasing operating losses for the foreseeable future. Because of the numerous risks and uncertainties associated with developing drug products, we are unable to predict the extent of any future losses or when we will become profitable, if at all.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To date, we have funded our operations primarily from sales of our securities. We have not received, and do not expect to receive for at least the next several years, if at all, any revenues from the commercialization of our product candidates. Our only source of revenues since inception has been from development management services rendered to Asahi Kasei Pharma Corporation and Argenes, Inc., both Japanese pharmaceutical companies, in connection with their clinical development of pharmaceutical product candidates. We completed our agreement with Asahi Kasei Pharma Corporation and terminated our agreement with Argenes, Inc.; therefore, we will not generate any further revenues from these agreements. We anticipate that, prior to our commercialization of a product candidate, out-licensing upfront and milestone payments will be our primary source of revenue.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profitability.</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MN-166/AV411, and we cannot be certain that either of these product candidates will receive regulatory approval or be successfully commercialized.</w:t>
      </w:r>
    </w:p>
    <w:p>
      <w:pPr>
        <w:spacing w:after="0" w:line="5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U.S. Food and Drug Administration, or FDA, and comparable regulatory authorities in other countries. We are not permitted to market any of our product candidates in the United States until we submit and receive approval of a New Drug Application, or NDA, for a product candidate from the FDA or its foreign equivalent from a foreign regulatory authority. Obtaining FDA approval is a lengthy, expensive and uncertain process. We currently have two prioritized product candidates, MN-221 for the treatment of acute exacerbations of asthma and COPD exacerbations and MN-166/AV411, a combined ibudalist product development program covering MS and other CNS disorders and the success of our business currently depends on their successful development and commercialization. Neither of these product candidates has completed the clinical development process; therefore, we have not submitted an NDA or foreign equivalent or received marketing approval for either of these two prioritized product candidates. In addition, we are not currently planning to pursue any further significant clinical development of MN-166/AV411 until such time that we are able to secure a strategic collaboration to advance the combined development programs, which may delay or impede the process of completing clinical trials and seeking regulatory approval for this product candidate. We also cannot assure you that we will be able to secure such a strategic collaboration on attractive financial and other terms, or at all.</w:t>
      </w:r>
    </w:p>
    <w:p>
      <w:pPr>
        <w:spacing w:after="0" w:line="12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clinical development programs for MN-221 and MN-166/AV411 may not lead to commercial products for a number of reasons, including if we fail to obtain necessary approvals from the FDA or similar foreign regulatory authorities because our clinical trials fail to demonstrate to their satisfaction that these product candidates are safe and effective.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either MN-221 or MN-166/AV411 in a timely manner would have a material and adverse impact on our business and our stock price.</w:t>
      </w:r>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product candidates are subject to extensive government regulations related to development, clinical trials, manufacturing and commercialization. The process of obtaining FDA and other regulatory approvals 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eight of our product development programs. Investigational New Drug Applications, or INDs, were approved by the FDA and are active for seven of our product candidates. We also have obtained Clinical Trial Authorizations, or CTAs, for the ongoing Phase II clinical trial for MN-221 in Canada, Australia and New Zealand. Furthermore, through the acquisition of Avigen, we have assumed responsibility for AV411 clinical trials including one active IND for neuropathic pain and cross-reference and drug product support of the National Institute on Drug Abuse-funded opioid withdrawal investigator-initiated IND with Columbia University drug addiction clinical researchers.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II clinical trial of MN-305 for the treatment of insomnia failed to achieve statistical significance in its primary endpoint, and, as a result, we terminated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1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conduct additional clinical trials, changes to the product label, new or revised regulatory requirements for manufacturing practices, written advisements to physicians, and/or a product recall or withdrawal.</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5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ongoing and planned clinical trials for our product candidates will be completed on time, or whether our additional planned and ongoing clinical trials for our product candidates will be completed on schedule, if at all. For example, in 2009 we experienced delays in the enrollment of patients for its ongoing Phase II clinical trial evaluating the safety and efficacy of MN-221 in patients with severe, acute exacerbations of asthma due to changes in the dosing regimen. These delays extended the anticipated date for completion of enrollment by approximately two months.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13" w:lineRule="exact"/>
        <w:rPr>
          <w:sz w:val="20"/>
          <w:szCs w:val="20"/>
          <w:color w:val="auto"/>
        </w:rPr>
      </w:pPr>
    </w:p>
    <w:p>
      <w:pPr>
        <w:jc w:val="both"/>
        <w:ind w:left="900" w:right="140" w:hanging="446"/>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25" w:lineRule="exact"/>
        <w:rPr>
          <w:rFonts w:ascii="Arial" w:cs="Arial" w:eastAsia="Arial" w:hAnsi="Arial"/>
          <w:sz w:val="16"/>
          <w:szCs w:val="16"/>
          <w:color w:val="auto"/>
        </w:rPr>
      </w:pPr>
    </w:p>
    <w:p>
      <w:pPr>
        <w:ind w:left="900" w:right="46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59"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90" w:lineRule="exact"/>
        <w:rPr>
          <w:rFonts w:ascii="Arial" w:cs="Arial" w:eastAsia="Arial" w:hAnsi="Arial"/>
          <w:sz w:val="18"/>
          <w:szCs w:val="18"/>
          <w:color w:val="auto"/>
        </w:rPr>
      </w:pPr>
    </w:p>
    <w:p>
      <w:pPr>
        <w:ind w:left="900" w:right="40" w:hanging="446"/>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With the exception of AV411, we license the rights to develop and market our product candidates. Currently, we have licensed rights relating to eight compounds for the development of ten product candidates.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If any of our license agreements is terminated, we would have no further rights to develop and commercialize the product candidate that is the subject of the license. The termination of the license agreements related to either of our two prioritized product candidates would significantly and adversely affect our business. The termination of any of the remainder of our license agreements could materially and adversely affect our business.</w:t>
      </w:r>
    </w:p>
    <w:p>
      <w:pPr>
        <w:spacing w:after="0" w:line="188"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94"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5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II clinical trial for MN-166 for the treatment of MS in the second quarter of 2008 and the acquisition of AV411 in December 2009, we do not plan to undertake any further significant clinical development activities for any of our product candidates other than MN-221 for the treatment of acute exacerbations of asthma and COPD exacerbations, other than those activities deemed necessary to maximize each product candidate’s value, until such time that we are successful in entering into a partnership or collaboration to further development of such product candidates. To date, we have not entered into any such collaborative arrangements, and we may not be able to enter into any collaborations or otherwise monetize these product candidates on acceptable terms, if at all.</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59" w:lineRule="exact"/>
        <w:rPr>
          <w:sz w:val="20"/>
          <w:szCs w:val="20"/>
          <w:color w:val="auto"/>
        </w:rPr>
      </w:pPr>
    </w:p>
    <w:p>
      <w:pPr>
        <w:ind w:left="900" w:right="6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we are not successful in attracting partners and entering into collaborations on acceptable terms for these product candidates or otherwise monetizing these product candidates, we may not be able to complete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development of or obtain regulatory approval for such product candidates. In such event, our ability to generate revenues from such products and achieve or sustain profitability would be significantly hindered.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conditions in the global credit markets may impair further the liquidity of our investment portfolio.</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All of our investment securities, which consist of ARS are designated as trading securities. These ARS represent 100 percent of our overall investment portfolio. At March 31, 2010, approximately $20.9 million of our ARS and the ARS Put were classified as current assets because they can be readily converted to cash within 12 months. At March 31, 2010, all of long-term investment securities which totaled $1.8 million consisted of private placement investment securities. None of the underlying collateral for our ARS consisted of subprime mortgages or collateralized debt obligations.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Due to continued negative conditions in the global credit markets, our ARS have continued to fail at auction with few to no trades in either the primary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secondary markets. As a result, we have only been unable to liquidate at a loss a portion of ARS that was not subject to the ARS Rights Offer. As such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could be required to hold these securities until such time that they are redeemed by the issuer, successfully sold at auction, sold through a secondary market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ultimately mature. In addition, with the adoption of ASC 820 authoritative guidance for fair value, measurements and disclosures (formerly SFAS 157),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the fair value of our ARS portfolio primarily on Level 3 criteria, which resulted in our reliance on a discounted cash flow valuation model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assumptions related to interest rates, maturities and liquidity, determined by us based on the credit quality of the security, the credit quality of the associated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insurer, if applicable, the respective prospectus and the credit market outlook. With all of our investment securities designated as trading securities, any additional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increase or decrease in the fair value of our investment securities is recorded as either a gain or an impairment charge, respectively, in our consolidated statement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operations. For the three months ended March 31, 2010, we recorded a net impairment charge on our total investment securities portfolio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$236,000 to increase the carrying value of our total investment securities portfolio. In addition, for the three months ended March 31, 2010, we recorded a gain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$229,000 on the ARS Put to increase its carrying value based on our discounted cash flow model with liquidity discount.</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August 2008, UBS AG and its affiliates, or UBS, the brokerage firm through which we purchased the majority of its ARS investments, entered into a settlement with the SEC, the New York Attorney General and other state agencies. Under the settlement, UBS issued to us the ARS Rights Offer. Pursuant to the ARS Rights Offer, we received the ARS Put. As part of the settlement, UBS also offered to us the ARS Loan, whereby we would be able to borrow up to 75 percent of the market value, as determined by UBS at its sole discretion, of our ARS that have been pledged as collateral at an interest cost that would not exceed the interest being paid on the underlying ARS investments.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At March 31, 2010, our ARS Loan balance was $14.4 million.</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UBS may demand full or partial payment of the ARS Loan, at its sole option and without cause, at any time. All ARS Loan advances are subject to collateral maintenance requirements. UBS may also, at any time, in its discretion, terminate and cancel the ARS Loan.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We cannot assure you that we will not default on our obligations under the credit line agreement, which could result in the acceleration of our repayment obligations, or that UBS will not call the amounts outstanding under the ARS Loan, either of which would negatively impact our financial condition and cash flow. In addition, we cannot assure you that UBS will consummate the ARS Rights Offer and repurchase its ARS subject to such offer at par value, or that we will be able to renew this facility at maturity on similar terms, or at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consumed substantial amounts of capital since our inception. From our inception to March 31, 2010, we had an accumulated deficit of $252.5 million. Our cash, cash equivalents, investment securities- current and ARS put, net of the ARS Loan, totaled approximately $24.9 million at March 31, 2010. We intend to manage our product development programs such that our existing cash, cash equivalents and investment securities as of March 31, 2010 will be sufficient to meet our operating requirements through at least March 31, 2011. We have based this estimate on assumptions that may prove to be wrong, and we could spend our available financial resources faster than we currently anticipate. Our future capital requirements will depend on many factors including:</w:t>
      </w:r>
    </w:p>
    <w:p>
      <w:pPr>
        <w:spacing w:after="0" w:line="35"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progress in, and the costs of, our ongoing and planned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it may acquire;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assure you that additional sources of capital will be available to us on acceptable terms, or at all. If sources of capital are not available, we may not be in a position to pursue present or future business opportunities that require financial commitments, and we may be required to terminate, delay or reduce the scope of one or more of our product development programs; delay establishing sales and marketing capabilities or other activities to commercialize a product candidate; curtail our efforts to acquire new product candidates; or relinquish some or even all rights to our product candidates.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terms under which we raise additional capital or debt financing may harm our business and may significantly dilute stockholders’ ownership interests.</w:t>
      </w:r>
    </w:p>
    <w:p>
      <w:pPr>
        <w:spacing w:after="0" w:line="1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securities, including as part of a debt financing,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22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loan and security agreement with Oxford Finance Corporation requires interest payments and, beginning in March 2011, principal repayments, and the agreement contains various covenants that may restrict our business and financing activities.</w:t>
      </w:r>
    </w:p>
    <w:p>
      <w:pPr>
        <w:spacing w:after="0" w:line="5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May 10, 2010, we entered into the Loan Agreement with Oxford Finance Corporation governing the terms of our $15.0 million senior secured credit facility. We are required to pay interest on borrowings on a monthly basis through and including February 1, 2011. Beginning March 1, 2011 through maturity of the loan on August 1, 2013, we will be required to make payments of outstanding principal and interest in 30 equal monthly installments.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Loan Agreement contains covenants that restrict our ability to:</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certain merger and licensing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dispose of certain of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certain fundamental corporate 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certain types of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certain payments and distributions.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Loan Agreement also requires that on or before March 31, 2011 we must have either (i) entered into a collaboration, joint venture or partnership with a non-affiliate providing for up-front cash proceeds to us (with such proceeds received on or before March 31, 2011) of not less than $15.0 million from either or a combination of an upfront payment(s) or proceeds from the sale or conversion of our securities issued in connection therewith or (ii) received positive Phase IIB data on MN-221, as defined in a completed partnership or joint venture agreement relating to MN-221, or had a positive end-of-phase II meeting with the FDA and obtained the approval of the board of directors to proceed to Phase III with MN-221. These restrictions may limit our operational flexibility and our financing activities. Based on our current business plan, we may need to raise additional equity or other financing to fund our future cash requirements. However, due to the restrictive nature of these covenants, we may find it difficult to obtain additional financing on acceptable terms, if at all.</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Any failure to comply with the covenants contained in the Loan Agreement or failure to make interest and principal payments could result in an event of default. Such default would increase the rate of interest payable under the Loan Agreement and the lenders would be able to accelerate the maturity of our outstanding obligations. If our obligations were accelerated, we cannot assure you that we would be able to repay the amounts then outstanding, in which case the lenders could begin foreclosure proceedings against our pledged assets. Any such acceleration or resulting foreclosure proceedings would have a material adverse effect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2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our third-party manufacturers, service providers, suppliers and partners, and our product candidates are subject to stringent regulation by the FDA and other regulatory agencies in the United States and by comparable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heightened Congressional scrutiny on the adequacy of the FDA’s drug approval process and the agency’s efforts to assure the safety of marketed drugs has resulted in the enactment of new legislation addressing drug safety issues, the Food and Drug Administration Amendments Act of 2007. This legislation provides the FDA with expanded authority over drug products after approval and the FDA’s exercise of this authority could result in delays or increased costs during the period of product development, clinical trials and regulatory review and approval, and increased costs to assure compliance with new post-approval regulatory requirements. Furthermore, we cannot predict the likelihood, nature or extent of government regulation that may arise from this or future legislation or administrative action, either in the United States or abroad.</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2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its clinical trials, the collection and analysis of data and the preparation of regulatory submissions. Although we design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20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entered into an agreement with Hospira Worldwide, Inc. for the development and supply of finished product of MN-221 for the treatment of acute exacerbations of asthma utilizing Hospira’s proprietary ADD-Vantage drug delivery system that we intend to use in clinical trials and the commercial market. In addition to Hospira’s proprietary drug delivery system, we anticipate entering into a commercial supply agreement for finished product of MN-221 in standard vials. However, other than Hospira, we do not have agreements established regarding commercial supply of finished product of MN-221 in standard vials or for the active pharmaceutical ingredient, or API, or finished product for any of our product candidates. In particular, pursuant to our license agreement with Kissei Pharmaceutical Co. Ltd., Kissei Pharmaceutical has the exclusive right to manufacture the commercial supply of the API for MN-221. Therefore, we will need to successfully negotiate a commercial supply agreement with Kissei Pharmaceutical on commercially reasonable terms, or another third-party manufacturer in the event that we are unable to reach agreement with Kissei Pharmaceutical, in order to manufacture the API for MN-221 on a commercial scale if MN-221 is approved by the FDA or other regulatory authorities for commercial sale. We will also need to successfully negotiate a supply agreement with a third-party manufacturer on commercially reasonable terms in order to manufacture the finished product of MN-221 in standard vials. 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w:t>
      </w:r>
    </w:p>
    <w:p>
      <w:pPr>
        <w:spacing w:after="0" w:line="121"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44"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20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MN-221 or MN-166/AV411, our other product candidates or any other product candidates that we may in-license or acquire, if any, may include a restriction on the terms of its use, or it may not include one or more of our intended indications.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commercial good manufacturing practices, or cGMPs, a regulatory agency may:</w:t>
      </w:r>
    </w:p>
    <w:p>
      <w:pPr>
        <w:spacing w:after="0" w:line="39"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one of our product candidates is approved for commercial sale by the FDA or other regulatory authorities, the degree of market acceptance of any approved product by physicians, healthcare professionals and third-party payors and our profitability and growth will depend on a number of factors, including:</w:t>
      </w:r>
    </w:p>
    <w:p>
      <w:pPr>
        <w:spacing w:after="0" w:line="4"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22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are obtained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HMOs, are pursuing various ways to reduce pharmaceutical costs, including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Because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5620" w:right="2460" w:hanging="5166"/>
        <w:spacing w:after="0" w:line="440" w:lineRule="auto"/>
        <w:tabs>
          <w:tab w:leader="none" w:pos="8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 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of entering new markets or technologies and of receiving regulatory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2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product development programs may be delayed and we may be unable to develop successfully or commercialize our product candidates.</w:t>
      </w:r>
    </w:p>
    <w:p>
      <w:pPr>
        <w:spacing w:after="0" w:line="5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clinical development personnel because of the highly technical nature of our product development programs. We are not presently aware of any plans of our executive officers or key personnel to retire or leave employment with the company. Each of our executive officers is party to an employment agreement that continues in effect until the earliest of termination of employment upon (i) consent of the parties, (ii) cause or other material breach of the agreement, (iii) death or permanent disability and (iv) three months’ written notice. Following termination of employment, these individuals may engage in other businesses that may compete with us.</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However,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2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and marketing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20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market one or more of our product candidates, our operations will be directly, or indirectly through our customers, subject to various state and federal fraud and abuse laws, including the Anti-Kickback Statute and the False Claims Act, as amended. These laws may impact any proposed sales, marketing and education programs as well as other aspects of our operations.</w:t>
      </w:r>
    </w:p>
    <w:p>
      <w:pPr>
        <w:spacing w:after="0" w:line="14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U.S. Department of Health and Human Services, Office of Inspector General, or OIG, to issue a series of regulations, known as the “safe harbors in certain instances” to shield healthcare providers and other parties from prosecution under the Anti-Kickback Statute in certain instances. However, conduct and business arrangements that do not fully satisfy each applicable safe harbor may result in increased scrutiny by government enforcement authorities such as the OIG. Many states have also adopted laws similar to the federal Anti-Kickback Statute, some of which apply to the referral of patients for healthcare items or services reimbursed by any source, not only the Medicare and Medicaid programs.</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federal False Claims Act prohibits persons from knowingly filing or causing to be filed a false claim to, or the knowing use of false statements to obtain payment from, the federal government. Suits filed under the False Claims Act can be brought by any individual on behalf of the government and such individuals may share in any amounts paid by the entity to the government in fines or settlement. The frequency of filing of such actions has increased significantly in recent years, causing greater numbers of healthcare companies to have to defend a False Claims Act action. Various states have also enacted laws modeled after the federal False Claims Act.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to the laws described above, the Health Insurance Portability and Accountability Act of 1996, as amended,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imprisonment and the curtailment or restructuring of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the House of Representatives passed a similar bill that does not require the Secretary of Health and Human Services to act in July 2003. The reimportation bills have not yet resulted in any new laws or regulations; however, these and other initiatives could decrease the price we or any potential collaborators receive for our product candidates if and when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1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2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may need to increase the size of our organization, and we may encounter difficulties managing our growth, which could adversely affect our results of operations.</w:t>
      </w:r>
    </w:p>
    <w:p>
      <w:pPr>
        <w:spacing w:after="0" w:line="5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of May 14, 2010, we had 22 full-time employees and one intern. We may need to continue to expand our managerial, operational, financial and other resources in order to manage and fund our operations and clinical trials, continue our development activities and commercialize our product candidates. Our management, personnel, systems and facilities currently in place may not be adequate to support this future growth.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63"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and other third parties;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ensures that its consultants, CROs and other service providers successfully carry out their contractual obligations, provide high quality results and meet expected deadlines;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7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900" w:right="92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4" w:lineRule="exact"/>
        <w:rPr>
          <w:rFonts w:ascii="Arial" w:cs="Arial" w:eastAsia="Arial" w:hAnsi="Arial"/>
          <w:sz w:val="16"/>
          <w:szCs w:val="16"/>
          <w:color w:val="auto"/>
        </w:rPr>
      </w:pPr>
    </w:p>
    <w:p>
      <w:pPr>
        <w:ind w:left="900" w:right="9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21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5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22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the Osaka Securities Exchange, or OSE,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result in imposition of reduced policy limits and coverage.</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Sarbanes-Oxley Act requires that we maintain effective internal controls for financial reporting and disclosure controls and procedures. As a result, we are required to perform an evaluation of our internal control over financial reporting to allow management to report on the effectiveness of those controls, as required by Section 404 of the Sarbanes-Oxley Act. Our efforts to comply with Section 404 and related regulations have required, and continue to require, the commitment of significant financial and managerial resources. While we anticipate maintaining the integrity of our internal control over financial reporting and all other aspects of Section 404 applicable to us, we cannot be certain that a material weakness will not be identified when we test the effectiveness of our control systems in the future. If a material weakness is identified, we could be subject to sanctions or investigations by Nasdaq, the SEC, the OSE or other regulatory authorities, which would require additional financial and management resources, costly litigation or a loss of public confidence in our internal controls, which could have an adverse effect on the market price of our stock. As a smaller reporting company, our report regarding internal control over financial reporting for the year ended December 31, 2009 was not subject to attestation by our registered public accounting firm pursuant to temporary SEC rules. Absent further relief from the SEC, we will be subject to attestation on our report regarding internal control over financial reporting for the year ended December 31, 2010.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9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all of the anticipated benefits of the combined clinical development programs based on ibudalist.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may not be able to successfully secure a strategic collaboration to advance the combined ibudalist development programs. Following completion of the Phase II clinical trial of MN-166 for the treatment of MS in the second quarter of 2008 and the acquisition of AV411 in December 2009, we have not undertaken, nor do we plan to undertake, any further significant clinical development of MN-166/AV411 until such time that we secure a strategic collaboration to advance the combined clinical development of MN-166/AV411 ibudalist-based development program. We cannot assure you that we will be able to secure such a strategic collaboration or otherwise further advance, or recognize value from, a combined MN-166/AV411 clinical development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MN-166/AV411 and MN-001 product candidates, although we do have patent protection for a particular crystalline polymorph of MN-001. As a result, competitors that obtain the requisite regulatory approval will be able to offer products with the same API as found in our MN-166/AV411 and MN-001 product candidates so long as such competitors do not infringe any methods of use, methods of manufacture, formulation or, in the case of MN-001, specific polymorph patents that we hold or have exclusive rights to through our licensors. For example, we currently rely on a method of use patent for MN-166, which covers the use of the API found in our MN-166 product candidate for the treatment of MS. We also have a method of use patent for AV411 for the treatment of neuropathic pain syndromes.</w:t>
      </w:r>
    </w:p>
    <w:p>
      <w:pPr>
        <w:spacing w:after="0" w:line="1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In addition, our licensors may have selected a limited amount of foreign patent protection, and therefore applications have not been filed in, and foreign patents may not have been perfected in, all commercially significant countries.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2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303" w:lineRule="auto"/>
        <w:rPr>
          <w:sz w:val="20"/>
          <w:szCs w:val="20"/>
          <w:color w:val="auto"/>
        </w:rPr>
      </w:pPr>
      <w:r>
        <w:rPr>
          <w:rFonts w:ascii="Arial" w:cs="Arial" w:eastAsia="Arial" w:hAnsi="Arial"/>
          <w:sz w:val="15"/>
          <w:szCs w:val="15"/>
          <w:color w:val="auto"/>
        </w:rPr>
        <w:t>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40" w:lineRule="exact"/>
        <w:rPr>
          <w:sz w:val="20"/>
          <w:szCs w:val="20"/>
          <w:color w:val="auto"/>
        </w:rPr>
      </w:pPr>
    </w:p>
    <w:p>
      <w:pPr>
        <w:ind w:left="900" w:right="4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 case against us is determined by a judge to be exceptional;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Despite the listing of our common stock on the Nasdaq Global Market and the Hercules Market of the Osaka Securities Exchange in Japan, trading volume in our securities has been light and an active trading market may not develop for our common stock. In March 2010, our average trading volume was approximately 2,800 shares per day on the Nasdaq and approximately 42,800 shares per day on the Hercules Market of the Osaka Stock Exchange.</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4, 2005 through March 31, 2010, our common stock has traded as high as approximately $42.00 and as low as approximately $1.40. The following factors, in addition to other risk factors described in this section, may have a significant impact on the market price of our common stock:</w:t>
      </w:r>
    </w:p>
    <w:p>
      <w:pPr>
        <w:spacing w:after="0" w:line="32" w:lineRule="exact"/>
        <w:rPr>
          <w:sz w:val="20"/>
          <w:szCs w:val="20"/>
          <w:color w:val="auto"/>
        </w:rPr>
      </w:pPr>
    </w:p>
    <w:p>
      <w:pPr>
        <w:ind w:left="900" w:right="3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50" w:lineRule="exact"/>
        <w:rPr>
          <w:rFonts w:ascii="Arial" w:cs="Arial" w:eastAsia="Arial" w:hAnsi="Arial"/>
          <w:sz w:val="18"/>
          <w:szCs w:val="18"/>
          <w:color w:val="auto"/>
        </w:rPr>
      </w:pPr>
    </w:p>
    <w:p>
      <w:pPr>
        <w:ind w:left="900" w:right="10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potential delisting of our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10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On August 24, 2009, The Pennsylvania Avenue Funds, an Avigen stockholder, filed a complaint in Alameda County Superior Court alleging that Avigen’s directors breached their fiduciary duties in connection with the proposed transaction with us. On October 15, 2009, The Pennsylvania Avenue Funds filed an amended complaint adding us as a defendant. In the amended complaint, The Pennsylvania Avenue funds alleged, among other things, that we aided and abetted the alleged breach of fiduciary duties by the Avigen directors. Avigen and Pennsylvania Avenue Funds have signed a stipulation of settlement agreement and moved the court for preliminary approval. A case management conference was scheduled for March 8, 2010. We and our directors intend to take all appropriate actions to defend the suit. The Court heard oral argument on the Motion for Preliminary Approval of Settlement and held a case management conference on March 8, 2010, during which it raised a few issues regarding the settlement provisions. On April 6, 2010, the Superior Court for the State of California for the County of Alameda approved the preliminary settlement and set a final settlement hearing for June 24, 2010. Under the terms of the Stipulation of Settlement, Avigen., a wholly-owned subsidiary of ours, has agreed not to oppose a fee motion by counsel to The Pennsylvania Avenue Funds for fees and expenses in the amount not to exceed $140,000 and a petition by The Pennsylvania Avenue Funds for an incentive award of up to $2,500. Under the Order Preliminarily Approving Settlement and Providing for Notice preliminarily certifies a class and states that such class is all persons or entities who held common stock of Avigen, either of record or beneficially, between August 20, 2009, through and including December 18, 2009. Members of the class may request exclusion from the class by June 7, 2010. We cannot assure you that the settlement will be approved by the court, on these terms or at all.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should we desire to do so. In addition, it may be difficult, or even impossible, to find a buyer for shares of our common stock.</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stockholder rights plan and 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900" w:right="10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percent stockholder approval;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Effective November 24, 2006, our board of directors adopted our stockholder rights plan. On March 30, 2007, our stockholders ratified the plan at our annual meeting of stockholders.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(1/1,000) of a share of our Series A Preferred Stock at a purchase price of $77.00, subject to adjustment. In general, under the plan, if a person or affiliated group acquires beneficial ownership of 20 percent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percent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will expire on the date of our 2010 annual meeting.</w:t>
      </w:r>
    </w:p>
    <w:p>
      <w:pPr>
        <w:spacing w:after="0" w:line="12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percent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10360" w:type="dxa"/>
            <w:vAlign w:val="bottom"/>
            <w:gridSpan w:val="3"/>
          </w:tcPr>
          <w:p>
            <w:pPr>
              <w:ind w:left="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r>
      <w:tr>
        <w:trPr>
          <w:trHeight w:val="297"/>
        </w:trPr>
        <w:tc>
          <w:tcPr>
            <w:tcW w:w="960" w:type="dxa"/>
            <w:vAlign w:val="bottom"/>
            <w:gridSpan w:val="2"/>
          </w:tcPr>
          <w:p>
            <w:pPr>
              <w:ind w:left="460"/>
              <w:spacing w:after="0"/>
              <w:rPr>
                <w:sz w:val="20"/>
                <w:szCs w:val="20"/>
                <w:color w:val="auto"/>
              </w:rPr>
            </w:pPr>
            <w:r>
              <w:rPr>
                <w:rFonts w:ascii="Arial" w:cs="Arial" w:eastAsia="Arial" w:hAnsi="Arial"/>
                <w:sz w:val="18"/>
                <w:szCs w:val="18"/>
                <w:color w:val="auto"/>
                <w:w w:val="99"/>
              </w:rPr>
              <w:t>None.</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50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10360" w:type="dxa"/>
            <w:vAlign w:val="bottom"/>
            <w:gridSpan w:val="3"/>
          </w:tcPr>
          <w:p>
            <w:pPr>
              <w:ind w:left="80"/>
              <w:spacing w:after="0"/>
              <w:rPr>
                <w:sz w:val="20"/>
                <w:szCs w:val="20"/>
                <w:color w:val="auto"/>
              </w:rPr>
            </w:pPr>
            <w:r>
              <w:rPr>
                <w:rFonts w:ascii="Arial" w:cs="Arial" w:eastAsia="Arial" w:hAnsi="Arial"/>
                <w:sz w:val="18"/>
                <w:szCs w:val="18"/>
                <w:b w:val="1"/>
                <w:bCs w:val="1"/>
                <w:color w:val="auto"/>
              </w:rPr>
              <w:t>DEFAULTS UPON SENIOR SECURITIES.</w:t>
            </w:r>
          </w:p>
        </w:tc>
      </w:tr>
      <w:tr>
        <w:trPr>
          <w:trHeight w:val="297"/>
        </w:trPr>
        <w:tc>
          <w:tcPr>
            <w:tcW w:w="960" w:type="dxa"/>
            <w:vAlign w:val="bottom"/>
            <w:gridSpan w:val="2"/>
          </w:tcPr>
          <w:p>
            <w:pPr>
              <w:ind w:left="460"/>
              <w:spacing w:after="0"/>
              <w:rPr>
                <w:sz w:val="20"/>
                <w:szCs w:val="20"/>
                <w:color w:val="auto"/>
              </w:rPr>
            </w:pPr>
            <w:r>
              <w:rPr>
                <w:rFonts w:ascii="Arial" w:cs="Arial" w:eastAsia="Arial" w:hAnsi="Arial"/>
                <w:sz w:val="18"/>
                <w:szCs w:val="18"/>
                <w:color w:val="auto"/>
                <w:w w:val="99"/>
              </w:rPr>
              <w:t>None.</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50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10360" w:type="dxa"/>
            <w:vAlign w:val="bottom"/>
            <w:gridSpan w:val="3"/>
          </w:tcPr>
          <w:p>
            <w:pPr>
              <w:ind w:left="80"/>
              <w:spacing w:after="0"/>
              <w:rPr>
                <w:sz w:val="20"/>
                <w:szCs w:val="20"/>
                <w:color w:val="auto"/>
              </w:rPr>
            </w:pPr>
            <w:r>
              <w:rPr>
                <w:rFonts w:ascii="Arial" w:cs="Arial" w:eastAsia="Arial" w:hAnsi="Arial"/>
                <w:sz w:val="18"/>
                <w:szCs w:val="18"/>
                <w:b w:val="1"/>
                <w:bCs w:val="1"/>
                <w:color w:val="auto"/>
              </w:rPr>
              <w:t>(REMOVED AND RESERVED).</w:t>
            </w:r>
          </w:p>
        </w:tc>
      </w:tr>
      <w:tr>
        <w:trPr>
          <w:trHeight w:val="50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10360" w:type="dxa"/>
            <w:vAlign w:val="bottom"/>
            <w:gridSpan w:val="3"/>
          </w:tcPr>
          <w:p>
            <w:pPr>
              <w:ind w:left="8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960" w:type="dxa"/>
            <w:vAlign w:val="bottom"/>
            <w:gridSpan w:val="2"/>
          </w:tcPr>
          <w:p>
            <w:pPr>
              <w:ind w:left="460"/>
              <w:spacing w:after="0"/>
              <w:rPr>
                <w:sz w:val="20"/>
                <w:szCs w:val="20"/>
                <w:color w:val="auto"/>
              </w:rPr>
            </w:pPr>
            <w:r>
              <w:rPr>
                <w:rFonts w:ascii="Arial" w:cs="Arial" w:eastAsia="Arial" w:hAnsi="Arial"/>
                <w:sz w:val="18"/>
                <w:szCs w:val="18"/>
                <w:color w:val="auto"/>
                <w:w w:val="99"/>
              </w:rPr>
              <w:t>None.</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50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360" w:type="dxa"/>
            <w:vAlign w:val="bottom"/>
            <w:gridSpan w:val="3"/>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99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10.1(1)</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Executive</w:t>
            </w:r>
          </w:p>
        </w:tc>
        <w:tc>
          <w:tcPr>
            <w:tcW w:w="9240" w:type="dxa"/>
            <w:vAlign w:val="bottom"/>
          </w:tcPr>
          <w:p>
            <w:pPr>
              <w:ind w:left="60"/>
              <w:spacing w:after="0"/>
              <w:rPr>
                <w:sz w:val="20"/>
                <w:szCs w:val="20"/>
                <w:color w:val="auto"/>
              </w:rPr>
            </w:pPr>
            <w:r>
              <w:rPr>
                <w:rFonts w:ascii="Arial" w:cs="Arial" w:eastAsia="Arial" w:hAnsi="Arial"/>
                <w:sz w:val="18"/>
                <w:szCs w:val="18"/>
                <w:color w:val="auto"/>
              </w:rPr>
              <w:t>Employment Agreement between Registrant and Kirk Johnson, dated February 1, 2010.</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March 31, 2010.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March 31, 2010.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2660" w:hanging="5612"/>
        <w:spacing w:after="0" w:line="440" w:lineRule="auto"/>
        <w:tabs>
          <w:tab w:leader="none" w:pos="4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1, 2010 and incorporated herein by reference. 55</w:t>
      </w:r>
    </w:p>
    <w:p>
      <w:pPr>
        <w:sectPr>
          <w:pgSz w:w="11900" w:h="16838" w:orient="portrait"/>
          <w:cols w:equalWidth="0" w:num="1">
            <w:col w:w="11320"/>
          </w:cols>
          <w:pgMar w:left="24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MEDICINOVA, INC.</w:t>
      </w:r>
    </w:p>
    <w:p>
      <w:pPr>
        <w:spacing w:after="0" w:line="123" w:lineRule="exact"/>
        <w:rPr>
          <w:sz w:val="20"/>
          <w:szCs w:val="20"/>
          <w:color w:val="auto"/>
        </w:rPr>
      </w:pPr>
    </w:p>
    <w:p>
      <w:pPr>
        <w:spacing w:after="0"/>
        <w:tabs>
          <w:tab w:leader="none" w:pos="5560" w:val="left"/>
          <w:tab w:leader="none" w:pos="7840" w:val="left"/>
          <w:tab w:leader="none" w:pos="8180" w:val="left"/>
        </w:tabs>
        <w:rPr>
          <w:sz w:val="20"/>
          <w:szCs w:val="20"/>
          <w:color w:val="auto"/>
        </w:rPr>
      </w:pPr>
      <w:r>
        <w:rPr>
          <w:rFonts w:ascii="Arial" w:cs="Arial" w:eastAsia="Arial" w:hAnsi="Arial"/>
          <w:sz w:val="18"/>
          <w:szCs w:val="18"/>
          <w:color w:val="auto"/>
        </w:rPr>
        <w:t>Date: May 17,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Yuichi Iwaki, M.D., Ph.D.</w:t>
      </w:r>
    </w:p>
    <w:p>
      <w:pPr>
        <w:jc w:val="center"/>
        <w:ind w:left="59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594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594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100" w:lineRule="exact"/>
        <w:rPr>
          <w:sz w:val="20"/>
          <w:szCs w:val="20"/>
          <w:color w:val="auto"/>
        </w:rPr>
      </w:pPr>
    </w:p>
    <w:p>
      <w:pPr>
        <w:ind w:left="5580"/>
        <w:spacing w:after="0"/>
        <w:tabs>
          <w:tab w:leader="none" w:pos="7700" w:val="left"/>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Shintaro Asako</w:t>
      </w:r>
    </w:p>
    <w:p>
      <w:pPr>
        <w:jc w:val="center"/>
        <w:ind w:left="59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594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594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780"/>
          </w:cols>
          <w:pgMar w:left="240" w:top="459" w:right="8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40" w:type="dxa"/>
            <w:vAlign w:val="bottom"/>
          </w:tcPr>
          <w:p>
            <w:pPr>
              <w:ind w:left="276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16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10.1(1)</w:t>
            </w:r>
          </w:p>
        </w:tc>
        <w:tc>
          <w:tcPr>
            <w:tcW w:w="88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Executive</w:t>
            </w:r>
          </w:p>
        </w:tc>
        <w:tc>
          <w:tcPr>
            <w:tcW w:w="9240" w:type="dxa"/>
            <w:vAlign w:val="bottom"/>
          </w:tcPr>
          <w:p>
            <w:pPr>
              <w:ind w:left="60"/>
              <w:spacing w:after="0"/>
              <w:rPr>
                <w:sz w:val="20"/>
                <w:szCs w:val="20"/>
                <w:color w:val="auto"/>
              </w:rPr>
            </w:pPr>
            <w:r>
              <w:rPr>
                <w:rFonts w:ascii="Arial" w:cs="Arial" w:eastAsia="Arial" w:hAnsi="Arial"/>
                <w:sz w:val="18"/>
                <w:szCs w:val="18"/>
                <w:color w:val="auto"/>
              </w:rPr>
              <w:t>Employment Agreement between Registrant and Kirk Johnson, dated February 1, 2010.</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8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March 31, 2010.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8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Section 302 of the Sarbanes-Oxley Act of 2002 for the period ended March 31, 2010.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8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8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2660" w:hanging="5612"/>
        <w:spacing w:after="0" w:line="440" w:lineRule="auto"/>
        <w:tabs>
          <w:tab w:leader="none" w:pos="4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1, 2010 and incorporated herein by reference. 57</w:t>
      </w:r>
    </w:p>
    <w:p>
      <w:pPr>
        <w:sectPr>
          <w:pgSz w:w="11900" w:h="16838" w:orient="portrait"/>
          <w:cols w:equalWidth="0" w:num="1">
            <w:col w:w="11320"/>
          </w:cols>
          <w:pgMar w:left="240" w:top="459"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2010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17, 2010</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certify that:</w:t>
      </w:r>
    </w:p>
    <w:p>
      <w:pPr>
        <w:spacing w:after="0" w:line="90"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2010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17, 2010</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Shintaro Asako</w:t>
      </w:r>
    </w:p>
    <w:p>
      <w:pPr>
        <w:jc w:val="center"/>
        <w:ind w:left="686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2010,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17, 2010</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2010, as filed with the Securities and Exchange Commission on the date hereof (the “Report”), I, Shintaro Asako,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17, 2010</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Shintaro Asako</w:t>
      </w:r>
    </w:p>
    <w:p>
      <w:pPr>
        <w:jc w:val="center"/>
        <w:ind w:left="686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2"/>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3"/>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3"/>
    </w:lvl>
  </w:abstractNum>
  <w:abstractNum w:abstractNumId="9">
    <w:nsid w:val="B03E0C6"/>
    <w:multiLevelType w:val="hybridMultilevel"/>
    <w:lvl w:ilvl="0">
      <w:lvlJc w:val="left"/>
      <w:lvlText w:val="%1."/>
      <w:numFmt w:val="decimal"/>
      <w:start w:val="8"/>
    </w:lvl>
  </w:abstractNum>
  <w:abstractNum w:abstractNumId="10">
    <w:nsid w:val="189A769B"/>
    <w:multiLevelType w:val="hybridMultilevel"/>
    <w:lvl w:ilvl="0">
      <w:lvlJc w:val="left"/>
      <w:lvlText w:val="%1."/>
      <w:numFmt w:val="decimal"/>
      <w:start w:val="9"/>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2019-12-10T22:45:14Z</dcterms:created>
  <dcterms:modified xsi:type="dcterms:W3CDTF">2019-12-10T22:45:14Z</dcterms:modified>
</cp:coreProperties>
</file>