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47625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67310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5" w:lineRule="exact"/>
        <w:rPr>
          <w:sz w:val="24"/>
          <w:szCs w:val="24"/>
          <w:color w:val="auto"/>
        </w:rPr>
      </w:pPr>
    </w:p>
    <w:p>
      <w:pPr>
        <w:ind w:left="4180"/>
        <w:spacing w:after="0"/>
        <w:tabs>
          <w:tab w:leader="none" w:pos="64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41275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MEDICINOVA,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4"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33-0927979</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7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tcPr>
          <w:p>
            <w:pPr>
              <w:jc w:val="center"/>
              <w:ind w:right="855"/>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ind w:right="835"/>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c>
          <w:tcPr>
            <w:tcW w:w="0" w:type="dxa"/>
            <w:vAlign w:val="bottom"/>
          </w:tcPr>
          <w:p>
            <w:pPr>
              <w:spacing w:after="0"/>
              <w:rPr>
                <w:sz w:val="1"/>
                <w:szCs w:val="1"/>
                <w:color w:val="auto"/>
              </w:rPr>
            </w:pPr>
          </w:p>
        </w:tc>
      </w:tr>
      <w:tr>
        <w:trPr>
          <w:trHeight w:val="195"/>
        </w:trPr>
        <w:tc>
          <w:tcPr>
            <w:tcW w:w="6820" w:type="dxa"/>
            <w:vAlign w:val="bottom"/>
            <w:gridSpan w:val="7"/>
          </w:tcPr>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4275 Executive Square, Suite 300, La Jolla, CA</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92037</w:t>
            </w:r>
          </w:p>
        </w:tc>
        <w:tc>
          <w:tcPr>
            <w:tcW w:w="0" w:type="dxa"/>
            <w:vAlign w:val="bottom"/>
          </w:tcPr>
          <w:p>
            <w:pPr>
              <w:spacing w:after="0"/>
              <w:rPr>
                <w:sz w:val="1"/>
                <w:szCs w:val="1"/>
                <w:color w:val="auto"/>
              </w:rPr>
            </w:pPr>
          </w:p>
        </w:tc>
      </w:tr>
      <w:tr>
        <w:trPr>
          <w:trHeight w:val="142"/>
        </w:trPr>
        <w:tc>
          <w:tcPr>
            <w:tcW w:w="6820" w:type="dxa"/>
            <w:vAlign w:val="bottom"/>
            <w:gridSpan w:val="7"/>
          </w:tcPr>
          <w:p>
            <w:pPr>
              <w:jc w:val="center"/>
              <w:ind w:right="230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ind w:right="855"/>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gridSpan w:val="4"/>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(858) 373-1500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gridSpan w:val="3"/>
          </w:tcPr>
          <w:p>
            <w:pPr>
              <w:jc w:val="center"/>
              <w:ind w:left="120"/>
              <w:spacing w:after="0"/>
              <w:rPr>
                <w:sz w:val="20"/>
                <w:szCs w:val="20"/>
                <w:color w:val="auto"/>
              </w:rPr>
            </w:pPr>
            <w:r>
              <w:rPr>
                <w:rFonts w:ascii="Times New Roman" w:cs="Times New Roman" w:eastAsia="Times New Roman" w:hAnsi="Times New Roman"/>
                <w:sz w:val="11"/>
                <w:szCs w:val="11"/>
                <w:b w:val="1"/>
                <w:bCs w:val="1"/>
                <w:color w:val="auto"/>
                <w:w w:val="98"/>
              </w:rPr>
              <w:t>(Registrant’s Telephone Number, Including Area Code)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4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5"/>
              </w:rPr>
              <w:t>Title of Each Class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gridSpan w:val="3"/>
          </w:tcPr>
          <w:p>
            <w:pPr>
              <w:jc w:val="center"/>
              <w:ind w:left="120"/>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2"/>
          </w:tcPr>
          <w:p>
            <w:pPr>
              <w:jc w:val="center"/>
              <w:ind w:left="114"/>
              <w:spacing w:after="0"/>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5"/>
              </w:rPr>
              <w:t>0.001 per share</w:t>
            </w: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80" w:type="dxa"/>
            <w:vAlign w:val="bottom"/>
            <w:gridSpan w:val="2"/>
          </w:tcPr>
          <w:p>
            <w:pPr>
              <w:ind w:left="600"/>
              <w:spacing w:after="0" w:line="158" w:lineRule="exact"/>
              <w:rPr>
                <w:sz w:val="20"/>
                <w:szCs w:val="20"/>
                <w:color w:val="auto"/>
              </w:rPr>
            </w:pPr>
            <w:r>
              <w:rPr>
                <w:rFonts w:ascii="Times New Roman" w:cs="Times New Roman" w:eastAsia="Times New Roman" w:hAnsi="Times New Roman"/>
                <w:sz w:val="14"/>
                <w:szCs w:val="14"/>
                <w:color w:val="auto"/>
              </w:rPr>
              <w:t>Common Stock, par value $</w:t>
            </w: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80" w:type="dxa"/>
            <w:vAlign w:val="bottom"/>
            <w:gridSpan w:val="2"/>
          </w:tcPr>
          <w:p>
            <w:pPr>
              <w:jc w:val="center"/>
              <w:ind w:right="1320"/>
              <w:spacing w:after="0" w:line="158" w:lineRule="exact"/>
              <w:rPr>
                <w:sz w:val="20"/>
                <w:szCs w:val="20"/>
                <w:color w:val="auto"/>
              </w:rPr>
            </w:pPr>
            <w:r>
              <w:rPr>
                <w:rFonts w:ascii="Times New Roman" w:cs="Times New Roman" w:eastAsia="Times New Roman" w:hAnsi="Times New Roman"/>
                <w:sz w:val="14"/>
                <w:szCs w:val="14"/>
                <w:color w:val="auto"/>
              </w:rPr>
              <w:t>MNOV</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85"/>
              </w:rPr>
              <w:t>☐</w:t>
            </w:r>
          </w:p>
        </w:tc>
        <w:tc>
          <w:tcPr>
            <w:tcW w:w="2060" w:type="dxa"/>
            <w:vAlign w:val="bottom"/>
            <w:vMerge w:val="restart"/>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1"/>
              </w:rPr>
              <w:t>Yes</w:t>
            </w:r>
          </w:p>
        </w:tc>
        <w:tc>
          <w:tcPr>
            <w:tcW w:w="24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20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2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ind w:right="40"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20" w:firstLine="509"/>
        <w:spacing w:after="0" w:line="237"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was approximately $62,397,025 based on the closing price of the registrant’s common stock on the Nasdaq Global Market of $1.31 per share on June 30, 2025. Shares of common stock held by each executive officer and director and each affiliated entity has been excluded from this calculation. This determination of affiliate status may not be conclusive for other purposes.</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outstanding shares of the registrant’s common stock, par value $0.001 per share, as of March 5, 2026 was 49,221,246.</w:t>
      </w:r>
    </w:p>
    <w:p>
      <w:pPr>
        <w:spacing w:after="0" w:line="4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4"/>
          <w:szCs w:val="24"/>
          <w:color w:val="auto"/>
        </w:rPr>
      </w:pPr>
    </w:p>
    <w:p>
      <w:pPr>
        <w:ind w:right="460"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to be filed with the Securities and Exchange Commission pursuant to Regulation 14A in connection with the registrant’s 2026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2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MEDICINOVA, INC.</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300" w:type="dxa"/>
            <w:vAlign w:val="bottom"/>
            <w:gridSpan w:val="11"/>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FORM 10-K—ANNUAL REPORT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gridSpan w:val="12"/>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2025</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2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6"/>
                <w:szCs w:val="16"/>
                <w:color w:val="auto"/>
              </w:rPr>
            </w:pPr>
          </w:p>
        </w:tc>
        <w:tc>
          <w:tcPr>
            <w:tcW w:w="8500" w:type="dxa"/>
            <w:vAlign w:val="bottom"/>
            <w:gridSpan w:val="21"/>
          </w:tcPr>
          <w:p>
            <w:pPr>
              <w:spacing w:after="0"/>
              <w:rPr>
                <w:sz w:val="16"/>
                <w:szCs w:val="16"/>
                <w:color w:val="auto"/>
              </w:rPr>
            </w:pPr>
          </w:p>
        </w:tc>
        <w:tc>
          <w:tcPr>
            <w:tcW w:w="880" w:type="dxa"/>
            <w:vAlign w:val="bottom"/>
          </w:tcPr>
          <w:p>
            <w:pPr>
              <w:ind w:left="420"/>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120" w:type="dxa"/>
            <w:vAlign w:val="bottom"/>
            <w:gridSpan w:val="12"/>
          </w:tcPr>
          <w:p>
            <w:pPr>
              <w:spacing w:after="0"/>
              <w:rPr>
                <w:sz w:val="17"/>
                <w:szCs w:val="17"/>
                <w:color w:val="auto"/>
              </w:rPr>
            </w:pP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160" w:type="dxa"/>
            <w:vAlign w:val="bottom"/>
            <w:gridSpan w:val="17"/>
          </w:tcPr>
          <w:p>
            <w:pPr>
              <w:spacing w:after="0"/>
              <w:rPr>
                <w:sz w:val="17"/>
                <w:szCs w:val="17"/>
                <w:color w:val="auto"/>
              </w:rPr>
            </w:pP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4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060" w:type="dxa"/>
            <w:vAlign w:val="bottom"/>
          </w:tcPr>
          <w:p>
            <w:pPr>
              <w:spacing w:after="0"/>
              <w:rPr>
                <w:sz w:val="16"/>
                <w:szCs w:val="16"/>
                <w:color w:val="auto"/>
              </w:rPr>
            </w:pPr>
          </w:p>
        </w:tc>
        <w:tc>
          <w:tcPr>
            <w:tcW w:w="880" w:type="dxa"/>
            <w:vAlign w:val="bottom"/>
          </w:tcPr>
          <w:p>
            <w:pPr>
              <w:ind w:left="420"/>
              <w:spacing w:after="0" w:line="194"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2700" w:type="dxa"/>
            <w:vAlign w:val="bottom"/>
            <w:gridSpan w:val="4"/>
          </w:tcPr>
          <w:p>
            <w:pPr>
              <w:spacing w:after="0"/>
              <w:rPr>
                <w:sz w:val="17"/>
                <w:szCs w:val="17"/>
                <w:color w:val="auto"/>
              </w:rPr>
            </w:pP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640" w:type="dxa"/>
            <w:vAlign w:val="bottom"/>
            <w:gridSpan w:val="3"/>
          </w:tcPr>
          <w:p>
            <w:pPr>
              <w:spacing w:after="0"/>
              <w:rPr>
                <w:sz w:val="17"/>
                <w:szCs w:val="17"/>
                <w:color w:val="auto"/>
              </w:rPr>
            </w:pP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400" w:type="dxa"/>
            <w:vAlign w:val="bottom"/>
            <w:gridSpan w:val="15"/>
          </w:tcPr>
          <w:p>
            <w:pPr>
              <w:spacing w:after="0"/>
              <w:rPr>
                <w:sz w:val="17"/>
                <w:szCs w:val="17"/>
                <w:color w:val="auto"/>
              </w:rPr>
            </w:pP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right w:val="single" w:sz="8" w:color="0000EE"/>
            </w:tcBorders>
            <w:gridSpan w:val="7"/>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4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060" w:type="dxa"/>
            <w:vAlign w:val="bottom"/>
            <w:gridSpan w:val="8"/>
          </w:tcPr>
          <w:p>
            <w:pPr>
              <w:spacing w:after="0"/>
              <w:rPr>
                <w:sz w:val="16"/>
                <w:szCs w:val="16"/>
                <w:color w:val="auto"/>
              </w:rPr>
            </w:pPr>
          </w:p>
        </w:tc>
        <w:tc>
          <w:tcPr>
            <w:tcW w:w="880" w:type="dxa"/>
            <w:vAlign w:val="bottom"/>
          </w:tcPr>
          <w:p>
            <w:pPr>
              <w:ind w:left="420"/>
              <w:spacing w:after="0" w:line="194"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17"/>
                <w:szCs w:val="17"/>
                <w:color w:val="auto"/>
              </w:rPr>
            </w:pPr>
          </w:p>
        </w:tc>
        <w:tc>
          <w:tcPr>
            <w:tcW w:w="7340" w:type="dxa"/>
            <w:vAlign w:val="bottom"/>
            <w:gridSpan w:val="13"/>
          </w:tcPr>
          <w:p>
            <w:pPr>
              <w:spacing w:after="0"/>
              <w:rPr>
                <w:sz w:val="17"/>
                <w:szCs w:val="17"/>
                <w:color w:val="auto"/>
              </w:rPr>
            </w:pP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17"/>
                <w:szCs w:val="17"/>
                <w:color w:val="auto"/>
              </w:rPr>
            </w:pPr>
          </w:p>
        </w:tc>
        <w:tc>
          <w:tcPr>
            <w:tcW w:w="1880" w:type="dxa"/>
            <w:vAlign w:val="bottom"/>
            <w:gridSpan w:val="2"/>
          </w:tcPr>
          <w:p>
            <w:pPr>
              <w:spacing w:after="0"/>
              <w:rPr>
                <w:sz w:val="17"/>
                <w:szCs w:val="17"/>
                <w:color w:val="auto"/>
              </w:rPr>
            </w:pP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8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4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80" w:type="dxa"/>
            <w:vAlign w:val="bottom"/>
          </w:tcPr>
          <w:p>
            <w:pPr>
              <w:ind w:left="420"/>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MediciNova logo is a registered trademark of MediciNova, Inc. All other product and company names are registered trademarks or trademarks of their respective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jc w:val="both"/>
        <w:ind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forward-looking statements that involve a number of risks and uncertainties, many of which are beyond our control.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74" w:lineRule="exact"/>
        <w:rPr>
          <w:sz w:val="20"/>
          <w:szCs w:val="20"/>
          <w:color w:val="auto"/>
        </w:rPr>
      </w:pPr>
    </w:p>
    <w:p>
      <w:pPr>
        <w:jc w:val="both"/>
        <w:ind w:firstLine="710"/>
        <w:spacing w:after="0" w:line="256" w:lineRule="auto"/>
        <w:rPr>
          <w:sz w:val="20"/>
          <w:szCs w:val="20"/>
          <w:color w:val="auto"/>
        </w:rPr>
      </w:pPr>
      <w:r>
        <w:rPr>
          <w:rFonts w:ascii="Times New Roman" w:cs="Times New Roman" w:eastAsia="Times New Roman" w:hAnsi="Times New Roman"/>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239" w:lineRule="exact"/>
        <w:rPr>
          <w:sz w:val="20"/>
          <w:szCs w:val="20"/>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if needed;</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revenues from product sales to continue business operations;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and commercialize our product candidates;</w:t>
      </w:r>
    </w:p>
    <w:p>
      <w:pPr>
        <w:spacing w:after="0" w:line="238" w:lineRule="exact"/>
        <w:rPr>
          <w:rFonts w:ascii="Times New Roman" w:cs="Times New Roman" w:eastAsia="Times New Roman" w:hAnsi="Times New Roman"/>
          <w:sz w:val="18"/>
          <w:szCs w:val="18"/>
          <w:color w:val="auto"/>
        </w:rPr>
      </w:pPr>
    </w:p>
    <w:p>
      <w:pPr>
        <w:ind w:left="1320" w:right="500" w:hanging="369"/>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completing clinical trials or obtaining United States Food and Drug Administration (FDA) or foreign regulatory approval for our product candidates in a timely manner;</w:t>
      </w:r>
    </w:p>
    <w:p>
      <w:pPr>
        <w:spacing w:after="0" w:line="188" w:lineRule="exact"/>
        <w:rPr>
          <w:rFonts w:ascii="Times New Roman" w:cs="Times New Roman" w:eastAsia="Times New Roman" w:hAnsi="Times New Roman"/>
          <w:sz w:val="18"/>
          <w:szCs w:val="18"/>
          <w:color w:val="auto"/>
        </w:rPr>
      </w:pPr>
    </w:p>
    <w:p>
      <w:pPr>
        <w:ind w:left="1320" w:right="100" w:hanging="369"/>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clinical trials stemming from clinical trial designs, failure to enroll a sufficient number of patients, undesirable side effects and other safety concerns;</w:t>
      </w:r>
    </w:p>
    <w:p>
      <w:pPr>
        <w:spacing w:after="0" w:line="175"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demonstrate sufficient efficacy of product candidates;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success of our MN-166 (ibudilast) and MN-001 (tipelukast) product candidates;</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commencement or completion of clinical trials or suspension or termination of clinical trials;</w:t>
      </w:r>
    </w:p>
    <w:p>
      <w:pPr>
        <w:spacing w:after="0" w:line="238" w:lineRule="exact"/>
        <w:rPr>
          <w:rFonts w:ascii="Times New Roman" w:cs="Times New Roman" w:eastAsia="Times New Roman" w:hAnsi="Times New Roman"/>
          <w:sz w:val="18"/>
          <w:szCs w:val="18"/>
          <w:color w:val="auto"/>
        </w:rPr>
      </w:pPr>
    </w:p>
    <w:p>
      <w:pPr>
        <w:ind w:left="1320" w:right="260" w:hanging="369"/>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licensed rights to develop and commercialize a product candidate as a result of the termination of the underlying licensing agreement;</w:t>
      </w:r>
    </w:p>
    <w:p>
      <w:pPr>
        <w:spacing w:after="0" w:line="175"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products rendering our product candidates obsolete and noncompetitive;</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attract partners and enter into collaborations on acceptable terms;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conduct clinical trials and to manufacture product candidates;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market and distribute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207" w:lineRule="exact"/>
        <w:rPr>
          <w:sz w:val="20"/>
          <w:szCs w:val="20"/>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if approved, may not gain market acceptance or obtain adequate coverage for third party reimbursement;</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our business and operations;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 for our products may become difficult to obtain or expensive;</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 candidates;</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 and</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Annual Report on Form 10-K to “MediciNova,” “we,” “us” and “our” refer to MediciNova,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risks and uncertainties that could adversely affect our business, cash flows, financial condition and/or results of operations, and these adverse impacts may be material. This summary is qualified in its entirety by reference to the more detailed descriptions of the risks and uncertainties included in Item 1A below and you should read this summary together with those more detailed descriptions.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principal risks and uncertainties relate to, among other things: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our Industry:</w:t>
      </w:r>
    </w:p>
    <w:p>
      <w:pPr>
        <w:spacing w:after="0" w:line="24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operating losses we have incurred and expect to incur for the foreseeable future;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capital necessary to fund our operations;</w:t>
      </w:r>
    </w:p>
    <w:p>
      <w:pPr>
        <w:spacing w:after="0" w:line="238"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any products that are approved for commercial sale and do not expect to generate any revenues from product sales for the foreseeable future, if ever;</w:t>
      </w:r>
    </w:p>
    <w:p>
      <w:pPr>
        <w:spacing w:after="0" w:line="175"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MN-166 (ibudilast) and MN-001 (tipelukast) product candidates and uncertainty that these product candidates will receive regulatory approval or be successfully commercialized;</w:t>
      </w:r>
    </w:p>
    <w:p>
      <w:pPr>
        <w:spacing w:after="0" w:line="18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and uncertainty relating to progressing product candidates through the various stages of clinical trials and obtaining regulatory approval;</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 w:name="page5"/>
    <w:bookmarkEnd w:id="4"/>
    <w:p>
      <w:pPr>
        <w:spacing w:after="0" w:line="207" w:lineRule="exact"/>
        <w:rPr>
          <w:sz w:val="20"/>
          <w:szCs w:val="20"/>
          <w:color w:val="auto"/>
        </w:rPr>
      </w:pPr>
    </w:p>
    <w:p>
      <w:pPr>
        <w:ind w:left="380" w:right="26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attempts to develop MN-001 (tipelukast) in NASH (as defined below) and NAFLD (as defined below) may detract from our efforts to develop other product candidates;</w:t>
      </w:r>
    </w:p>
    <w:p>
      <w:pPr>
        <w:spacing w:after="0" w:line="18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high cost and uncertainty of obtaining regulatory approval;</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stringent regulation of our product candidates;</w:t>
      </w:r>
    </w:p>
    <w:p>
      <w:pPr>
        <w:spacing w:after="0" w:line="238" w:lineRule="exact"/>
        <w:rPr>
          <w:rFonts w:ascii="Times New Roman" w:cs="Times New Roman" w:eastAsia="Times New Roman" w:hAnsi="Times New Roman"/>
          <w:sz w:val="18"/>
          <w:szCs w:val="18"/>
          <w:color w:val="auto"/>
        </w:rPr>
      </w:pPr>
    </w:p>
    <w:p>
      <w:pPr>
        <w:ind w:left="380" w:right="48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development and regulatory difficulties even if we are successful in receiving regulatory approval of one or more of our product candidates;</w:t>
      </w:r>
    </w:p>
    <w:p>
      <w:pPr>
        <w:spacing w:after="0" w:line="188" w:lineRule="exact"/>
        <w:rPr>
          <w:rFonts w:ascii="Times New Roman" w:cs="Times New Roman" w:eastAsia="Times New Roman" w:hAnsi="Times New Roman"/>
          <w:sz w:val="18"/>
          <w:szCs w:val="18"/>
          <w:color w:val="auto"/>
        </w:rPr>
      </w:pPr>
    </w:p>
    <w:p>
      <w:pPr>
        <w:ind w:left="380" w:right="94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undesirable side effects of any product candidate experienced during clinical trials could delay or prevent regulatory approval or commercialization or limit its commercial potential;</w:t>
      </w:r>
    </w:p>
    <w:p>
      <w:pPr>
        <w:spacing w:after="0" w:line="17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or completion of clinical trials, or suspension or termination of our clinical trials;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rights to develop and market any of our product candidates;</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or any other public health crisis on our business and operations;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strategic collaborations with third parties to develop and commercialize product candidates;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clinical trials;</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manufacturers to produce our product candidates;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third party manufacturer's ability to manufacture our product candidates in commercial quantities;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availability of materials necessary to manufacture our product candidates;</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among physicians, patients and the medical community of our product candidates;</w:t>
      </w:r>
    </w:p>
    <w:p>
      <w:pPr>
        <w:spacing w:after="0" w:line="238"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users of our products to obtain adequate coverage of and reimbursement for our products from government and other third party payers;</w:t>
      </w:r>
    </w:p>
    <w:p>
      <w:pPr>
        <w:spacing w:after="0" w:line="17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motivate and attract key personnel;</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marketing and distribution capabilities;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measures could adversely affect our business;</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700" w:top="1440" w:right="639" w:bottom="1440" w:gutter="0" w:footer="0" w:header="0"/>
        </w:sectPr>
      </w:pPr>
    </w:p>
    <w:bookmarkStart w:id="5" w:name="page6"/>
    <w:bookmarkEnd w:id="5"/>
    <w:p>
      <w:pPr>
        <w:spacing w:after="0" w:line="20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product liability lawsuits against 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our results of operations;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management attention required to operate as a public company;</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systems failures, network disruptions, breaches in data security and computer crime and cyber-attacks;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operating our business and marketing our products internationally.</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Intellectual Property</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depends on the adequate protection of our proprietary rights;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disclosure of our trade secrets and other proprietary information; and</w:t>
      </w:r>
    </w:p>
    <w:p>
      <w:pPr>
        <w:spacing w:after="0" w:line="252"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uncertainties of any dispute concerning the infringement or misappropriation of our proprietary rights or the proprietary rights of others, including trade secrets.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the Securities Markets and Investments in Our Common Stock:</w:t>
      </w:r>
    </w:p>
    <w:p>
      <w:pPr>
        <w:spacing w:after="0" w:line="241"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delisting of our common stock on the Nasdaq Global Market or the Standard Market of the Tokyo Stock Exchange;</w:t>
      </w:r>
    </w:p>
    <w:p>
      <w:pPr>
        <w:spacing w:after="0" w:line="238"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substantial dilution to our existing stockholders and/or the decline in price of our common stock if we were to sell additional shares of our common stock, including under our existing at-the-market issuance sales agreement;</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management distraction if we were to face securities class action litigation; and</w:t>
      </w:r>
    </w:p>
    <w:p>
      <w:pPr>
        <w:spacing w:after="0" w:line="252"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anti-takeover provisions in our charter documents and under Delaware law may make it difficult for third parties to acquire us or remove and replace our directors and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72"/>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developing novel therapeutics for the treatment of serious diseases with unmet medical needs and a commercial focus on the United States (U.S.)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and prevention of acute respiratory distress syndrome (ARDS), and MN-001 (tipelukast) for fibrotic and other metabolic disorders such as nonalcoholic fatty liver disease (NAFLD), and hypertriglyceridemia.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Progressive Multiple Sclerosis:</w:t>
      </w:r>
    </w:p>
    <w:p>
      <w:pPr>
        <w:spacing w:after="0" w:line="119" w:lineRule="exact"/>
        <w:rPr>
          <w:sz w:val="20"/>
          <w:szCs w:val="20"/>
          <w:color w:val="auto"/>
        </w:rPr>
      </w:pPr>
    </w:p>
    <w:p>
      <w:pPr>
        <w:ind w:right="480" w:firstLine="572"/>
        <w:spacing w:after="0" w:line="312" w:lineRule="auto"/>
        <w:rPr>
          <w:sz w:val="20"/>
          <w:szCs w:val="20"/>
          <w:color w:val="auto"/>
        </w:rPr>
      </w:pPr>
      <w:r>
        <w:rPr>
          <w:rFonts w:ascii="Times New Roman" w:cs="Times New Roman" w:eastAsia="Times New Roman" w:hAnsi="Times New Roman"/>
          <w:sz w:val="17"/>
          <w:szCs w:val="17"/>
          <w:color w:val="auto"/>
        </w:rPr>
        <w:t>We completed a Phase 2b clinical trial of MN-166 (ibudilast) for the treatment of relapsing MS, in which positive safety and neuroprotective efficacy indicators were observed. The data from this trial indicated that MN-166 (ibudilast) may have potential in the treatment of progressive MS.</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153" w:lineRule="exact"/>
        <w:rPr>
          <w:sz w:val="20"/>
          <w:szCs w:val="20"/>
          <w:color w:val="auto"/>
        </w:rPr>
      </w:pPr>
    </w:p>
    <w:p>
      <w:pPr>
        <w:ind w:firstLine="572"/>
        <w:spacing w:after="0" w:line="252" w:lineRule="auto"/>
        <w:rPr>
          <w:sz w:val="20"/>
          <w:szCs w:val="20"/>
          <w:color w:val="auto"/>
        </w:rPr>
      </w:pPr>
      <w:r>
        <w:rPr>
          <w:rFonts w:ascii="Times New Roman" w:cs="Times New Roman" w:eastAsia="Times New Roman" w:hAnsi="Times New Roman"/>
          <w:sz w:val="18"/>
          <w:szCs w:val="18"/>
          <w:color w:val="auto"/>
        </w:rPr>
        <w:t xml:space="preserve">We partnered with investigators on a Phase 2b clinical trial of MN-166 (ibudilast) in primary progressive and secondary progressive MS which was conducted by NeuroNEXT and funded by the National Institute of Health’s (NIH) National Institute of Neurological Diseases and Stroke (NINDS). This progressive MS trial, known as SPRINT-MS, completed randomization of 255 subjects in 2015, which exceeded the goal of 250 subjects that were planned for participation.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magnetic resonance imaging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ratio=0.74), as measured by Expanded Disability Status Scale (EDSS). 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which showed that the trends for reduction in the risk of confirmed disability progression were highest for the subgroup of subjects with secondary progressive MS without relapse, in which MN-166 (ibudilast) demonstrated a 46% risk reduction compared to placebo. Additional data from the completed SPRINT-MS Phase 2b trial of MN-166 (ibudilast) in progressive MS was presented in May 2019 at the American Academy of Neurology (AAN) 71st Annual Meeting in Philadelphia, Pennsylvania. In November 2020, we announced that positive Optical Coherence Tomography (OCT) results from the SPRINT-MS Phase 2b trial of MN-166 (ibudilast) in progressive MS were published in </w:t>
      </w:r>
      <w:r>
        <w:rPr>
          <w:rFonts w:ascii="Times New Roman" w:cs="Times New Roman" w:eastAsia="Times New Roman" w:hAnsi="Times New Roman"/>
          <w:sz w:val="18"/>
          <w:szCs w:val="18"/>
          <w:i w:val="1"/>
          <w:iCs w:val="1"/>
          <w:color w:val="auto"/>
        </w:rPr>
        <w:t>Multiple Sclerosis Journal</w:t>
      </w:r>
      <w:r>
        <w:rPr>
          <w:rFonts w:ascii="Times New Roman" w:cs="Times New Roman" w:eastAsia="Times New Roman" w:hAnsi="Times New Roman"/>
          <w:sz w:val="18"/>
          <w:szCs w:val="18"/>
          <w:color w:val="auto"/>
        </w:rPr>
        <w:t>. In July 2021, we received a Notice of Allowance from the U.S. Patent and Trademark Office (USPTO) for a new patent which covers MN-166 (ibudilast) for the treatment of an ophthalmic disease/disorder or injury associated with a neurodegenerative disease/disorder or a neuro-ophthalmologic disorder.</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FDA has granted Fast Track designation for the development of MN-166 (ibudilast) for the treatment of patients with progressive 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Amyotrophic Lateral Sclerosis:</w:t>
      </w:r>
    </w:p>
    <w:p>
      <w:pPr>
        <w:spacing w:after="0" w:line="119" w:lineRule="exact"/>
        <w:rPr>
          <w:sz w:val="20"/>
          <w:szCs w:val="20"/>
          <w:color w:val="auto"/>
        </w:rPr>
      </w:pPr>
    </w:p>
    <w:p>
      <w:pPr>
        <w:ind w:right="140" w:firstLine="683"/>
        <w:spacing w:after="0" w:line="254" w:lineRule="auto"/>
        <w:rPr>
          <w:sz w:val="20"/>
          <w:szCs w:val="20"/>
          <w:color w:val="auto"/>
        </w:rPr>
      </w:pPr>
      <w:r>
        <w:rPr>
          <w:rFonts w:ascii="Times New Roman" w:cs="Times New Roman" w:eastAsia="Times New Roman" w:hAnsi="Times New Roman"/>
          <w:sz w:val="18"/>
          <w:szCs w:val="18"/>
          <w:color w:val="auto"/>
        </w:rPr>
        <w:t>We initiated a clinical trial of MN-166 (ibudilast) in amyotrophic lateral sclerosis (ALS) in the second half of 2014, and this trial was completed during the second half of 2017. In December 2017, we announced positive top-line results from this trial. The trial achieved the primary endpoint of safety and tolerability. In addition, there was a higher rate of responders on the Amyotrophic Lateral Sclerosis Functional Rating Scale-Revised (ALSFRS-R) total score, a measure of functional activity, in the MN-166 (ibudilast) group compared to the placebo group. In September 2018, we received feedback from the FDA regarding our clinical development plan for MN-166 (ibudilast) in ALS. In January 2019, we received a Notice of Allowance from the USPTO for a new patent which covers the combination of MN-166 (ibudilast) and riluzole for the treatment of ALS and other neurodegenerative diseases. In April 2019, we announced that the FDA completed its review of the protocol and determined that we may proceed with a Phase 2b/3 clinical trial of MN-166 (ibudilast) in ALS. In June 2019, we announced a kick-off meeting for the Phase 2b/3 clinical trial of MN-166 (ibudilast) in ALS, referred to as the COMBAT-ALS trial. In December 2019, we announced that additional analyses of the completed clinical trial of MN-166 (ibudilast) in ALS was presented at the 30th International Symposium on amyotrophic lateral sclerosis/motor neuron disease (ALS/MND) in Perth, Australia. In December 2021, we announced that a poster with an overview of our ongoing Phase 2b/3 clinical trial of MN-166 (ibudilast) in ALS was presented at the 32nd International Symposium on ALS/MND. In December 2024, a study update and interim analysis of phase 2/3 clinical data of MN-166 (ibudilast) in the COMBAT-ALS trial was presented at the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international symposium on ALS/MND at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Montreal, Canada. In September 2025, we announced the completion of patient enrollment in the COMBAT-ALS Phase 2/3 clinical trial, evaluating MN-166 (ibudilast) for the treatment of ALS. A total of 234 patients have been randomized across two treatment arms at multiple clinical sites in the United States and Canada. In December 2025, we announced the study update and patient characteristics of the COMBAT-ALS phase 2/3 clinical trial at the 36th International Symposium of ALS/MND at San Diego, California.</w:t>
      </w:r>
    </w:p>
    <w:p>
      <w:pPr>
        <w:spacing w:after="0" w:line="139" w:lineRule="exact"/>
        <w:rPr>
          <w:sz w:val="20"/>
          <w:szCs w:val="20"/>
          <w:color w:val="auto"/>
        </w:rPr>
      </w:pPr>
    </w:p>
    <w:p>
      <w:pPr>
        <w:ind w:right="40" w:firstLine="572"/>
        <w:spacing w:after="0" w:line="266" w:lineRule="auto"/>
        <w:rPr>
          <w:sz w:val="20"/>
          <w:szCs w:val="20"/>
          <w:color w:val="auto"/>
        </w:rPr>
      </w:pPr>
      <w:r>
        <w:rPr>
          <w:rFonts w:ascii="Times New Roman" w:cs="Times New Roman" w:eastAsia="Times New Roman" w:hAnsi="Times New Roman"/>
          <w:sz w:val="18"/>
          <w:szCs w:val="18"/>
          <w:color w:val="auto"/>
        </w:rPr>
        <w:t>The FDA has granted Fast Track designation to MN-166 (ibudilast) for the treatment of ALS as well as Orphan-Drug designation for the treatment of ALS, which will provide seven years of marketing exclusivity if it is approved for ALS. The European Commission also granted Orphan Medicinal Product Designation for MN-166 (ibudilast) for the treatment of ALS.</w:t>
      </w:r>
    </w:p>
    <w:p>
      <w:pPr>
        <w:spacing w:after="0" w:line="147" w:lineRule="exact"/>
        <w:rPr>
          <w:sz w:val="20"/>
          <w:szCs w:val="20"/>
          <w:color w:val="auto"/>
        </w:rPr>
      </w:pPr>
    </w:p>
    <w:p>
      <w:pPr>
        <w:ind w:right="140" w:firstLine="57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Degenerative Cervical Myelopathy: </w:t>
      </w:r>
      <w:r>
        <w:rPr>
          <w:rFonts w:ascii="Times New Roman" w:cs="Times New Roman" w:eastAsia="Times New Roman" w:hAnsi="Times New Roman"/>
          <w:sz w:val="18"/>
          <w:szCs w:val="18"/>
          <w:color w:val="auto"/>
        </w:rPr>
        <w:t>In August 2018, we announced plans to initiate a clinical trial of MN-166 (ibudilast) in degenerative cervical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myelopathy (DCM) in collaboration with the University of Cambridge. The trial is funded by a grant from the National Institute for Health Research (NIHR) in the United Kingdom (UK). In May 2019, we announced our participation at the Kick-off Meeting for the Phase 3 clinical trial in DCM, “REgeneration in CErvical DEgenerative Myelopathy (RECEDE Myelopathy)” in collaboration with University of Cambridge researchers. In February 2022, we announced that MN-166 (ibudilast) was discussed as a potential beneficial pharmacological agent for the treatment of DCM in </w:t>
      </w:r>
      <w:r>
        <w:rPr>
          <w:rFonts w:ascii="Times New Roman" w:cs="Times New Roman" w:eastAsia="Times New Roman" w:hAnsi="Times New Roman"/>
          <w:sz w:val="18"/>
          <w:szCs w:val="18"/>
          <w:i w:val="1"/>
          <w:iCs w:val="1"/>
          <w:color w:val="auto"/>
        </w:rPr>
        <w:t>Global Spine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Journal</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ind w:firstLine="57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Glioblastoma: </w:t>
      </w:r>
      <w:r>
        <w:rPr>
          <w:rFonts w:ascii="Times New Roman" w:cs="Times New Roman" w:eastAsia="Times New Roman" w:hAnsi="Times New Roman"/>
          <w:sz w:val="18"/>
          <w:szCs w:val="18"/>
          <w:color w:val="auto"/>
        </w:rPr>
        <w:t>We have initiated clinical development to evaluate MN-166 (ibudilast) for the treatment of glioblastoma. In June 2017,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announced positive results from an animal model study that examined the potential clinical efficacy of MN-166 (ibudilast) for the treatment of glioblastoma. These results were presented at the 2017 American Society of Clinical Oncology (ASCO) Annual Meeting. In May 2018, we announced that the Investigational New Drug Application (IND) for MN-166 (ibudilast) for treatment of glioblastoma was accepted and opened with the FDA.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for the treatment of glioblastoma at the Dana-Farber Cancer Institute in Boston. In February 2019, we announced that </w:t>
      </w:r>
      <w:r>
        <w:rPr>
          <w:rFonts w:ascii="Times New Roman" w:cs="Times New Roman" w:eastAsia="Times New Roman" w:hAnsi="Times New Roman"/>
          <w:sz w:val="18"/>
          <w:szCs w:val="18"/>
          <w:i w:val="1"/>
          <w:iCs w:val="1"/>
          <w:color w:val="auto"/>
        </w:rPr>
        <w:t>Scientific Reports</w:t>
      </w:r>
      <w:r>
        <w:rPr>
          <w:rFonts w:ascii="Times New Roman" w:cs="Times New Roman" w:eastAsia="Times New Roman" w:hAnsi="Times New Roman"/>
          <w:sz w:val="18"/>
          <w:szCs w:val="18"/>
          <w:color w:val="auto"/>
        </w:rPr>
        <w:t xml:space="preserve"> published results from the animal model study evaluating MN-166 (ibudilast) in glioblastoma. In June 2020, we announced that positive preclinical findings were published in </w:t>
      </w:r>
      <w:r>
        <w:rPr>
          <w:rFonts w:ascii="Times New Roman" w:cs="Times New Roman" w:eastAsia="Times New Roman" w:hAnsi="Times New Roman"/>
          <w:sz w:val="18"/>
          <w:szCs w:val="18"/>
          <w:i w:val="1"/>
          <w:iCs w:val="1"/>
          <w:color w:val="auto"/>
        </w:rPr>
        <w:t xml:space="preserve">Frontiers in Immunology </w:t>
      </w:r>
      <w:r>
        <w:rPr>
          <w:rFonts w:ascii="Times New Roman" w:cs="Times New Roman" w:eastAsia="Times New Roman" w:hAnsi="Times New Roman"/>
          <w:sz w:val="18"/>
          <w:szCs w:val="18"/>
          <w:color w:val="auto"/>
        </w:rPr>
        <w:t>regarding the prospect of MN-166 (ibudilast) as an adjunctive treatment for glioblastoma. In August 2021, we announced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15 subjects completed cycle 6 without disease progression, i.e. 33% of the subjects were progression-free at six months. In April 2022, we announced that data demonstrating that MN-166 (ibudilast) prevents metastasis in a uveal melanoma (UM) animal model was published in the journal </w:t>
      </w:r>
      <w:r>
        <w:rPr>
          <w:rFonts w:ascii="Times New Roman" w:cs="Times New Roman" w:eastAsia="Times New Roman" w:hAnsi="Times New Roman"/>
          <w:sz w:val="18"/>
          <w:szCs w:val="18"/>
          <w:i w:val="1"/>
          <w:iCs w:val="1"/>
          <w:color w:val="auto"/>
        </w:rPr>
        <w:t>Molecular Cancer Research</w:t>
      </w:r>
      <w:r>
        <w:rPr>
          <w:rFonts w:ascii="Times New Roman" w:cs="Times New Roman" w:eastAsia="Times New Roman" w:hAnsi="Times New Roman"/>
          <w:sz w:val="18"/>
          <w:szCs w:val="18"/>
          <w:color w:val="auto"/>
        </w:rPr>
        <w:t>. In January 2023, we announced that the Phase 2 clinical trial evaluating MN-166 (ibudilast) in combination with temozolomide in glioblastoma at the Dana-Farber Cancer Institute had completed enrollment. In February 2023, we announced the presentation of new data regarding a tumor tissue analysis from this clinical trial at the 20th Annual World Congress of Society for Brain Mapping and Therapeutics (SBMT). In November 2023, we announced new data and results of the Phase 2 clinical trial of MN-166 (ibudilast) in glioblastoma patients at the 28th Annual Meeting of the Society for Neuro-Oncology (SNO). The presentation also included data from preclinical studies which evaluated the combination of MN-166 (ibudilast) and anti-PD1 or anti-PD-L1 therapy in glioblastoma models. In 2024, we presented new data and results of a Phase 1b/2a Clinical Trial of MN-166 (ibudilast) in glioblastoma at the ASCO Annual meeting 2024 held in Chicago, IL.</w:t>
      </w:r>
    </w:p>
    <w:p>
      <w:pPr>
        <w:spacing w:after="0" w:line="149" w:lineRule="exact"/>
        <w:rPr>
          <w:sz w:val="20"/>
          <w:szCs w:val="20"/>
          <w:color w:val="auto"/>
        </w:rPr>
      </w:pPr>
    </w:p>
    <w:p>
      <w:pPr>
        <w:ind w:right="240" w:firstLine="68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Prevention of ARDS in patients with COVID-19: </w:t>
      </w:r>
      <w:r>
        <w:rPr>
          <w:rFonts w:ascii="Times New Roman" w:cs="Times New Roman" w:eastAsia="Times New Roman" w:hAnsi="Times New Roman"/>
          <w:sz w:val="18"/>
          <w:szCs w:val="18"/>
          <w:color w:val="auto"/>
        </w:rPr>
        <w:t>In March 2020, we announced plans to initiate development of MN-166 (ibudilast) for 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pneumonia and ARDS based on positive results of a preclinical study in an animal model of ARDS. In April 2020, we announced plans to initiate a clinical trial of MN-166 (ibudilast)</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1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 In April 2022, we announced that the Phase 2 clinical trial of MN-166 (ibudilast) in hospitalized COVID-19 patients at risk for developing ARDS had completed enrollment. In June 2022, we announced positive top-line results from this Phase 2 clinical trial. MN-166 (ibudilast) demonstrated large improvements compared to placebo for all four clinical endpoints analyzed. The trial achieved statistical significance for one of the co-primary endpoints, the proportion of subjects free of respiratory failure. The trial also achieved statistical significance for the proportion of subjects discharged from the hospital. There were two deaths in the placebo group and no deaths in the MN-166 (ibudilast) group. In July 2022, we announced the initiation of a first-in-human clinical study to evaluate a new parenteral (injectable) formulation of MN-166 (ibudilast). In January 2023, we announced that this Phase I clinical trial of MN-166 (ibudilast) 10 mg intravenous (IV) infusion in healthy volunteers was completed with a favorable safety profile and was well tolerated.</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MN-001 (tipelukast) is in development for fibrotic and other metabolic disorders as described below.</w:t>
      </w:r>
    </w:p>
    <w:p>
      <w:pPr>
        <w:spacing w:after="0" w:line="183" w:lineRule="exact"/>
        <w:rPr>
          <w:sz w:val="20"/>
          <w:szCs w:val="20"/>
          <w:color w:val="auto"/>
        </w:rPr>
      </w:pPr>
    </w:p>
    <w:p>
      <w:pPr>
        <w:ind w:left="20" w:firstLine="544"/>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Nonalcoholic Steatohepatitis (NASH) and Nonalcoholic Fatty Liver Disease (NAFLD): </w:t>
      </w:r>
      <w:r>
        <w:rPr>
          <w:rFonts w:ascii="Times New Roman" w:cs="Times New Roman" w:eastAsia="Times New Roman" w:hAnsi="Times New Roman"/>
          <w:sz w:val="18"/>
          <w:szCs w:val="18"/>
          <w:color w:val="auto"/>
        </w:rPr>
        <w:t>We announced positive results of MN-001 (tipelukast)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different NASH mouse models in 2014 and we opened the IND (Investigational New Drug) application for MN-001 (tipelukast) for the treatment of NASH with the FDA in 2015. The FDA subsequently granted Fast Track designation to MN-001 (tipelukast) for the treatment of patients with NASH with fibrosis. We then initiated a clinical trial to investigate MN-001 (tipelukast) for the treatment of hypertriglyceridemia in NASH and NAFLD patients. In April 2018, we announced that we would terminate this trial early after positive results from an interim analysis in which MN-001 (tipelukast) significantly reduced mean serum triglycerides, a primary endpoint. This data was presented at the International Liver Congress 2018, the 53rd annual meeting of the European Association for the Study of the Liver (EASL) in Paris, France in April 2018. In November 2020, we announced positive results of in-vitro and in-vivo studies that evaluated MN-001 (tipelukast) for its anti-liver fibrotic effect in human hepatic stellate cells (HSCs) and in an acute liver injury model at the annual meeting of the American Association for the Study of Liver Diseases (AASLD). In November 2021, we announced new findings from a study that investigated the mechanism by which MN-001 (tipelukast) alters triglyceride metabolism in hepatocytes at the Annual Meeting of the American Association for the Study of Liver Diseases (AASLD). In April 2022, we announced that the FDA completed its review of a proposed Phase 2 clinical trial to evaluate MN-001 (tipelukast) for the treatment of patients with NAFLD, type 2 diabetes mellitus, and hypertriglyceridemia and the study may proceed. In July 2022, we announced the initiation of a Phase 2 clinical trial to evaluate MN-001 (tipelukast) for the treatment of patients with NAFLD, type 2 diabetes mellitus, and hypertriglyceridemia. In December 2022, we announced the presentation of positive results from a subgroup analysis of the completed Phase 2 clinical trial which evaluated MN-001 (tipelukast) in participants with NAFLD and hypertriglyceridemia (HTG) at the International Diabetes Federation (IDF) World Diabetes Congress 2022. In May 2024, we presented an update of ongoing trial design at the 92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European Atherosclerosis Society (EAS) 2024 Congress.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320" w:firstLine="560"/>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173" w:lineRule="exact"/>
        <w:rPr>
          <w:sz w:val="20"/>
          <w:szCs w:val="20"/>
          <w:color w:val="auto"/>
        </w:rPr>
      </w:pPr>
    </w:p>
    <w:p>
      <w:pPr>
        <w:jc w:val="center"/>
        <w:ind w:left="5580" w:right="980" w:hanging="4638"/>
        <w:spacing w:after="0" w:line="785" w:lineRule="auto"/>
        <w:tabs>
          <w:tab w:leader="none" w:pos="13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Pursue the development of MN-166 (ibudilast) for multiple potential indications with the support of non-dilutive financings. </w:t>
      </w: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187" w:lineRule="exact"/>
        <w:rPr>
          <w:sz w:val="20"/>
          <w:szCs w:val="20"/>
          <w:color w:val="auto"/>
        </w:rPr>
      </w:pPr>
    </w:p>
    <w:p>
      <w:pPr>
        <w:ind w:left="1320" w:hanging="378"/>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(tipelukast) for fibrotic and other metabolic disorders.</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intend to advance development of MN-001 (tipelukast) through a variety of means, which may include investigator-sponsored trials with or without grant funding as well as trials funded by us.</w:t>
      </w:r>
    </w:p>
    <w:p>
      <w:pPr>
        <w:spacing w:after="0" w:line="187" w:lineRule="exact"/>
        <w:rPr>
          <w:sz w:val="20"/>
          <w:szCs w:val="20"/>
          <w:color w:val="auto"/>
        </w:rPr>
      </w:pPr>
    </w:p>
    <w:p>
      <w:pPr>
        <w:ind w:left="1300" w:right="1040" w:hanging="358"/>
        <w:spacing w:after="0" w:line="284"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 strategic partnerships with one or more leading pharmaceutical companies to complete product development and successfully commercialize our products.</w:t>
      </w:r>
    </w:p>
    <w:p>
      <w:pPr>
        <w:spacing w:after="0" w:line="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develop and maintain relationships with pharmaceutical companies that are therapeutic category leaders. We intend to discuss strategic alliances with leading pharmaceutical companies who seek product candidates, such as MN-166 (ibudilast) and MN-001 (tipelukast), which could support our clinical development and product commercialization.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Programs</w:t>
      </w:r>
    </w:p>
    <w:p>
      <w:pPr>
        <w:spacing w:after="0" w:line="121" w:lineRule="exact"/>
        <w:rPr>
          <w:sz w:val="20"/>
          <w:szCs w:val="20"/>
          <w:color w:val="auto"/>
        </w:rPr>
      </w:pPr>
    </w:p>
    <w:p>
      <w:pPr>
        <w:ind w:firstLine="560"/>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35" w:lineRule="exact"/>
        <w:rPr>
          <w:sz w:val="20"/>
          <w:szCs w:val="20"/>
          <w:color w:val="auto"/>
        </w:rPr>
      </w:pPr>
    </w:p>
    <w:p>
      <w:pPr>
        <w:jc w:val="both"/>
        <w:ind w:right="360" w:firstLine="560"/>
        <w:spacing w:after="0" w:line="266" w:lineRule="auto"/>
        <w:rPr>
          <w:sz w:val="20"/>
          <w:szCs w:val="20"/>
          <w:color w:val="auto"/>
        </w:rPr>
      </w:pPr>
      <w:r>
        <w:rPr>
          <w:rFonts w:ascii="Times New Roman" w:cs="Times New Roman" w:eastAsia="Times New Roman" w:hAnsi="Times New Roman"/>
          <w:sz w:val="18"/>
          <w:szCs w:val="18"/>
          <w:color w:val="auto"/>
        </w:rPr>
        <w:t>Our product acquisitions have focused primarily on product candidates with significant preclinical and early clinical testing data that have been developed by the licensors outside of the United States. We utilize the existing data in preparing IND Applications or their foreign equivalents, and in designing and implementing additional preclinical or clinical trials to advance the development programs in the United States or abroad.</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are the details of our product development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w:t>
      </w:r>
    </w:p>
    <w:p>
      <w:pPr>
        <w:spacing w:after="0" w:line="119" w:lineRule="exact"/>
        <w:rPr>
          <w:sz w:val="20"/>
          <w:szCs w:val="20"/>
          <w:color w:val="auto"/>
        </w:rPr>
      </w:pPr>
    </w:p>
    <w:p>
      <w:pPr>
        <w:ind w:right="100" w:firstLine="572"/>
        <w:spacing w:after="0" w:line="258" w:lineRule="auto"/>
        <w:rPr>
          <w:sz w:val="20"/>
          <w:szCs w:val="20"/>
          <w:color w:val="auto"/>
        </w:rPr>
      </w:pPr>
      <w:r>
        <w:rPr>
          <w:rFonts w:ascii="Times New Roman" w:cs="Times New Roman" w:eastAsia="Times New Roman" w:hAnsi="Times New Roman"/>
          <w:sz w:val="18"/>
          <w:szCs w:val="18"/>
          <w:color w:val="auto"/>
        </w:rPr>
        <w:t>MN-166 (ibudilast) is a novel, first-in-class, oral, anti-inflammatory and neuroprotective agent. MN-166 (ibudilast) inhibits macrophage migration inhibitory factor (MIF) and certain phosphodiesterases (PDEs). MN-166 (ibudilast) also attenuates activated glia cells, which play a major role in certain neurological conditions. While it has been in use for more than 40 years in Japan and Korea for the treatment of asthma and post-stroke dizziness, we are developing MN-166 (ibudilast) for the treatment of progressive MS, ALS, degenerative cervical myelopathy, glioblastoma, and prevention of acute respiratory distress syndrome. We licensed MN-166 (ibudilast) from Kyorin Pharmaceuticals (Kyorin) in 2004.</w:t>
      </w:r>
    </w:p>
    <w:p>
      <w:pPr>
        <w:spacing w:after="0" w:line="156" w:lineRule="exact"/>
        <w:rPr>
          <w:sz w:val="20"/>
          <w:szCs w:val="20"/>
          <w:color w:val="auto"/>
        </w:rPr>
      </w:pPr>
    </w:p>
    <w:p>
      <w:pPr>
        <w:ind w:firstLine="572"/>
        <w:spacing w:after="0" w:line="258" w:lineRule="auto"/>
        <w:rPr>
          <w:sz w:val="20"/>
          <w:szCs w:val="20"/>
          <w:color w:val="auto"/>
        </w:rPr>
      </w:pPr>
      <w:r>
        <w:rPr>
          <w:rFonts w:ascii="Times New Roman" w:cs="Times New Roman" w:eastAsia="Times New Roman" w:hAnsi="Times New Roman"/>
          <w:sz w:val="18"/>
          <w:szCs w:val="18"/>
          <w:color w:val="auto"/>
        </w:rPr>
        <w:t>The FDA has granted Fast Track designations to MN-166 (ibudilast) for two separate indications: the treatment of progressive MS and the treatment of ALS.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43" w:lineRule="exact"/>
        <w:rPr>
          <w:sz w:val="20"/>
          <w:szCs w:val="20"/>
          <w:color w:val="auto"/>
        </w:rPr>
      </w:pPr>
    </w:p>
    <w:p>
      <w:pPr>
        <w:ind w:right="40" w:firstLine="572"/>
        <w:spacing w:after="0" w:line="266" w:lineRule="auto"/>
        <w:rPr>
          <w:sz w:val="20"/>
          <w:szCs w:val="20"/>
          <w:color w:val="auto"/>
        </w:rPr>
      </w:pPr>
      <w:r>
        <w:rPr>
          <w:rFonts w:ascii="Times New Roman" w:cs="Times New Roman" w:eastAsia="Times New Roman" w:hAnsi="Times New Roman"/>
          <w:sz w:val="18"/>
          <w:szCs w:val="18"/>
          <w:color w:val="auto"/>
        </w:rPr>
        <w:t>The FDA has granted Orphan-Drug designation to MN-166 (ibudilast) for the treatment of ALS, which will provide seven years of marketing exclusivity if it is approved for ALS in the U.S. The European Commission also granted Orphan Medicinal Product Designation for MN-166 (ibudilast) for the treatment of ALS which offers potential benefits including ten years of marketing exclusivity if it is approved for ALS in Europe. The FDA has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granted Orphan-Drug designation to MN-166 (ibudilast) as adjunctive therapy to temozolomide for the treatment of glioblastoma.</w:t>
      </w:r>
    </w:p>
    <w:p>
      <w:pPr>
        <w:spacing w:after="0" w:line="198" w:lineRule="exact"/>
        <w:rPr>
          <w:sz w:val="20"/>
          <w:szCs w:val="20"/>
          <w:color w:val="auto"/>
        </w:rPr>
      </w:pPr>
    </w:p>
    <w:p>
      <w:pPr>
        <w:ind w:right="220" w:firstLine="605"/>
        <w:spacing w:after="0" w:line="266" w:lineRule="auto"/>
        <w:rPr>
          <w:sz w:val="20"/>
          <w:szCs w:val="20"/>
          <w:color w:val="auto"/>
        </w:rPr>
      </w:pPr>
      <w:r>
        <w:rPr>
          <w:rFonts w:ascii="Times New Roman" w:cs="Times New Roman" w:eastAsia="Times New Roman" w:hAnsi="Times New Roman"/>
          <w:sz w:val="18"/>
          <w:szCs w:val="18"/>
          <w:color w:val="auto"/>
        </w:rPr>
        <w:t>We have filed patent applications for multiple uses of MN-166 (ibudilast) for the treatment of neurological conditions. Some of the patent estate has received allowance in the United States and foreign countries. For example, we have been granted separate U.S. patents that cover the use of MN-166 (ibudilast) for the treatment of progressive MS, for the treatment of ALS, and for the treatment of glioblastoma.</w:t>
      </w:r>
    </w:p>
    <w:p>
      <w:pPr>
        <w:spacing w:after="0" w:line="133" w:lineRule="exact"/>
        <w:rPr>
          <w:sz w:val="20"/>
          <w:szCs w:val="20"/>
          <w:color w:val="auto"/>
        </w:rPr>
      </w:pPr>
    </w:p>
    <w:p>
      <w:pPr>
        <w:ind w:firstLine="57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Progressive Multiple Sclerosis: </w:t>
      </w:r>
      <w:r>
        <w:rPr>
          <w:rFonts w:ascii="Times New Roman" w:cs="Times New Roman" w:eastAsia="Times New Roman" w:hAnsi="Times New Roman"/>
          <w:sz w:val="18"/>
          <w:szCs w:val="18"/>
          <w:color w:val="auto"/>
        </w:rPr>
        <w:t>MS is a complex disease with predominantly unknown etiology and affects approximately 2.8 million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according to the National Multiple Sclerosis Society (NMSS). Also, according to NMSS, approximately 85 percent of people with MS are initially diagnosed with relapsing-remitting MS (RRMS) and some people who are initially diagnosed with RRMS will eventually transition to secondary progressive MS (SPMS). About 15 percent of people with MS are diagnosed with primary progressive MS (PPMS). There is only one approved drug for PPMS and it is administered by intravenous infusion. Although several drugs have been approved for SPMS with relapses, there are no approved drugs generally considered safe and efficacious for SPMS in the absence of relapses. There is a significant medical need for a safe, effective, and conveniently administered therapy for patients with PPMS and SPMS and the unmet medical need is highest in patients with SPMS without relapses. MN-166 (ibudilast) may meet these needs.</w:t>
      </w:r>
    </w:p>
    <w:p>
      <w:pPr>
        <w:spacing w:after="0" w:line="146" w:lineRule="exact"/>
        <w:rPr>
          <w:sz w:val="20"/>
          <w:szCs w:val="20"/>
          <w:color w:val="auto"/>
        </w:rPr>
      </w:pPr>
    </w:p>
    <w:p>
      <w:pPr>
        <w:ind w:right="20" w:firstLine="560"/>
        <w:spacing w:after="0" w:line="253" w:lineRule="auto"/>
        <w:rPr>
          <w:sz w:val="20"/>
          <w:szCs w:val="20"/>
          <w:color w:val="auto"/>
        </w:rPr>
      </w:pPr>
      <w:r>
        <w:rPr>
          <w:rFonts w:ascii="Times New Roman" w:cs="Times New Roman" w:eastAsia="Times New Roman" w:hAnsi="Times New Roman"/>
          <w:sz w:val="18"/>
          <w:szCs w:val="18"/>
          <w:color w:val="auto"/>
        </w:rPr>
        <w:t>Based on promising results from a Phase 2 trial in relapsing MS completed in 2008, investigators from NeuroNEXT, a NIH-funded Phase 2 clinical trial network, evaluated MN-166 (ibudilast) in PPMS and SPMS patients in the United States. SPRINT-MS is the name of the Phase 2b, randomized, double-blind, placebo-controlled trial that evaluated the safety and tolerability of MN-166 (ibudilast) (up to 100 mg/day) in PPMS and SPMS patients. Recruitment and enrollment at 28 medical centers in the United States commenced in late 2013 and randomization of 255 subjects was completed in June 2015.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ratio=0.74), as measured by Expanded Disability Status Scale (EDSS).</w:t>
      </w:r>
    </w:p>
    <w:p>
      <w:pPr>
        <w:spacing w:after="0" w:line="165"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color w:val="auto"/>
        </w:rPr>
        <w:t xml:space="preserve">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The purpose of the subgroup analysis was to provide information about which types of progressive MS subjects responded best to MN-166 (ibudilast) treatment in terms of the clinically significant endpoint of the risk of confirmed disability progression compared to placebo, as measured by EDSS. The trends for reduction in the risk of confirmed disability progression were highest for the subgroup of subjects with secondary progressive MS without Relapse, in which MN-166 (ibudilast) demonstrated a 46% risk reduction compared to placebo as indicated by the hazard ratio of 0.538. Additional data from the completed SPRINT-MS Phase 2b trial of MN-166 (ibudilast) in progressive MS was presented in May 2019 at the American Academy of Neurology (AAN) 71st Annual Meeting in Philadelphia. In November 2020, we announced that positive Optical Coherence Tomography (OCT) results from the SPRINT-MS Phase 2b trial of MN-166 (ibudilast) in progressive MS were published in </w:t>
      </w:r>
      <w:r>
        <w:rPr>
          <w:rFonts w:ascii="Times New Roman" w:cs="Times New Roman" w:eastAsia="Times New Roman" w:hAnsi="Times New Roman"/>
          <w:sz w:val="18"/>
          <w:szCs w:val="18"/>
          <w:i w:val="1"/>
          <w:iCs w:val="1"/>
          <w:color w:val="auto"/>
        </w:rPr>
        <w:t>Multiple Sclerosis Journal</w:t>
      </w:r>
      <w:r>
        <w:rPr>
          <w:rFonts w:ascii="Times New Roman" w:cs="Times New Roman" w:eastAsia="Times New Roman" w:hAnsi="Times New Roman"/>
          <w:sz w:val="18"/>
          <w:szCs w:val="18"/>
          <w:color w:val="auto"/>
        </w:rPr>
        <w:t>. OCT measures included macular volume peripapillary retinal nerve fiber layer (pRNFL) thickness, and ganglion cell-inner plexiform (GCIP) layer thickness. All of these OCT measures showed less loss of retinal tissue for MN-166</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(ibudilast) compared to placebo. In July 2021, we received a Notice of Allowance from the USPTO for a new patent which covers MN-166 (ibudilast) for the treatment of an ophthalmic disease/disorder or injury associated with a neurodegenerative disease/disorder or a neuro-ophthalmologic disorder. We were granted Fast Track designation from the FDA for MN-166 (ibudilast) for the treatment of progressive MS in 2016.</w:t>
      </w:r>
    </w:p>
    <w:p>
      <w:pPr>
        <w:spacing w:after="0" w:line="147" w:lineRule="exact"/>
        <w:rPr>
          <w:sz w:val="20"/>
          <w:szCs w:val="20"/>
          <w:color w:val="auto"/>
        </w:rPr>
      </w:pPr>
    </w:p>
    <w:p>
      <w:pPr>
        <w:ind w:right="140" w:firstLine="5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Amyotrophic Lateral Sclerosis: </w:t>
      </w:r>
      <w:r>
        <w:rPr>
          <w:rFonts w:ascii="Times New Roman" w:cs="Times New Roman" w:eastAsia="Times New Roman" w:hAnsi="Times New Roman"/>
          <w:sz w:val="18"/>
          <w:szCs w:val="18"/>
          <w:color w:val="auto"/>
        </w:rPr>
        <w:t>ALS, also known as Lou Gehrig’s disease, is a progressive neurodegenerative disease that affects nerve cells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brain and the spinal cord. The nerves lose the ability to trigger specific muscles, which causes the muscles to become weak. As a result, ALS affects voluntary movement and patients in the later stages of the disease may become totally paralyzed. Mean survival time of an ALS patient is two to five years. According to the ALS Association, there are at least 16,000 ALS patients in the United States and approximately 5,000 people in the United States are diagnosed with ALS each year.</w:t>
      </w:r>
    </w:p>
    <w:p>
      <w:pPr>
        <w:spacing w:after="0" w:line="145" w:lineRule="exact"/>
        <w:rPr>
          <w:sz w:val="20"/>
          <w:szCs w:val="20"/>
          <w:color w:val="auto"/>
        </w:rPr>
      </w:pPr>
    </w:p>
    <w:p>
      <w:pPr>
        <w:ind w:right="60" w:firstLine="560"/>
        <w:spacing w:after="0" w:line="256" w:lineRule="auto"/>
        <w:rPr>
          <w:sz w:val="20"/>
          <w:szCs w:val="20"/>
          <w:color w:val="auto"/>
        </w:rPr>
      </w:pPr>
      <w:r>
        <w:rPr>
          <w:rFonts w:ascii="Times New Roman" w:cs="Times New Roman" w:eastAsia="Times New Roman" w:hAnsi="Times New Roman"/>
          <w:sz w:val="18"/>
          <w:szCs w:val="18"/>
          <w:color w:val="auto"/>
        </w:rPr>
        <w:t>We have worked with Carolinas Neuromuscular/ALS-MDA Center at Carolinas HealthCare System Neurosciences Institute, which has conducted a clinical trial of MN-166 (ibudilast) in ALS. The trial was a randomized, double-blind, placebo-controlled study which included a six-month treatment period followed by a six-month open-label extension. The study evaluated the safety and tolerability of MN-166 (ibudilast) 60 mg/day versus placebo when administered in combination with riluzole in subjects with ALS, as well as several efficacy endpoints. Subject enrollment began in October 2014. In April 2016, we announced that interim efficacy data from a mid-study analysis of the clinical trial of MN-166 (ibudilast) in ALS was presented at the AAN 68th Annual Meeting.</w:t>
      </w:r>
    </w:p>
    <w:p>
      <w:pPr>
        <w:spacing w:after="0" w:line="147" w:lineRule="exact"/>
        <w:rPr>
          <w:sz w:val="20"/>
          <w:szCs w:val="20"/>
          <w:color w:val="auto"/>
        </w:rPr>
      </w:pPr>
    </w:p>
    <w:p>
      <w:pPr>
        <w:ind w:firstLine="669"/>
        <w:spacing w:after="0" w:line="248" w:lineRule="auto"/>
        <w:rPr>
          <w:sz w:val="20"/>
          <w:szCs w:val="20"/>
          <w:color w:val="auto"/>
        </w:rPr>
      </w:pPr>
      <w:r>
        <w:rPr>
          <w:rFonts w:ascii="Times New Roman" w:cs="Times New Roman" w:eastAsia="Times New Roman" w:hAnsi="Times New Roman"/>
          <w:sz w:val="18"/>
          <w:szCs w:val="18"/>
          <w:color w:val="auto"/>
        </w:rPr>
        <w:t>In December 2017, we announced positive top-line results from the ALS trial at Carolinas Neuromuscular/ALS-MDA Center. The trial achieved the primary endpoint of safety and tolerability. In addition, there was a higher rate of responders on the ALSFRS-R total score in the MN-166 (ibudilast) group compared to the placebo group. The Amyotrophic Lateral Sclerosis Functional Rating Scale-Revised (ALSFRS-R) total score measures the functional activity of an ALS subject. There was also a higher rate of responders on the ALSAQ-5 score in the MN-166 (ibudilast) group compared to the placebo group. The Amyotrophic Lateral Sclerosis Assessment Questionnaire (ALSAQ-5) score measures the physical mobility, activities of daily living and independence, eating and drinking, communication, and emotional functioning of an ALS subject. In July 2018, we announced data from ad-hoc subgroup analyses in subjects who had either bulbar onset or upper limb onset in the ALS trial at Carolinas Neuromuscular/ALS-MDA Center. In September 2018, we received feedback from the FDA regarding our clinical development plan for MN-166 (ibudilast) in ALS. In April 2019, we announced that the FDA completed its review of the protocol and determined that we may proceed with a Phase 2b/3 clinical trial of MN-166 (ibudilast) in ALS. In June 2019, we announced that a kick-off meeting for the Phase 2b/3 clinical trial of MN-166 (ibudilast) in ALS was held our headquarters in La Jolla, California. In December 2019, we announced that additional analyses of the completed clinical trial of MN-166 (ibudilast) in ALS was presented at the 30th International Symposium on ALS/MND in Perth, Australia. These analyses evaluated the potential background factors of patients’ characteristics that could reasonably predict both ALS disease progression and treatment efficacy. The results of these analyses indicate that the efficacy of MN-166 (ibudilast) is expected to be more robust in patients with a short ALS history. We have incorporated the conclusions from these analyses into the design of our Phase 2b/3 clinical trial. In December 2021, we announced that a poster with an overview of our ongoing Phase 2b/3 clinical trial of MN-166 (ibudilast) in ALS was presented at the 32nd International Symposium on ALS/MND. In December 2024, a study update and interim analysis of phase 2/3 clinical data of MN-166 (ibudilast) in the COMBAT-ALS trial was presented at the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international symposium on ALS/MND at Montreal, Canada. Pre-defined interim analysis was conducted to evaluate the correlation between the six month and twelve month data and assessed the twelve month double blind phase trial design. Positive correlations were observed between the six month and twelve month data for CAFS Score (0.71) modified CAFS score (0.70) and ALSFRS-R (0.69). In December 2025, we announced the successful completion of patient enrollment in the COMBAT-ALS Phase 2/3</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 w:name="page13"/>
    <w:bookmarkEnd w:id="12"/>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clinical trial, evaluating MN-166 (ibudilast) for the treatment of ALS. A total of 234 patients have been randomized across two treatment arms at multiple clinical sites in the United States and Canada.</w:t>
      </w:r>
    </w:p>
    <w:p>
      <w:pPr>
        <w:spacing w:after="0" w:line="162" w:lineRule="exact"/>
        <w:rPr>
          <w:sz w:val="20"/>
          <w:szCs w:val="20"/>
          <w:color w:val="auto"/>
        </w:rPr>
      </w:pPr>
    </w:p>
    <w:p>
      <w:pPr>
        <w:ind w:right="40" w:firstLine="572"/>
        <w:spacing w:after="0" w:line="256" w:lineRule="auto"/>
        <w:rPr>
          <w:sz w:val="20"/>
          <w:szCs w:val="20"/>
          <w:color w:val="auto"/>
        </w:rPr>
      </w:pPr>
      <w:r>
        <w:rPr>
          <w:rFonts w:ascii="Times New Roman" w:cs="Times New Roman" w:eastAsia="Times New Roman" w:hAnsi="Times New Roman"/>
          <w:sz w:val="18"/>
          <w:szCs w:val="18"/>
          <w:color w:val="auto"/>
        </w:rPr>
        <w:t>In December 2015, we announced that the FDA granted Fast Track designation to MN-166 (ibudilast) for the treatment of patients with ALS. In March 2016, we announced that we received a Notice of Allowance from the USPTO for a new patent which covers MN-166 (ibudilast) for the treatment of ALS. 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 Designation for MN-166 (ibudilast) for the treatment of ALS. In January 2019, we received a Notice of Allowance from the USPTO for a new patent which covers the combination of MN-166 (ibudilast) and riluzole for the treatment of ALS and other neurodegenerative diseases.</w:t>
      </w:r>
    </w:p>
    <w:p>
      <w:pPr>
        <w:spacing w:after="0" w:line="187" w:lineRule="exact"/>
        <w:rPr>
          <w:sz w:val="20"/>
          <w:szCs w:val="20"/>
          <w:color w:val="auto"/>
        </w:rPr>
      </w:pPr>
    </w:p>
    <w:p>
      <w:pPr>
        <w:ind w:firstLine="560"/>
        <w:spacing w:after="0" w:line="256" w:lineRule="auto"/>
        <w:rPr>
          <w:sz w:val="20"/>
          <w:szCs w:val="20"/>
          <w:color w:val="auto"/>
        </w:rPr>
      </w:pPr>
      <w:r>
        <w:rPr>
          <w:rFonts w:ascii="Times New Roman" w:cs="Times New Roman" w:eastAsia="Times New Roman" w:hAnsi="Times New Roman"/>
          <w:sz w:val="18"/>
          <w:szCs w:val="18"/>
          <w:color w:val="auto"/>
        </w:rPr>
        <w:t>In February 2016, we entered into an agreement to collaborate with Massachusetts General Hospital (MGH) to study the effects of MN-166 (ibudilast) on reducing brain microglial activation in ALS subjects measured by a positron emission tomography (PET) biomarker. Results of this clinical trial, which we refer to as the ALS / Biomarker study, were presented at the 30th International Symposium on ALS/MND in Perth, Australia in December 2019. In this small study, there was no detectable effect on PBR28-PET uptake or serum NFl but there was a significant reduction in serum MIF, a marker of neuroinflammation. However, because of the open-label design of this study, there was no placebo group to compare with the MN-166 (ibudilast) group, so it is not possible to draw any definitive conclusions from this study.</w:t>
      </w:r>
    </w:p>
    <w:p>
      <w:pPr>
        <w:spacing w:after="0" w:line="185" w:lineRule="exact"/>
        <w:rPr>
          <w:sz w:val="20"/>
          <w:szCs w:val="20"/>
          <w:color w:val="auto"/>
        </w:rPr>
      </w:pPr>
    </w:p>
    <w:p>
      <w:pPr>
        <w:ind w:right="100" w:firstLine="5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Degenerative Cervical Myelopathy: </w:t>
      </w:r>
      <w:r>
        <w:rPr>
          <w:rFonts w:ascii="Times New Roman" w:cs="Times New Roman" w:eastAsia="Times New Roman" w:hAnsi="Times New Roman"/>
          <w:sz w:val="18"/>
          <w:szCs w:val="18"/>
          <w:color w:val="auto"/>
        </w:rPr>
        <w:t>DCM, also known as cervical spondylotic myelopathy, involves spinal cord dysfunction from compression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neck. DCM is the most common form of spinal cord impairment in adults and results in disability and reduced quality of life. Patients report neurological symptoms such as pain and numbness in limbs, poor coordination, imbalance, and bladder problems. According to the American Association of Neurological Surgeons, more than 200,000 cervical procedures are performed each year to relieve compression on the spinal cord or nerve roots. There are no pharmaceuticals approved for the treatment of DCM. In August 2018, we announced plans to initiate a clinical trial of MN-166 (ibudilast) in DCM in collaboration with the University of Cambridge. The trial, which is funded by a grant from the NIHR in the UK, is evaluating MN-166 (ibudilast) as an adjuvant treatment for DCM following spinal surgery to determine whether MN-166 (ibudilast) is more effective than placebo in improving outcomes after spinal surgery. The two co-primary endpoints are (1) the modified Japanese Orthopaedic Association (mJOA) Score, which evaluates motor dysfunction in upper and lower extremities, loss of sensation, and bladder sphincter dysfunction, at six months after surgery; and (2) Visual Analogue Scale (VAS) measure of neck pain at six months after surgery. In May 2019, we announced our participation at the Kick-off Meeting for this Phase 3 clinical trial in DCM, RECEDE Myelopathy in collaboration with University of Cambridge researchers. In February 2022, we announced that MN-166 (ibudilast) was discussed as a potential beneficial pharmacological agent for the treatment of DCM in </w:t>
      </w:r>
      <w:r>
        <w:rPr>
          <w:rFonts w:ascii="Times New Roman" w:cs="Times New Roman" w:eastAsia="Times New Roman" w:hAnsi="Times New Roman"/>
          <w:sz w:val="18"/>
          <w:szCs w:val="18"/>
          <w:i w:val="1"/>
          <w:iCs w:val="1"/>
          <w:color w:val="auto"/>
        </w:rPr>
        <w:t>Global Spine Journal</w:t>
      </w:r>
      <w:r>
        <w:rPr>
          <w:rFonts w:ascii="Times New Roman" w:cs="Times New Roman" w:eastAsia="Times New Roman" w:hAnsi="Times New Roman"/>
          <w:sz w:val="18"/>
          <w:szCs w:val="18"/>
          <w:color w:val="auto"/>
        </w:rPr>
        <w:t>. The publication, which was written by researchers at the University of Cambridge, discussed contemporary therapies that may hold therapeutic value and the attributes of MN-166 (ibudilast) that support its use in DCM. The publication noted that the combination of anti-inflammatory, neuroprotective, and neuroregenerative properties of MN-166 (ibudilast) leads to attenuation of glial cell activation and is the basis for the ongoing RECEDE Myelopathy trial.</w:t>
      </w:r>
    </w:p>
    <w:p>
      <w:pPr>
        <w:spacing w:after="0" w:line="196" w:lineRule="exact"/>
        <w:rPr>
          <w:sz w:val="20"/>
          <w:szCs w:val="20"/>
          <w:color w:val="auto"/>
        </w:rPr>
      </w:pPr>
    </w:p>
    <w:p>
      <w:pPr>
        <w:ind w:right="220" w:firstLine="66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Glioblastoma: </w:t>
      </w:r>
      <w:r>
        <w:rPr>
          <w:rFonts w:ascii="Times New Roman" w:cs="Times New Roman" w:eastAsia="Times New Roman" w:hAnsi="Times New Roman"/>
          <w:sz w:val="18"/>
          <w:szCs w:val="18"/>
          <w:color w:val="auto"/>
        </w:rPr>
        <w:t>According to the American Association of Neurological Surgeons, glioblastoma is an aggressive brain tumor that develops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glial cells (astrocytes and oligodendrocytes), grows rapidly, and commonly spreads into nearby brain tissue. The American Brain Tumor Association reports that glioblastomas represent about 14% of all primary brain tumors. More than 12,000 cases of glioblastoma are diagnosed each year in the U.S. According to the Glioblastoma Foundation, average life expectancy for glioblastoma patients who undergo treatment is 12 - 15 months and only four months for those who do not receive treatment. In June 2017, we announced positive results from an animal model study that examined the potential clinical efficacy of MN-166</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252" w:lineRule="auto"/>
        <w:rPr>
          <w:sz w:val="20"/>
          <w:szCs w:val="20"/>
          <w:color w:val="auto"/>
        </w:rPr>
      </w:pPr>
      <w:r>
        <w:rPr>
          <w:rFonts w:ascii="Times New Roman" w:cs="Times New Roman" w:eastAsia="Times New Roman" w:hAnsi="Times New Roman"/>
          <w:sz w:val="18"/>
          <w:szCs w:val="18"/>
          <w:color w:val="auto"/>
        </w:rPr>
        <w:t xml:space="preserve">(ibudilast) for the treatment of glioblastoma which were presented at the 2017 ASCO Annual Meeting. Results of the glioblastoma mouse model study showed that median survival was higher in the group that received combination treatment with MN-166 (ibudilast) plus temozolomide compared to the group that received temozolomide alone. In May 2018, we announced that the IND for MN-166 (ibudilast) for treatment of glioblastoma was accepted and opened with the FDA. We were also informed by the FDA that the proposed clinical investigation of MN-166 (ibudilast) in combination with temozolomide for treatment of glioblastoma may proceed.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(TMZ or Temodar®) for the treatment of glioblastoma at the Dana-Farber Cancer Institute in Boston. In February 2019, we announced that </w:t>
      </w:r>
      <w:r>
        <w:rPr>
          <w:rFonts w:ascii="Times New Roman" w:cs="Times New Roman" w:eastAsia="Times New Roman" w:hAnsi="Times New Roman"/>
          <w:sz w:val="18"/>
          <w:szCs w:val="18"/>
          <w:i w:val="1"/>
          <w:iCs w:val="1"/>
          <w:color w:val="auto"/>
        </w:rPr>
        <w:t>Scientific Reports</w:t>
      </w:r>
      <w:r>
        <w:rPr>
          <w:rFonts w:ascii="Times New Roman" w:cs="Times New Roman" w:eastAsia="Times New Roman" w:hAnsi="Times New Roman"/>
          <w:sz w:val="18"/>
          <w:szCs w:val="18"/>
          <w:color w:val="auto"/>
        </w:rPr>
        <w:t xml:space="preserve"> published results from the animal model study evaluating MN-166 (ibudilast) in glioblastoma. The article, “Ibudilast sensitizes glioblastoma to temozolomide by targeting MIF,” is the first publication reporting the potential clinical utility of MN-166 (ibudilast) for glioblastoma. In June 2020, we announced that positive preclinical findings were published in </w:t>
      </w:r>
      <w:r>
        <w:rPr>
          <w:rFonts w:ascii="Times New Roman" w:cs="Times New Roman" w:eastAsia="Times New Roman" w:hAnsi="Times New Roman"/>
          <w:sz w:val="18"/>
          <w:szCs w:val="18"/>
          <w:i w:val="1"/>
          <w:iCs w:val="1"/>
          <w:color w:val="auto"/>
        </w:rPr>
        <w:t>Frontiers in Immunology</w:t>
      </w:r>
      <w:r>
        <w:rPr>
          <w:rFonts w:ascii="Times New Roman" w:cs="Times New Roman" w:eastAsia="Times New Roman" w:hAnsi="Times New Roman"/>
          <w:sz w:val="18"/>
          <w:szCs w:val="18"/>
          <w:color w:val="auto"/>
        </w:rPr>
        <w:t xml:space="preserve"> regarding the prospect of MN-166 (ibudilast) as an adjunctive treatment for glioblastoma. The publication, entitled “Glioblastoma myeloid-derived suppressor cell subsets express differential macrophage migration inhibitory factor receptor profiles that can be targeted to reduce immune suppression”, was based on our collaboration with the Cleveland Clinic. In August 2021, we announced 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15 subjects completed cycle 6 without disease progression, i.e. 33% of subjects were progression-free at six months.</w:t>
      </w:r>
    </w:p>
    <w:p>
      <w:pPr>
        <w:spacing w:after="0" w:line="195" w:lineRule="exact"/>
        <w:rPr>
          <w:sz w:val="20"/>
          <w:szCs w:val="20"/>
          <w:color w:val="auto"/>
        </w:rPr>
      </w:pPr>
    </w:p>
    <w:p>
      <w:pPr>
        <w:ind w:right="40" w:firstLine="665"/>
        <w:spacing w:after="0" w:line="252" w:lineRule="auto"/>
        <w:rPr>
          <w:sz w:val="20"/>
          <w:szCs w:val="20"/>
          <w:color w:val="auto"/>
        </w:rPr>
      </w:pPr>
      <w:r>
        <w:rPr>
          <w:rFonts w:ascii="Times New Roman" w:cs="Times New Roman" w:eastAsia="Times New Roman" w:hAnsi="Times New Roman"/>
          <w:sz w:val="18"/>
          <w:szCs w:val="18"/>
          <w:color w:val="auto"/>
        </w:rPr>
        <w:t>In January 2023, we announced that the Phase 2 clinical trial evaluating MN-166 (ibudilast) in combination with temozolomide in glioblastoma at the Dana-Farber Cancer Institute had completed enrollment. In February 2023, we announced the presentation of new data regarding a tumor tissue analysis from this clinical trial at the 20th Annual World Congress of SBMT. In November 2023, we announced new data and results of the Phase 2 clinical trial of MN-166 (ibudilast) in glioblastoma patients at the 28th Annual Meeting of the SNO. The primary endpoints of this Phase 2 clinical trial were safety and tolerability of MN-166 (ibudilast) and TMZ combination treatment and efficacy of the combination treatment defined as progression-free survival rate at 6 months using the RANO criteria. MN-166 (ibudilast) and TMZ combination treatment was safe and well-tolerated, and no unexpected adverse effects were reported. The trial enrolled a total of 62 patients, including 36 newly diagnosed glioblastoma patients and 26 recurrent glioblastoma patients. Progression-Free Survival at 6 months (PFS6) was 44% for newly diagnosed glioblastoma patients and 31% for recurrent glioblastoma patients. Immunohistochemistry evaluation determined that CD3 expression was a good predictor for tumor progression at five months in recurrent glioblastoma patients treated with MN-166 (ibudilast) and TMZ as patients with progression had higher CD3 tumor infiltration than patients with no progression (p&lt;0.05). The presentation also included data from preclinical studies which evaluated the combination of MN-166 (ibudilast) and anti-PD1 or anti-PD-L1 therapy in glioblastoma models. In the first preclinical glioblastoma model study, median survival was 17 days for the vehicle and 28 days for the anti-PD1 inhibitor treatment alone. The addition of MN-166 (ibudilast) to the anti-PD1 inhibitor treatment significantly extended survival to a median of 66 days (p&lt;0.001) for the combination therapy. In the second preclinical glioblastoma model study, median survival was 18 days for the vehicle and 26 days for the anti-PD-L1 inhibitor treatment alone. The addition of MN-166 (ibudilast) to the anti-PD-L1 inhibitor treatment significantly extended survival to a median of 34 days (p&lt;0.05) for the combination therapy. We presented new data and results of a Phase 1b/2a Clinical Trial of MN-166 (ibudilast) in glioblastoma at the ASCO Annual meeting 2024 held in Chicago, IL.</w:t>
      </w:r>
    </w:p>
    <w:p>
      <w:pPr>
        <w:spacing w:after="0" w:line="193" w:lineRule="exact"/>
        <w:rPr>
          <w:sz w:val="20"/>
          <w:szCs w:val="20"/>
          <w:color w:val="auto"/>
        </w:rPr>
      </w:pPr>
    </w:p>
    <w:p>
      <w:pPr>
        <w:ind w:right="460" w:firstLine="539"/>
        <w:spacing w:after="0" w:line="282" w:lineRule="auto"/>
        <w:rPr>
          <w:sz w:val="20"/>
          <w:szCs w:val="20"/>
          <w:color w:val="auto"/>
        </w:rPr>
      </w:pPr>
      <w:r>
        <w:rPr>
          <w:rFonts w:ascii="Times New Roman" w:cs="Times New Roman" w:eastAsia="Times New Roman" w:hAnsi="Times New Roman"/>
          <w:sz w:val="18"/>
          <w:szCs w:val="18"/>
          <w:color w:val="auto"/>
        </w:rPr>
        <w:t xml:space="preserve">In April 2022, we announced that data demonstrating that MN-166 (ibudilast) prevents metastasis in a UM animal model was published in the journal </w:t>
      </w:r>
      <w:r>
        <w:rPr>
          <w:rFonts w:ascii="Times New Roman" w:cs="Times New Roman" w:eastAsia="Times New Roman" w:hAnsi="Times New Roman"/>
          <w:sz w:val="18"/>
          <w:szCs w:val="18"/>
          <w:i w:val="1"/>
          <w:iCs w:val="1"/>
          <w:color w:val="auto"/>
        </w:rPr>
        <w:t>Molecular Cancer Research</w:t>
      </w:r>
      <w:r>
        <w:rPr>
          <w:rFonts w:ascii="Times New Roman" w:cs="Times New Roman" w:eastAsia="Times New Roman" w:hAnsi="Times New Roman"/>
          <w:sz w:val="18"/>
          <w:szCs w:val="18"/>
          <w:color w:val="auto"/>
        </w:rPr>
        <w:t>. The publication, which was written by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ind w:right="60"/>
        <w:spacing w:after="0" w:line="266" w:lineRule="auto"/>
        <w:rPr>
          <w:sz w:val="20"/>
          <w:szCs w:val="20"/>
          <w:color w:val="auto"/>
        </w:rPr>
      </w:pPr>
      <w:r>
        <w:rPr>
          <w:rFonts w:ascii="Times New Roman" w:cs="Times New Roman" w:eastAsia="Times New Roman" w:hAnsi="Times New Roman"/>
          <w:sz w:val="18"/>
          <w:szCs w:val="18"/>
          <w:color w:val="auto"/>
        </w:rPr>
        <w:t>researchers at Columbia University Medical Center, discussed the metastatic UM mouse model study in which quantified bioluminescence signal intensity in the abdominal region was dramatically reduced by MN-166 (ibudilast) treatment (p&lt;0.05). The publication also noted that histological analysis of the liver tissues of control mice showed the presence of tumor cell clusters which were not present in the liver tissues of mice treated with MN-166 (ibudilast).</w:t>
      </w:r>
    </w:p>
    <w:p>
      <w:pPr>
        <w:spacing w:after="0" w:line="174" w:lineRule="exact"/>
        <w:rPr>
          <w:sz w:val="20"/>
          <w:szCs w:val="20"/>
          <w:color w:val="auto"/>
        </w:rPr>
      </w:pPr>
    </w:p>
    <w:p>
      <w:pPr>
        <w:ind w:right="20" w:firstLine="5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Prevention of ARDS in patients with COVID-19: </w:t>
      </w:r>
      <w:r>
        <w:rPr>
          <w:rFonts w:ascii="Times New Roman" w:cs="Times New Roman" w:eastAsia="Times New Roman" w:hAnsi="Times New Roman"/>
          <w:sz w:val="18"/>
          <w:szCs w:val="18"/>
          <w:color w:val="auto"/>
        </w:rPr>
        <w:t>ARDS is a serious lung condition that causes low blood oxygen. Difficulty breathing is usually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symptom of ARDS. Infections are the most common risk factors for ARDS and these infections may include influenza, coronavirus, or other viruses. According to the ARDS Foundation, there are an estimated 150,000 ARDS cases per year in the U.S. and the rate of death is approximately 40% for ARDS patients. In March 2020, we announced plans to initiate development of MN-166 (ibudilast) for severe pneumonia and ARDS based on positive results of a preclinical study in an animal model of ARDS (Yang et al., 2020). Results of this preclinical study showed that MN-166 (ibudilast) treatment reversed histological changes observed in the ARDS mouse model including inflammation, hemorrhage, alveolar congestion, and alveolar wall edema. Importantly, pulmonary edema was significantly reduced by MN-166 (ibudilast) treatment (p&lt;0.001). In addition, MN-166 (ibudilast) significantly reduced the levels of inflammatory cytokines including TNF-alpha (p&lt;0.001), IL-1beta (p&lt;0.001), IL-6 (p&lt;0.001), and MCP-1 (p&lt;0.001) in a dose-dependent manner, indicating that ibudilast suppressed the inflammatory response. Results of this study also suggest that MN-166 (ibudilast) protects against pulmonary injury by attenuating cell apoptosis in lung tissue. In addition to data from the animal model of ARDS, MN-166 (ibudilast) has been identified as a compound with potential anti-SARS-CoV-2 activity in an in vitro study which screened 1,520 compounds for SARS-CoV-2 replication inhibition (Touret et al., 2020).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w:t>
      </w:r>
    </w:p>
    <w:p>
      <w:pPr>
        <w:spacing w:after="0" w:line="187"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In April 2022, we announced that the Phase 2 clinical trial of MN-166 (ibudilast) in hospitalized COVID-19 patients at risk for developing ARDS had completed enrollment. In June 2022, we announced positive top-line results from this Phase 2 clinical trial. MN-166 (ibudilast) demonstrated large improvements compared to placebo for all four clinical endpoints analyzed. The trial achieved statistical significance for one of the co-primary endpoints, the proportion of subjects free of respiratory failure at Day 7, with 71% of subjects in the MN-166 (ibudilast) group and 35% of subjects in the placebo group free of respiratory failure at Day 7 (p=0.02). For the co-primary endpoint of clinical status (i.e., improvement on NIAID scale) at Day 7, 71% of subjects in the MN-166 (ibudilast) group and 47% of subjects in the placebo group had improved clinical status at Day 7 (p=0.08). The trial achieved statistical significance for the proportion of subjects discharged from the hospital with 65% of subjects in the MN-166 (ibudilast) group and 29% of subjects in the placebo group discharged from the hospital at Day 7 (p=0.02). In addition, 0% of subjects in the MN-166 (ibudilast) group and 24% of subjects in the placebo group had worsened clinical status at Day 7 (p=0.05). There were two deaths in the placebo group and no deaths in the MN-166 (ibudilast) group. There were no serious adverse events related to MN-166 (ibudilast). In July 2022, we announced the initiation of a first-in-human clinical study to evaluate a new parenteral (injectable) formulation of MN-166 (ibudilast). This formulation will provide an additional option for health care providers to administer MN-166 (ibudilast) in addition to the oral formulation. In January 2023, we announced that the Phase I clinical trial of MN-166 (ibudilast) 10 mg IV infusion in healthy volunteers was completed with a favorable safety profile and was well tolerated.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w:t>
      </w:r>
    </w:p>
    <w:p>
      <w:pPr>
        <w:spacing w:after="0" w:line="119" w:lineRule="exact"/>
        <w:rPr>
          <w:sz w:val="20"/>
          <w:szCs w:val="20"/>
          <w:color w:val="auto"/>
        </w:rPr>
      </w:pPr>
    </w:p>
    <w:p>
      <w:pPr>
        <w:ind w:firstLine="572"/>
        <w:spacing w:after="0" w:line="266" w:lineRule="auto"/>
        <w:rPr>
          <w:sz w:val="20"/>
          <w:szCs w:val="20"/>
          <w:color w:val="auto"/>
        </w:rPr>
      </w:pPr>
      <w:r>
        <w:rPr>
          <w:rFonts w:ascii="Times New Roman" w:cs="Times New Roman" w:eastAsia="Times New Roman" w:hAnsi="Times New Roman"/>
          <w:sz w:val="18"/>
          <w:szCs w:val="18"/>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the inhibitory effect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 w:name="page16"/>
    <w:bookmarkEnd w:id="15"/>
    <w:p>
      <w:pPr>
        <w:spacing w:after="0" w:line="8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of MN-001 (tipelukast)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 promote inflammation including CCR2 and MCP-1. In addition, histopathological data shows that MN-001 (tipelukast) reduces fibrosis in multiple animal models. We licensed MN-001 (tipelukast) from Kyorin in 2002.</w:t>
      </w:r>
    </w:p>
    <w:p>
      <w:pPr>
        <w:spacing w:after="0" w:line="180" w:lineRule="exact"/>
        <w:rPr>
          <w:sz w:val="20"/>
          <w:szCs w:val="20"/>
          <w:color w:val="auto"/>
        </w:rPr>
      </w:pPr>
    </w:p>
    <w:p>
      <w:pPr>
        <w:ind w:right="260" w:firstLine="560"/>
        <w:spacing w:after="0" w:line="282" w:lineRule="auto"/>
        <w:rPr>
          <w:sz w:val="20"/>
          <w:szCs w:val="20"/>
          <w:color w:val="auto"/>
        </w:rPr>
      </w:pPr>
      <w:r>
        <w:rPr>
          <w:rFonts w:ascii="Times New Roman" w:cs="Times New Roman" w:eastAsia="Times New Roman" w:hAnsi="Times New Roman"/>
          <w:sz w:val="18"/>
          <w:szCs w:val="18"/>
          <w:color w:val="auto"/>
        </w:rPr>
        <w:t>Previously, we evaluated MN-001 (tipelukast) for its potential clinical efficacy in asthma and completed a Phase 2 study in asthma with positive results. MN-001 (tipelukast) has been administered to more than 600 subjects and is considered generally safe and well-tolerated.</w:t>
      </w:r>
    </w:p>
    <w:p>
      <w:pPr>
        <w:spacing w:after="0" w:line="160" w:lineRule="exact"/>
        <w:rPr>
          <w:sz w:val="20"/>
          <w:szCs w:val="20"/>
          <w:color w:val="auto"/>
        </w:rPr>
      </w:pPr>
    </w:p>
    <w:p>
      <w:pPr>
        <w:ind w:firstLine="572"/>
        <w:spacing w:after="0" w:line="256" w:lineRule="auto"/>
        <w:rPr>
          <w:sz w:val="20"/>
          <w:szCs w:val="20"/>
          <w:color w:val="auto"/>
        </w:rPr>
      </w:pPr>
      <w:r>
        <w:rPr>
          <w:rFonts w:ascii="Times New Roman" w:cs="Times New Roman" w:eastAsia="Times New Roman" w:hAnsi="Times New Roman"/>
          <w:sz w:val="18"/>
          <w:szCs w:val="18"/>
          <w:i w:val="1"/>
          <w:iCs w:val="1"/>
          <w:color w:val="auto"/>
        </w:rPr>
        <w:t>Nonalcoholic Steatohepatitis and Nonalcoholic Fatty Liver Disease</w:t>
      </w:r>
      <w:r>
        <w:rPr>
          <w:rFonts w:ascii="Times New Roman" w:cs="Times New Roman" w:eastAsia="Times New Roman" w:hAnsi="Times New Roman"/>
          <w:sz w:val="18"/>
          <w:szCs w:val="18"/>
          <w:color w:val="auto"/>
        </w:rPr>
        <w:t>: NAFLD is a condition in which there is fat in the liver. Some individuals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NAFLD can develop NASH, a condition in which there is fat in the liver along with inflammation and damage to liver cells. NASH is a common liver disease that resembles alcoholic liver disease but occurs in people who drink little or no alcohol. According to the United States National Institute of Diabetes and Digestive and Kidney Diseases (NIDDK), NASH prevalence in adults in the United States is 1.5 - 6.5%, and approximately 24% of U.S. adults have NAFLD.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pharmaceutical treatment approved for NAFLD or NASH.</w:t>
      </w:r>
    </w:p>
    <w:p>
      <w:pPr>
        <w:spacing w:after="0" w:line="185" w:lineRule="exact"/>
        <w:rPr>
          <w:sz w:val="20"/>
          <w:szCs w:val="20"/>
          <w:color w:val="auto"/>
        </w:rPr>
      </w:pPr>
    </w:p>
    <w:p>
      <w:pPr>
        <w:ind w:right="40" w:firstLine="560"/>
        <w:spacing w:after="0" w:line="252" w:lineRule="auto"/>
        <w:rPr>
          <w:sz w:val="20"/>
          <w:szCs w:val="20"/>
          <w:color w:val="auto"/>
        </w:rPr>
      </w:pPr>
      <w:r>
        <w:rPr>
          <w:rFonts w:ascii="Times New Roman" w:cs="Times New Roman" w:eastAsia="Times New Roman" w:hAnsi="Times New Roman"/>
          <w:sz w:val="18"/>
          <w:szCs w:val="18"/>
          <w:color w:val="auto"/>
        </w:rPr>
        <w:t>We completed a preclinical study evaluating the potential clinical efficacy of MN-001 (tipelukast) for the treatment of NASH. MN-001 (tipelukast) administered orally once daily (10, 30, and 100 mg/kg for three weeks) was evaluated in the STAM™ (NASH-HCC) mouse model of NASH, as measured by liver biochemistry and histopathology, NAFLD activity score (NAS), and percent of fibrosis and gene expression. MN-001 (tipelukast), in a dose-dependent manner, significantly reduced fibrosis area compared with placebo (p&lt;0.01) as demonstrated by a reduction in liver hydroxyproline content, supporting the anti-fibrotic properties of MN-001 (tipelukast).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reduces the formation of fibrosis in the 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(NAS) was significantly reduced in the MN-001 (tipelukast)-treated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 staining area was significantly reduced in the MN-001 (tipelukast)-treated group (p&lt;0.001). Collectively, these results provided compelling evidence that MN-001 (tipelukast) warrants further evaluation for the treatment of NASH in humans.</w:t>
      </w:r>
    </w:p>
    <w:p>
      <w:pPr>
        <w:spacing w:after="0" w:line="196" w:lineRule="exact"/>
        <w:rPr>
          <w:sz w:val="20"/>
          <w:szCs w:val="20"/>
          <w:color w:val="auto"/>
        </w:rPr>
      </w:pPr>
    </w:p>
    <w:p>
      <w:pPr>
        <w:ind w:firstLine="572"/>
        <w:spacing w:after="0" w:line="258" w:lineRule="auto"/>
        <w:rPr>
          <w:sz w:val="20"/>
          <w:szCs w:val="20"/>
          <w:color w:val="auto"/>
        </w:rPr>
      </w:pPr>
      <w:r>
        <w:rPr>
          <w:rFonts w:ascii="Times New Roman" w:cs="Times New Roman" w:eastAsia="Times New Roman" w:hAnsi="Times New Roman"/>
          <w:sz w:val="18"/>
          <w:szCs w:val="18"/>
          <w:color w:val="auto"/>
        </w:rPr>
        <w:t>We have an open IND and the FDA has approved three different Phase 2 clinical trial protocols for MN-001 (tipelukast) for the treatment of NASH and NAFLD in the United States. In April 2018, we announced that we would terminate early the Phase 2 clinical trial of MN-001 (tipelukast) in NASH and NAFLD patients with hypertriglyceridemia based on the significant positive results from an interim analysis. This data was presented at the International Liver Congress 2018, the 53rd annual meeting of the European Association for the Study of the Liver (EASL) in Paris, France in April 2018. The FDA has granted Fast Track designation to MN-001 (tipelukast) for the treatment of patients with NASH with fibrosis.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94" w:lineRule="exact"/>
        <w:rPr>
          <w:sz w:val="20"/>
          <w:szCs w:val="20"/>
          <w:color w:val="auto"/>
        </w:rPr>
      </w:pPr>
    </w:p>
    <w:p>
      <w:pPr>
        <w:ind w:right="80" w:firstLine="572"/>
        <w:spacing w:after="0" w:line="253" w:lineRule="auto"/>
        <w:rPr>
          <w:sz w:val="20"/>
          <w:szCs w:val="20"/>
          <w:color w:val="auto"/>
        </w:rPr>
      </w:pPr>
      <w:r>
        <w:rPr>
          <w:rFonts w:ascii="Times New Roman" w:cs="Times New Roman" w:eastAsia="Times New Roman" w:hAnsi="Times New Roman"/>
          <w:sz w:val="18"/>
          <w:szCs w:val="18"/>
          <w:color w:val="auto"/>
        </w:rPr>
        <w:t>In November 2020, we announced positive results of in-vitro and in-vivo studies that evaluated MN-001 (tipelukast) for its anti-liver fibrotic effect in HSCs and in an acute liver injury model at the annual meeting of the AASLD. MN-001 attenuated TGFβ1 induced HSC activation, TGFβ1 mediated increase in HSC motility and contractility, and fibrogenic signaling in a mouse acute carbon tetrachloride (CCl4)-induced liver injury model. These data provide additional scientific evidence to support MN-001’s anti-fibrotic effects in the liver. In November 2021, we announced new findings from a study that investigated the mechanism by which MN-001 (tipelukast) alters triglyceride metabolism in hepatocytes at the Annual Meeting of the American Association for the Study of Liver Diseases (AASLD). This study found that MN-001 (tipelukast) had an inhibitory effect on triglyceride synthesis in HepG2 cells derived from human hepatocellular carcinoma samples. The expression of CD36, one of the fatty acid transporters involved in the uptake of arachidonic acid into liver cells, was suppressed by adding MN-001 (tipelukast). This suggests that MN-001 (tipelukast) reduces triglyceride synthesis by inhibiting arachidonic acid uptake into hepatocytes. CD36 enhances cellular fatty acid uptake in the liver and is known to be involved in the pathogenesis of fatty liver.</w:t>
      </w:r>
    </w:p>
    <w:p>
      <w:pPr>
        <w:spacing w:after="0" w:line="194" w:lineRule="exact"/>
        <w:rPr>
          <w:sz w:val="20"/>
          <w:szCs w:val="20"/>
          <w:color w:val="auto"/>
        </w:rPr>
      </w:pPr>
    </w:p>
    <w:p>
      <w:pPr>
        <w:ind w:right="60" w:firstLine="539"/>
        <w:spacing w:after="0" w:line="253" w:lineRule="auto"/>
        <w:rPr>
          <w:sz w:val="20"/>
          <w:szCs w:val="20"/>
          <w:color w:val="auto"/>
        </w:rPr>
      </w:pPr>
      <w:r>
        <w:rPr>
          <w:rFonts w:ascii="Times New Roman" w:cs="Times New Roman" w:eastAsia="Times New Roman" w:hAnsi="Times New Roman"/>
          <w:sz w:val="18"/>
          <w:szCs w:val="18"/>
          <w:color w:val="auto"/>
        </w:rPr>
        <w:t>In April 2022, we announced that the FDA completed its review of a proposed Phase 2 clinical trial to evaluate MN-001 (tipelukast) for the treatment of patients with NAFLD, type 2 diabetes mellitus, and hypertriglyceridemia and the study may proceed. This multi-center, two-arm, randomized, double-blind, placebo-controlled Phase 2 trial will evaluate MN-001 (tipelukast) vs. placebo in approximately 40 patients in the U.S. Patients will be randomized 1:1 to receive either 500 mg/day of MN-001 (tipelukast) or placebo for 24 weeks. The co-primary endpoints are (1) change from baseline in liver fat content at Week 24, and (2) change from baseline in fasting serum triglycerides at Week 24. In July 2022, we announced the initiation of this Phase 2 clinical trial to evaluate MN-001 (tipelukast) for the treatment of patients with NAFLD, type 2 diabetes mellitus, and hypertriglyceridemia. In December 2022, we announced the presentation of positive results from a subgroup analysis of the completed Phase 2 clinical trial which evaluated MN-001 (tipelukast) in participants with NAFLD and hypertriglyceridemia (HTG) at the International Diabetes Federation (IDF) World Diabetes Congress 2022. Compared to subjects without Type 2 diabetes mellitus (T2DM), the T2DM group showed a greater reduction in serum triglyceride levels at Week 8 (50.8% reduction for with T2DM versus 17.8% reduction for without T2DM, p=0.098). Mean HDL increase was significantly greater in subjects with T2DM than subjects without T2DM at Week 8 (15.8% versus 1.0%, p&lt;0.0002). In comparison to subjects without T2DM, the T2DM group showed a greater reduction in serum LDL levels at Week 8 (15.4% versus 6.7%). In November 2025, we announced the completion of patient enrollment in this Phase 2 clinical trial.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 MN-166 (ibudilast) Clinical Trials and Programs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Indication</w:t>
            </w: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Clinical Study</w:t>
            </w: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Institution and Funding Agency(s)</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Status</w:t>
            </w: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Prevention of ARDS in</w:t>
            </w: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Randomized, Double-Blind, Placebo-</w:t>
            </w: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Multicenter</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severe COVID-19</w:t>
            </w: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Controlled, Parallel Group Study to Evaluate</w:t>
            </w: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MediciNova,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Efficacy, Safety, Tolerability, Biomarkers</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PK of MN-166 (Ibudilast) in COVID-19</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Subjects at Risk for Developing ARDS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40" w:type="dxa"/>
            <w:vAlign w:val="bottom"/>
          </w:tcPr>
          <w:p>
            <w:pPr>
              <w:spacing w:after="0"/>
              <w:rPr>
                <w:sz w:val="24"/>
                <w:szCs w:val="24"/>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Randomized, Double-Blind, Placebo-</w:t>
            </w: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Controlled Study to Evaluate the Safety,</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Tolerability and Activity of Ibudilast</w:t>
            </w:r>
          </w:p>
        </w:tc>
        <w:tc>
          <w:tcPr>
            <w:tcW w:w="3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Cleveland Clinic / Multicenter</w:t>
            </w:r>
          </w:p>
        </w:tc>
        <w:tc>
          <w:tcPr>
            <w:tcW w:w="100" w:type="dxa"/>
            <w:vAlign w:val="bottom"/>
          </w:tcPr>
          <w:p>
            <w:pPr>
              <w:spacing w:after="0"/>
              <w:rPr>
                <w:sz w:val="20"/>
                <w:szCs w:val="20"/>
                <w:color w:val="auto"/>
              </w:rPr>
            </w:pPr>
          </w:p>
        </w:tc>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4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Primary Progressive and</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National Institute on Neurological Diseases</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Secondary</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Stroke</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tabs>
          <w:tab w:leader="none" w:pos="2140" w:val="left"/>
          <w:tab w:leader="none" w:pos="5620" w:val="left"/>
        </w:tabs>
        <w:rPr>
          <w:sz w:val="20"/>
          <w:szCs w:val="20"/>
          <w:color w:val="auto"/>
        </w:rPr>
      </w:pPr>
      <w:r>
        <w:rPr>
          <w:rFonts w:ascii="Times New Roman" w:cs="Times New Roman" w:eastAsia="Times New Roman" w:hAnsi="Times New Roman"/>
          <w:sz w:val="18"/>
          <w:szCs w:val="18"/>
          <w:color w:val="auto"/>
        </w:rPr>
        <w:t>Progressive Multiple</w:t>
      </w:r>
      <w:r>
        <w:rPr>
          <w:sz w:val="20"/>
          <w:szCs w:val="20"/>
          <w:color w:val="auto"/>
        </w:rPr>
        <w:tab/>
      </w:r>
      <w:r>
        <w:rPr>
          <w:rFonts w:ascii="Times New Roman" w:cs="Times New Roman" w:eastAsia="Times New Roman" w:hAnsi="Times New Roman"/>
          <w:sz w:val="18"/>
          <w:szCs w:val="18"/>
          <w:color w:val="auto"/>
        </w:rPr>
        <w:t>(MN-166) in Subjects with Progressive</w:t>
      </w:r>
      <w:r>
        <w:rPr>
          <w:sz w:val="20"/>
          <w:szCs w:val="20"/>
          <w:color w:val="auto"/>
        </w:rPr>
        <w:tab/>
      </w:r>
      <w:r>
        <w:rPr>
          <w:rFonts w:ascii="Times New Roman" w:cs="Times New Roman" w:eastAsia="Times New Roman" w:hAnsi="Times New Roman"/>
          <w:sz w:val="17"/>
          <w:szCs w:val="17"/>
          <w:color w:val="auto"/>
        </w:rPr>
        <w:t>MediciNova, Inc.</w:t>
      </w:r>
    </w:p>
    <w:p>
      <w:pPr>
        <w:spacing w:after="0" w:line="27"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Sclerosis</w:t>
      </w:r>
      <w:r>
        <w:rPr>
          <w:sz w:val="20"/>
          <w:szCs w:val="20"/>
          <w:color w:val="auto"/>
        </w:rPr>
        <w:tab/>
      </w:r>
      <w:r>
        <w:rPr>
          <w:rFonts w:ascii="Times New Roman" w:cs="Times New Roman" w:eastAsia="Times New Roman" w:hAnsi="Times New Roman"/>
          <w:sz w:val="18"/>
          <w:szCs w:val="18"/>
          <w:color w:val="auto"/>
        </w:rPr>
        <w:t>Multiple Sclerosis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Amyotrophic Lateral</w:t>
            </w: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Single-Center, Randomized, Double-Blind,</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Carolinas HealthCare System Neurosciences</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Completed</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Sclerosis (ALS)</w:t>
            </w: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Placebo-Controlled, Six Month Clinical Trial</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Institute</w:t>
            </w: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Followed by an Open-Label Extension to</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MediciNova, Inc.</w:t>
            </w: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Evaluate the Safety, Tolerability, and Clinical</w:t>
            </w:r>
          </w:p>
        </w:tc>
        <w:tc>
          <w:tcPr>
            <w:tcW w:w="3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Endpoint Responsiveness of Ibudilast (MN-</w:t>
            </w:r>
          </w:p>
        </w:tc>
        <w:tc>
          <w:tcPr>
            <w:tcW w:w="3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166) in Subjects with Amyotrophic Lateral</w:t>
            </w:r>
          </w:p>
        </w:tc>
        <w:tc>
          <w:tcPr>
            <w:tcW w:w="3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Sclerosis (ALS)</w:t>
            </w:r>
          </w:p>
        </w:tc>
        <w:tc>
          <w:tcPr>
            <w:tcW w:w="3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778"/>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ALS / Biomarker</w:t>
            </w: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Biomarker Study to Evaluate MN-166</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Massachusetts General Hospital</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Completed</w:t>
            </w:r>
          </w:p>
        </w:tc>
      </w:tr>
      <w:tr>
        <w:trPr>
          <w:trHeight w:val="216"/>
        </w:trPr>
        <w:tc>
          <w:tcPr>
            <w:tcW w:w="18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(ibudilast) in Subjects with Amyotrophic</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MediciNova, Inc.</w:t>
            </w:r>
          </w:p>
        </w:tc>
        <w:tc>
          <w:tcPr>
            <w:tcW w:w="178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Literal Sclerosis (ALS)</w:t>
            </w:r>
          </w:p>
        </w:tc>
        <w:tc>
          <w:tcPr>
            <w:tcW w:w="3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6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Amyotrophic Lateral</w:t>
            </w: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Phase 2b/3, Multi-Center, Randomized,</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Multicenter</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Enrollment Completed</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Sclerosis (ALS)</w:t>
            </w: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Double-Blind, Placebo-Controlled, 12 Month</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MediciNova, Inc.</w:t>
            </w: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Clinical Trial to Evaluate the Efficacy and</w:t>
            </w:r>
          </w:p>
        </w:tc>
        <w:tc>
          <w:tcPr>
            <w:tcW w:w="3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Safety of MN-166 (ibudilast) Followed by an</w:t>
            </w:r>
          </w:p>
        </w:tc>
        <w:tc>
          <w:tcPr>
            <w:tcW w:w="3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Open-Label Extension in Subjects with</w:t>
            </w:r>
          </w:p>
        </w:tc>
        <w:tc>
          <w:tcPr>
            <w:tcW w:w="3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Amyotrophic Lateral Sclerosis</w:t>
            </w:r>
          </w:p>
        </w:tc>
        <w:tc>
          <w:tcPr>
            <w:tcW w:w="344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040"/>
          </w:cols>
          <w:pgMar w:left="320" w:top="1417" w:right="5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Degenerative Cervical</w:t>
      </w:r>
      <w:r>
        <w:rPr>
          <w:sz w:val="20"/>
          <w:szCs w:val="20"/>
          <w:color w:val="auto"/>
        </w:rPr>
        <w:tab/>
      </w:r>
      <w:r>
        <w:rPr>
          <w:rFonts w:ascii="Times New Roman" w:cs="Times New Roman" w:eastAsia="Times New Roman" w:hAnsi="Times New Roman"/>
          <w:sz w:val="17"/>
          <w:szCs w:val="17"/>
          <w:color w:val="auto"/>
        </w:rPr>
        <w:t>A multi-centre, double-blind, randomized,</w:t>
      </w:r>
    </w:p>
    <w:p>
      <w:pPr>
        <w:spacing w:after="0" w:line="27"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7"/>
          <w:szCs w:val="17"/>
          <w:color w:val="auto"/>
        </w:rPr>
        <w:t>Myelopathy</w:t>
      </w:r>
      <w:r>
        <w:rPr>
          <w:sz w:val="20"/>
          <w:szCs w:val="20"/>
          <w:color w:val="auto"/>
        </w:rPr>
        <w:tab/>
      </w:r>
      <w:r>
        <w:rPr>
          <w:rFonts w:ascii="Times New Roman" w:cs="Times New Roman" w:eastAsia="Times New Roman" w:hAnsi="Times New Roman"/>
          <w:sz w:val="17"/>
          <w:szCs w:val="17"/>
          <w:color w:val="auto"/>
        </w:rPr>
        <w:t>placebo-controlled trial assessing the efficacy</w:t>
      </w:r>
    </w:p>
    <w:p>
      <w:pPr>
        <w:spacing w:after="0" w:line="21" w:lineRule="exact"/>
        <w:rPr>
          <w:sz w:val="20"/>
          <w:szCs w:val="20"/>
          <w:color w:val="auto"/>
        </w:rPr>
      </w:pPr>
    </w:p>
    <w:p>
      <w:pPr>
        <w:ind w:left="2160" w:right="420"/>
        <w:spacing w:after="0" w:line="255" w:lineRule="auto"/>
        <w:rPr>
          <w:sz w:val="20"/>
          <w:szCs w:val="20"/>
          <w:color w:val="auto"/>
        </w:rPr>
      </w:pPr>
      <w:r>
        <w:rPr>
          <w:rFonts w:ascii="Times New Roman" w:cs="Times New Roman" w:eastAsia="Times New Roman" w:hAnsi="Times New Roman"/>
          <w:sz w:val="18"/>
          <w:szCs w:val="18"/>
          <w:color w:val="auto"/>
        </w:rPr>
        <w:t>of Ibudilast as an adjuvant treatment to decompressive surgery for degenerative cervical myelopathy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University of Cambridge / Multicenter</w:t>
      </w:r>
      <w:r>
        <w:rPr>
          <w:sz w:val="20"/>
          <w:szCs w:val="20"/>
          <w:color w:val="auto"/>
        </w:rPr>
        <w:tab/>
      </w:r>
      <w:r>
        <w:rPr>
          <w:rFonts w:ascii="Times New Roman" w:cs="Times New Roman" w:eastAsia="Times New Roman" w:hAnsi="Times New Roman"/>
          <w:sz w:val="18"/>
          <w:szCs w:val="18"/>
          <w:color w:val="auto"/>
        </w:rPr>
        <w:t>Ongoing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for Health Research (NIHR)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U.K.</w:t>
      </w:r>
    </w:p>
    <w:p>
      <w:pPr>
        <w:spacing w:after="0" w:line="652" w:lineRule="exact"/>
        <w:rPr>
          <w:sz w:val="20"/>
          <w:szCs w:val="20"/>
          <w:color w:val="auto"/>
        </w:rPr>
      </w:pPr>
    </w:p>
    <w:p>
      <w:pPr>
        <w:sectPr>
          <w:pgSz w:w="11900" w:h="16838" w:orient="portrait"/>
          <w:cols w:equalWidth="0" w:num="2">
            <w:col w:w="5440" w:space="200"/>
            <w:col w:w="5400"/>
          </w:cols>
          <w:pgMar w:left="320" w:top="1417" w:right="539" w:bottom="1440" w:gutter="0" w:footer="0" w:header="0"/>
          <w:type w:val="continuous"/>
        </w:sect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currently have no marketing and sales capabilities and we expect to rely on strategic partners to commercialize our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560"/>
        <w:spacing w:after="0" w:line="258" w:lineRule="auto"/>
        <w:rPr>
          <w:sz w:val="20"/>
          <w:szCs w:val="20"/>
          <w:color w:val="auto"/>
        </w:rPr>
      </w:pPr>
      <w:r>
        <w:rPr>
          <w:rFonts w:ascii="Times New Roman" w:cs="Times New Roman" w:eastAsia="Times New Roman" w:hAnsi="Times New Roman"/>
          <w:sz w:val="18"/>
          <w:szCs w:val="18"/>
          <w:color w:val="auto"/>
        </w:rPr>
        <w:t>We rely on third parties to manufacture bulk active pharmaceutical ingredients (API) and finished investigational products for research, development, preclinical and clinical trials. We expect to continue to rely on third 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3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7" w:right="539" w:bottom="1440" w:gutter="0" w:footer="0" w:header="0"/>
          <w:type w:val="continuous"/>
        </w:sectPr>
      </w:pPr>
    </w:p>
    <w:bookmarkStart w:id="18" w:name="page19"/>
    <w:bookmarkEnd w:id="18"/>
    <w:p>
      <w:pPr>
        <w:spacing w:after="0" w:line="194" w:lineRule="exact"/>
        <w:rPr>
          <w:sz w:val="20"/>
          <w:szCs w:val="20"/>
          <w:color w:val="auto"/>
        </w:rPr>
      </w:pPr>
    </w:p>
    <w:p>
      <w:pPr>
        <w:ind w:right="20" w:firstLine="560"/>
        <w:spacing w:after="0" w:line="236" w:lineRule="auto"/>
        <w:rPr>
          <w:sz w:val="20"/>
          <w:szCs w:val="20"/>
          <w:color w:val="auto"/>
        </w:rPr>
      </w:pPr>
      <w:r>
        <w:rPr>
          <w:rFonts w:ascii="Times New Roman" w:cs="Times New Roman" w:eastAsia="Times New Roman" w:hAnsi="Times New Roman"/>
          <w:sz w:val="18"/>
          <w:szCs w:val="18"/>
          <w:color w:val="auto"/>
        </w:rPr>
        <w:t>For the MN-166 (ibudilast) development program, we have historically sourced and imported delayed-release ibudilast capsules, marketed in Japan as Pinatos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from Taisho Pharmaceutical Co., Ltd. (Taisho). In addition, we use contract manufacturers to manufacture API and finished product for the MN-166 (ibudilast) development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License Agreements</w:t>
      </w:r>
    </w:p>
    <w:p>
      <w:pPr>
        <w:spacing w:after="0" w:line="121" w:lineRule="exact"/>
        <w:rPr>
          <w:sz w:val="20"/>
          <w:szCs w:val="20"/>
          <w:color w:val="auto"/>
        </w:rPr>
      </w:pPr>
    </w:p>
    <w:p>
      <w:pPr>
        <w:ind w:right="140" w:firstLine="560"/>
        <w:spacing w:after="0" w:line="255" w:lineRule="auto"/>
        <w:rPr>
          <w:sz w:val="20"/>
          <w:szCs w:val="20"/>
          <w:color w:val="auto"/>
        </w:rPr>
      </w:pPr>
      <w:r>
        <w:rPr>
          <w:rFonts w:ascii="Times New Roman" w:cs="Times New Roman" w:eastAsia="Times New Roman" w:hAnsi="Times New Roman"/>
          <w:sz w:val="18"/>
          <w:szCs w:val="18"/>
          <w:color w:val="auto"/>
        </w:rPr>
        <w:t>Since our inception in September 2000, we have entered into license agreements with pharmaceutical companies which cover our current product candidates. We have also entered into license agreements with universities which cover additional intellectual property related to our product candidates. In general, we seek to procure patent protection for our anticipated products, or obtain such protection from the relevant patents owned by our licensors. We hold 40 issued U.S. patents and have filed 5 additional U.S. patent applications. We also hold more than 130 issued foreign patents and more than 30 pending foreign patent applications corresponding to these U.S. patents and patent applications. We are not aware of any third 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clinical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 party infringements of patents we hold or have licensed and have not received any material claims by third parties of infringement by us of such parties’ intellectual property rights.</w:t>
      </w:r>
    </w:p>
    <w:p>
      <w:pPr>
        <w:spacing w:after="0" w:line="82" w:lineRule="exact"/>
        <w:rPr>
          <w:sz w:val="20"/>
          <w:szCs w:val="20"/>
          <w:color w:val="auto"/>
        </w:rPr>
      </w:pPr>
    </w:p>
    <w:p>
      <w:pPr>
        <w:ind w:right="40" w:firstLine="554"/>
        <w:spacing w:after="0" w:line="254" w:lineRule="auto"/>
        <w:rPr>
          <w:sz w:val="20"/>
          <w:szCs w:val="20"/>
          <w:color w:val="auto"/>
        </w:rPr>
      </w:pPr>
      <w:r>
        <w:rPr>
          <w:rFonts w:ascii="Times New Roman" w:cs="Times New Roman" w:eastAsia="Times New Roman" w:hAnsi="Times New Roman"/>
          <w:sz w:val="18"/>
          <w:szCs w:val="18"/>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treating progressive MS with MN-166 (ibudilast), the method of treating ALS with MN-166 (ibudilast), the method of treating glioblastoma with MN-166 (ibudilast) as part of a combination therapy, the method of treating drug addiction or drug dependence with MN-166 (ibudilast), and the method of treating neuropathic pain with MN-166 (ibudilast),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licensors or any patents we may obtain for MN-166 (ibudilast).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ind w:right="40" w:firstLine="560"/>
        <w:spacing w:after="0" w:line="256" w:lineRule="auto"/>
        <w:rPr>
          <w:sz w:val="20"/>
          <w:szCs w:val="20"/>
          <w:color w:val="auto"/>
        </w:rPr>
      </w:pPr>
      <w:r>
        <w:rPr>
          <w:rFonts w:ascii="Times New Roman" w:cs="Times New Roman" w:eastAsia="Times New Roman" w:hAnsi="Times New Roman"/>
          <w:sz w:val="18"/>
          <w:szCs w:val="18"/>
          <w:color w:val="auto"/>
        </w:rPr>
        <w:t>In addition, if we develop certain products that are not covered by any patents, we will be dependent on obtaining market exclusivity under the new chemical entity exclusivity provisions of the Hatch-Waxman Act for such products in the United States and/or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or foregone royalties in the event of generic competition.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w:t>
      </w:r>
    </w:p>
    <w:p>
      <w:pPr>
        <w:spacing w:after="0" w:line="119" w:lineRule="exact"/>
        <w:rPr>
          <w:sz w:val="20"/>
          <w:szCs w:val="20"/>
          <w:color w:val="auto"/>
        </w:rPr>
      </w:pPr>
    </w:p>
    <w:p>
      <w:pPr>
        <w:ind w:firstLine="572"/>
        <w:spacing w:after="0" w:line="254" w:lineRule="auto"/>
        <w:rPr>
          <w:sz w:val="20"/>
          <w:szCs w:val="20"/>
          <w:color w:val="auto"/>
        </w:rPr>
      </w:pPr>
      <w:r>
        <w:rPr>
          <w:rFonts w:ascii="Times New Roman" w:cs="Times New Roman" w:eastAsia="Times New Roman" w:hAnsi="Times New Roman"/>
          <w:sz w:val="18"/>
          <w:szCs w:val="18"/>
          <w:color w:val="auto"/>
        </w:rPr>
        <w:t>On October 22, 2004, we entered into an exclusive license agreement with Kyorin for the development and commercialization of MN-166 (ibudilast). Kyorin is a fully integrated Japanese pharmaceutical company and is listed on the Tokyo Stock Exchange. We obtained an exclusive, worldwide (excluding Japan, China, South Korea and Taiwan), sub-licensable license to the patent rights related to MN-166 (ibudilast) for the treatment of MS, except for ophthalmic solution formulations. MN-166 (ibudilast) is not covered by a composition of matter patent. The United States method of use patent for MN-166 (ibudilast) in MS underlying the license expired on August 10, 2018. Corresponding method of use patents in certain foreign countries also expired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192" w:lineRule="exact"/>
        <w:rPr>
          <w:sz w:val="20"/>
          <w:szCs w:val="20"/>
          <w:color w:val="auto"/>
        </w:rPr>
      </w:pPr>
    </w:p>
    <w:p>
      <w:pPr>
        <w:ind w:right="460" w:firstLine="560"/>
        <w:spacing w:after="0" w:line="266"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(ibudilast) infringes upon such third party’s intellectual property rights, with 30 days’ written notice.</w:t>
      </w:r>
    </w:p>
    <w:p>
      <w:pPr>
        <w:spacing w:after="0" w:line="176" w:lineRule="exact"/>
        <w:rPr>
          <w:sz w:val="20"/>
          <w:szCs w:val="20"/>
          <w:color w:val="auto"/>
        </w:rPr>
      </w:pPr>
    </w:p>
    <w:p>
      <w:pPr>
        <w:ind w:right="120" w:firstLine="554"/>
        <w:spacing w:after="0" w:line="258"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83" w:lineRule="exact"/>
        <w:rPr>
          <w:sz w:val="20"/>
          <w:szCs w:val="20"/>
          <w:color w:val="auto"/>
        </w:rPr>
      </w:pPr>
    </w:p>
    <w:p>
      <w:pPr>
        <w:ind w:right="360" w:firstLine="560"/>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62" w:lineRule="exact"/>
        <w:rPr>
          <w:sz w:val="20"/>
          <w:szCs w:val="20"/>
          <w:color w:val="auto"/>
        </w:rPr>
      </w:pPr>
    </w:p>
    <w:p>
      <w:pPr>
        <w:ind w:right="560" w:firstLine="560"/>
        <w:spacing w:after="0" w:line="289" w:lineRule="auto"/>
        <w:rPr>
          <w:sz w:val="20"/>
          <w:szCs w:val="20"/>
          <w:color w:val="auto"/>
        </w:rPr>
      </w:pPr>
      <w:r>
        <w:rPr>
          <w:rFonts w:ascii="Times New Roman" w:cs="Times New Roman" w:eastAsia="Times New Roman" w:hAnsi="Times New Roman"/>
          <w:sz w:val="17"/>
          <w:szCs w:val="17"/>
          <w:color w:val="auto"/>
        </w:rPr>
        <w:t>We own, co-own or hold licenses to 22 issued U.S. patents and 5 pending U.S. patent applications as well as more than 50 issued foreign patents and more than 25 pending foreign patent applications covering MN-166 (ibudilast) and its analogs. These patents and patent applications are related to our development portfolio and are primarily directed to methods of treating various indications using MN-166 (ibudilast) and its analogs.</w:t>
      </w:r>
    </w:p>
    <w:p>
      <w:pPr>
        <w:spacing w:after="0" w:line="158" w:lineRule="exact"/>
        <w:rPr>
          <w:sz w:val="20"/>
          <w:szCs w:val="20"/>
          <w:color w:val="auto"/>
        </w:rPr>
      </w:pPr>
    </w:p>
    <w:p>
      <w:pPr>
        <w:ind w:right="180" w:firstLine="572"/>
        <w:spacing w:after="0" w:line="258" w:lineRule="auto"/>
        <w:rPr>
          <w:sz w:val="20"/>
          <w:szCs w:val="20"/>
          <w:color w:val="auto"/>
        </w:rPr>
      </w:pPr>
      <w:r>
        <w:rPr>
          <w:rFonts w:ascii="Times New Roman" w:cs="Times New Roman" w:eastAsia="Times New Roman" w:hAnsi="Times New Roman"/>
          <w:sz w:val="18"/>
          <w:szCs w:val="18"/>
          <w:color w:val="auto"/>
        </w:rPr>
        <w:t>We have been granted a U.S. patent which covers the use of MN-166 (ibudilast) for the treatment of progressive forms of MS. This patent will expire no earlier than November 2029, not including a potential extension under patent term restoration rules, and covers a method of treating PPMS or SPMS by administering MN-166 (ibudilast). Counterparts of this patent application have been granted in certain foreign jurisdictions. We have been granted a U.S. patent which covers the combination of MN-166 (ibudilast) and interferon-beta for the treatment of progressive MS, including both PPMS and SPMS, and it expires no earlier than October 2039. We have been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ind w:right="40"/>
        <w:spacing w:after="0" w:line="254" w:lineRule="auto"/>
        <w:rPr>
          <w:sz w:val="20"/>
          <w:szCs w:val="20"/>
          <w:color w:val="auto"/>
        </w:rPr>
      </w:pPr>
      <w:r>
        <w:rPr>
          <w:rFonts w:ascii="Times New Roman" w:cs="Times New Roman" w:eastAsia="Times New Roman" w:hAnsi="Times New Roman"/>
          <w:sz w:val="18"/>
          <w:szCs w:val="18"/>
          <w:color w:val="auto"/>
        </w:rPr>
        <w:t>granted a U.S. patent which covers the use of MN-166 (ibudilast) for the treatment of amyotrophic lateral sclerosis (ALS) and it expires no earlier than January 2029. We have been granted a U.S. patent which covers the combination of MN-166 (ibudilast) and riluzole for the treatment of ALS and other neurodegenerative diseases and it expires no earlier than November 2035. Counterparts of this patent application have been granted in certain foreign jurisdictions. We have been granted two U.S. patents which cover the use of MN-166 (ibudilast) as part of a combination treatment for glioblastoma and these patents expire no earlier than February 2039. We have been granted a U.S. patent which covers the use of MN-166 (ibudilast) for the treatment of drug addiction or drug dependence or withdrawal syndrome and it expires no earlier than January 2030. Counterparts of this patent application have been granted in certain foreign jurisdictions. We have been granted a U.S. patent which covers the use of MN-166 (ibudilast) for the treatment of an ophthalmic disease/disorder or injury associated with a neurodegenerative disease/disorder or a neuro-ophthalmologic disorder and it expires no earlier than October 2039.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w:t>
      </w:r>
    </w:p>
    <w:p>
      <w:pPr>
        <w:spacing w:after="0" w:line="119"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disclosed and included in, or covered by, these patents, in all indications, except for ophthalmic solution formulations. This license included an exclusive, sub-licensable license under two U.S. patents and certain corresponding patents in foreign countries. The United States composition of matter patent for MN-001 (tipelukast) underlying the license expired on February 23, 2009. Foreign composition of matter patents for MN-001 (tipelukast) has also expired. We own 15 issued U.S. patents and 65 foreign patents covering certain compositions, uses and manufacturing processes associated with MN-001 (tipelukast). Uses covered by these U.S. patents include nonalcoholic steatohepatitis (NASH), advanced NASH with fibrosis, nonalcoholic fatty liver disease (NAFLD), steatosis, hypertriglyceridemia, hypercholesterolemia, hyperlipoproteinemia, fibrosis, ulcerative colitis, interstitial cystitis, and irritable bowel syndrome. Patent applications corresponding to these U.S. patents have been filed in certain foreign countries and some of the foreign patents have issued.</w:t>
      </w:r>
    </w:p>
    <w:p>
      <w:pPr>
        <w:spacing w:after="0" w:line="194" w:lineRule="exact"/>
        <w:rPr>
          <w:sz w:val="20"/>
          <w:szCs w:val="20"/>
          <w:color w:val="auto"/>
        </w:rPr>
      </w:pPr>
    </w:p>
    <w:p>
      <w:pPr>
        <w:ind w:right="200" w:firstLine="56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187" w:lineRule="exact"/>
        <w:rPr>
          <w:sz w:val="20"/>
          <w:szCs w:val="20"/>
          <w:color w:val="auto"/>
        </w:rPr>
      </w:pPr>
    </w:p>
    <w:p>
      <w:pPr>
        <w:ind w:right="60" w:firstLine="560"/>
        <w:spacing w:after="0" w:line="258"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83" w:lineRule="exact"/>
        <w:rPr>
          <w:sz w:val="20"/>
          <w:szCs w:val="20"/>
          <w:color w:val="auto"/>
        </w:rPr>
      </w:pPr>
    </w:p>
    <w:p>
      <w:pPr>
        <w:ind w:right="100" w:firstLine="560"/>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Kyorin $4.0 million to date, and we are obligated to make payments of up to $5.0 million based on the achievement of clinical and regulatory milestones. We are also obligated to pay a royalty on net sales of the licensed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1" w:name="page22"/>
    <w:bookmarkEnd w:id="21"/>
    <w:p>
      <w:pPr>
        <w:spacing w:after="0" w:line="86" w:lineRule="exact"/>
        <w:rPr>
          <w:sz w:val="20"/>
          <w:szCs w:val="20"/>
          <w:color w:val="auto"/>
        </w:rPr>
      </w:pPr>
    </w:p>
    <w:p>
      <w:pPr>
        <w:ind w:firstLine="572"/>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88" w:lineRule="exact"/>
        <w:rPr>
          <w:sz w:val="20"/>
          <w:szCs w:val="20"/>
          <w:color w:val="auto"/>
        </w:rPr>
      </w:pPr>
    </w:p>
    <w:p>
      <w:pPr>
        <w:ind w:right="220" w:firstLine="560"/>
        <w:spacing w:after="0" w:line="258"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Progressive Multiple Sclerosis (Progressive MS)</w:t>
      </w:r>
    </w:p>
    <w:p>
      <w:pPr>
        <w:spacing w:after="0" w:line="119" w:lineRule="exact"/>
        <w:rPr>
          <w:sz w:val="20"/>
          <w:szCs w:val="20"/>
          <w:color w:val="auto"/>
        </w:rPr>
      </w:pPr>
    </w:p>
    <w:p>
      <w:pPr>
        <w:ind w:right="200" w:firstLine="672"/>
        <w:spacing w:after="0" w:line="253" w:lineRule="auto"/>
        <w:rPr>
          <w:sz w:val="20"/>
          <w:szCs w:val="20"/>
          <w:color w:val="auto"/>
        </w:rPr>
      </w:pPr>
      <w:r>
        <w:rPr>
          <w:rFonts w:ascii="Times New Roman" w:cs="Times New Roman" w:eastAsia="Times New Roman" w:hAnsi="Times New Roman"/>
          <w:sz w:val="18"/>
          <w:szCs w:val="18"/>
          <w:color w:val="auto"/>
        </w:rPr>
        <w:t>Our MN-166 (ibudilast) product candidate is in development for the treatment of progressive MS. Mitoxantrone is approved for the treatment of secondary progressive MS but it cannot be used on a long-term basis because of the potential for cardiac toxicity. There are numerous drugs approved for the treatment of secondary progressive MS with relapses (also known as active secondary progressive MS) including Mayzent (siponimod), Mavenclad (cladribine), Vumerity (diroximel fumarate), Zeposia (ozanimod), Kesimpta (ofatumumab), Bafiertam (monomethyl fumarate), Ponvory (ponesimod), Briumvi (ublituximab-xiiy), Avonex (interferon beta-1a), Betaseron (interferon beta-1b), Rebif (interferon beta-1a), Extavia (interferon beta-1b), Plegridy (peginterferon beta-1a), Copaxone (glatiramer acetate), Glatopa (glatiramer acetate), Gilenya (fingolimod), Aubagio (teriflunomide), Tascenso ODT (fingolimod), Tecfidera (dimethyl fumarate), Lemtrada (alemtuzumab), Tysabri (natalizumab) and Tyruko (natalizumab-sztn). Ocrevus (ocrelizumab) is approved for the treatment of primary progressive MS and secondary progressive MS with relapses. There are no drugs specifically approved for the treatment of secondary progressive MS without relapses. Other programs in clinical development for progressive MS include Sanofi’s tolebrutinib, Roche’s fenebrutinib, and AB Science’s masitinib.</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Amyotrophic Lateral Sclerosis (ALS)</w:t>
      </w:r>
    </w:p>
    <w:p>
      <w:pPr>
        <w:spacing w:after="0" w:line="119" w:lineRule="exact"/>
        <w:rPr>
          <w:sz w:val="20"/>
          <w:szCs w:val="20"/>
          <w:color w:val="auto"/>
        </w:rPr>
      </w:pPr>
    </w:p>
    <w:p>
      <w:pPr>
        <w:ind w:right="360" w:firstLine="672"/>
        <w:spacing w:after="0" w:line="266" w:lineRule="auto"/>
        <w:rPr>
          <w:sz w:val="20"/>
          <w:szCs w:val="20"/>
          <w:color w:val="auto"/>
        </w:rPr>
      </w:pPr>
      <w:r>
        <w:rPr>
          <w:rFonts w:ascii="Times New Roman" w:cs="Times New Roman" w:eastAsia="Times New Roman" w:hAnsi="Times New Roman"/>
          <w:sz w:val="18"/>
          <w:szCs w:val="18"/>
          <w:color w:val="auto"/>
        </w:rPr>
        <w:t>Generic riluzole, which is also sold under the brand names Rilutek and Tiglutik, Radicava (edaravone), Relyvrio (sodium phenylbutyrate and taurursodiol), and Qalsody (tofersen) are approved for the treatment of ALS. We are aware of additional compounds in clinical development for the treatment of ALS at other companies including BrainStorm Cell Therapeutics, AB Science, Ionis Pharmaceuticals, and Clene.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Degenerative Cervical Myelopathy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pharmaceuticals currently approved for the treatment of degenerative cervical myelopathy.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Glioblastoma</w:t>
      </w:r>
    </w:p>
    <w:p>
      <w:pPr>
        <w:spacing w:after="0" w:line="119" w:lineRule="exact"/>
        <w:rPr>
          <w:sz w:val="20"/>
          <w:szCs w:val="20"/>
          <w:color w:val="auto"/>
        </w:rPr>
      </w:pPr>
    </w:p>
    <w:p>
      <w:pPr>
        <w:ind w:right="280" w:firstLine="659"/>
        <w:spacing w:after="0" w:line="266" w:lineRule="auto"/>
        <w:rPr>
          <w:sz w:val="20"/>
          <w:szCs w:val="20"/>
          <w:color w:val="auto"/>
        </w:rPr>
      </w:pPr>
      <w:r>
        <w:rPr>
          <w:rFonts w:ascii="Times New Roman" w:cs="Times New Roman" w:eastAsia="Times New Roman" w:hAnsi="Times New Roman"/>
          <w:sz w:val="18"/>
          <w:szCs w:val="18"/>
          <w:color w:val="auto"/>
        </w:rPr>
        <w:t>Surgery, radiation, and chemotherapy with the drug temozolomide is the current standard of treatment for glioblastoma. GLIADEL® WAFER (carmustine implant) and AVASTIN® (bevacizumab) are also approved for the treatment for glioblastoma. We are aware of additional compounds in development for the treatment of</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8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glioblastoma at other companies including Kazia Therapeutics, Kintara Therapeutics, Denovo Biopharma, Laminar Pharmaceuticals, and TVAX Biomedical.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Prevention of ARDS in patients with COVID-19</w:t>
      </w:r>
    </w:p>
    <w:p>
      <w:pPr>
        <w:spacing w:after="0" w:line="119" w:lineRule="exact"/>
        <w:rPr>
          <w:sz w:val="20"/>
          <w:szCs w:val="20"/>
          <w:color w:val="auto"/>
        </w:rPr>
      </w:pPr>
    </w:p>
    <w:p>
      <w:pPr>
        <w:ind w:firstLine="659"/>
        <w:spacing w:after="0" w:line="251" w:lineRule="auto"/>
        <w:rPr>
          <w:sz w:val="20"/>
          <w:szCs w:val="20"/>
          <w:color w:val="auto"/>
        </w:rPr>
      </w:pPr>
      <w:r>
        <w:rPr>
          <w:rFonts w:ascii="Times New Roman" w:cs="Times New Roman" w:eastAsia="Times New Roman" w:hAnsi="Times New Roman"/>
          <w:sz w:val="18"/>
          <w:szCs w:val="18"/>
          <w:color w:val="auto"/>
        </w:rPr>
        <w:t>While we are not aware of any other therapeutics that are in development specifically for this indication, we are aware of other therapeutics approved or in development for the treatment COVID-19. In October 2020, Gilead Sciences announced FDA approval of its antiviral drug Veklury (remdesivir) for the treatment of patients with COVID-19 requiring hospitalization. In November 2020, the FDA granted Emergency Use Authorization (EUA) for Eli Lilly's investigational neutralizing antibody bamlanivimab (LY-CoV555) for the treatment of COVID-19 patients at high risk for progressing to severe COVID-19 and/or hospitalization. In November 2020, Eli Lilly and Incyte announced that the FDA issued an EUA for the distribution and emergency use of baricitinib to be used in combination with remdesivir in hospitalized COVID-19 patients. In November 2020, Regeneron Pharmaceuticals announced that its multi-antibody therapy casirivimab and imdevimab administered together received EUA from the FDA for the treatment of COVID-19. In February 2021, the FDA issued an EUA for Eli Lilly's bamlanivimab and etesevimab, administered together, for the treatment of COVID-19 patients who are at high risk for progression to severe COVID-19. In May 2021, the FDA issued an EUA for GlaxoSmithKline’s sotrovimab for the treatment of COVID-19 patients who are at high risk for progression to severe COVID-19. In June 2021, the FDA issued an EUA for Roche’s Actemra (tocilizumab) for the treatment of hospitalized COVID-19 patients. In December 2021, Pfizer announced that the FDA granted an EUA for PAXLOVID (nirmatrelvir tablets and ritonavir tablets) for the treatment of mild to moderate COVID-19 in adults and pediatric patients (12 years of age and older weighing at least 40 kg) who are at high risk for progression to severe COVID-19. In December 2021, Merck and Ridgeback Biotherapeutics announced that the FDA granted an EUA for molnupiravir, an investigational oral antiviral, to treat mild to moderate COVID-19 in adults who are at high risk for progression to severe COVID-19 and for whom alternative COVID-19 treatment options authorized by the FDA are not accessible or clinically appropriate. In February 2022, the FDA issued an EUA for Eli Lilly's bebtelovimab for the treatment of mild to moderate COVID-19 in adults and pediatric patients who are at high risk for progression to severe COVID-19 and for whom alternative COVID-19 treatment options are not accessible or clinically appropriate. In November 2022, the FDA issued an EUA for Swedish Orphan Biovitrum's Kineret (anakinra) for the treatment of hospitalized COVID-19 adults with pneumonia requiring supplemental oxygen who are at risk for progressing to severe respiratory failure and are likely to have an elevated plasma soluble urokinase plasminogen activator receptor (suPAR). In April 2023, the FDA issued an EUA for InflaRx's Gohibic (vilobelimab) for the treatment of COVID-19 in hospitalized adults when initiated within 48 hours of receiving invasive mechanical ventilation or extracorporeal membrane oxygenation (artificial life support). We are aware of additional treatments in development for the treatment of COVID-19 at other companies including Merck, AstraZeneca, Gilead Sciences, and Rigel Pharmaceuticals.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 for Nonalcoholic Steatohepatitis (NASH) and Nonalcoholic Fatty Liver Disease (NAFLD)</w:t>
      </w:r>
    </w:p>
    <w:p>
      <w:pPr>
        <w:spacing w:after="0" w:line="133" w:lineRule="exact"/>
        <w:rPr>
          <w:sz w:val="20"/>
          <w:szCs w:val="20"/>
          <w:color w:val="auto"/>
        </w:rPr>
      </w:pPr>
    </w:p>
    <w:p>
      <w:pPr>
        <w:ind w:right="460" w:firstLine="560"/>
        <w:spacing w:after="0" w:line="266" w:lineRule="auto"/>
        <w:rPr>
          <w:sz w:val="20"/>
          <w:szCs w:val="20"/>
          <w:color w:val="auto"/>
        </w:rPr>
      </w:pPr>
      <w:r>
        <w:rPr>
          <w:rFonts w:ascii="Times New Roman" w:cs="Times New Roman" w:eastAsia="Times New Roman" w:hAnsi="Times New Roman"/>
          <w:sz w:val="18"/>
          <w:szCs w:val="18"/>
          <w:color w:val="auto"/>
        </w:rPr>
        <w:t>There is currently one pharmaceutical approved for the treatment of NASH or NAFLD, which is Rezdiffera developed by Madrigal Pharmaceuticals. We are aware of compounds in clinical development for the treatment of NASH or NAFLD at other companies including Galectin Therapeutics, Gilead Sciences, Galmed Pharmaceuticals, Pfizer, Novo Nordisk, and Merck.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3" w:name="page24"/>
    <w:bookmarkEnd w:id="23"/>
    <w:p>
      <w:pPr>
        <w:ind w:right="120" w:firstLine="560"/>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 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 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Regulatory Approval</w:t>
      </w:r>
    </w:p>
    <w:p>
      <w:pPr>
        <w:spacing w:after="0" w:line="117" w:lineRule="exact"/>
        <w:rPr>
          <w:sz w:val="20"/>
          <w:szCs w:val="20"/>
          <w:color w:val="auto"/>
        </w:rPr>
      </w:pPr>
    </w:p>
    <w:p>
      <w:pPr>
        <w:ind w:right="60" w:firstLine="5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In the United States, drugs and drug testing are regulated by the FDA under the Federal Food, Drug and Cosmetic Act (FDCA)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state and local government authorities. All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99" w:lineRule="exact"/>
        <w:rPr>
          <w:sz w:val="20"/>
          <w:szCs w:val="20"/>
          <w:color w:val="auto"/>
        </w:rPr>
      </w:pPr>
    </w:p>
    <w:p>
      <w:pPr>
        <w:ind w:left="1320" w:hanging="378"/>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animal studies, and formulation studies;</w:t>
      </w:r>
    </w:p>
    <w:p>
      <w:pPr>
        <w:spacing w:after="0" w:line="252" w:lineRule="exact"/>
        <w:rPr>
          <w:rFonts w:ascii="Times New Roman" w:cs="Times New Roman" w:eastAsia="Times New Roman" w:hAnsi="Times New Roman"/>
          <w:sz w:val="18"/>
          <w:szCs w:val="18"/>
          <w:color w:val="auto"/>
        </w:rPr>
      </w:pPr>
    </w:p>
    <w:p>
      <w:pPr>
        <w:ind w:left="1320" w:hanging="378"/>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IND application which must become effective before human clinical trials may begin in the United States;</w:t>
      </w:r>
    </w:p>
    <w:p>
      <w:pPr>
        <w:spacing w:after="0" w:line="238" w:lineRule="exact"/>
        <w:rPr>
          <w:rFonts w:ascii="Times New Roman" w:cs="Times New Roman" w:eastAsia="Times New Roman" w:hAnsi="Times New Roman"/>
          <w:sz w:val="18"/>
          <w:szCs w:val="18"/>
          <w:color w:val="auto"/>
        </w:rPr>
      </w:pPr>
    </w:p>
    <w:p>
      <w:pPr>
        <w:ind w:left="1320" w:right="320" w:hanging="378"/>
        <w:spacing w:after="0" w:line="282"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adequate and well-controlled human clinical trials to establish the safety and efficacy of the product candidate for each indication for which approval is sought;</w:t>
      </w:r>
    </w:p>
    <w:p>
      <w:pPr>
        <w:spacing w:after="0" w:line="175" w:lineRule="exact"/>
        <w:rPr>
          <w:rFonts w:ascii="Times New Roman" w:cs="Times New Roman" w:eastAsia="Times New Roman" w:hAnsi="Times New Roman"/>
          <w:sz w:val="18"/>
          <w:szCs w:val="18"/>
          <w:color w:val="auto"/>
        </w:rPr>
      </w:pPr>
    </w:p>
    <w:p>
      <w:pPr>
        <w:ind w:left="1320" w:hanging="378"/>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accompanied by a substantial user fee;</w:t>
      </w:r>
    </w:p>
    <w:p>
      <w:pPr>
        <w:spacing w:after="0" w:line="252" w:lineRule="exact"/>
        <w:rPr>
          <w:rFonts w:ascii="Times New Roman" w:cs="Times New Roman" w:eastAsia="Times New Roman" w:hAnsi="Times New Roman"/>
          <w:sz w:val="18"/>
          <w:szCs w:val="18"/>
          <w:color w:val="auto"/>
        </w:rPr>
      </w:pPr>
    </w:p>
    <w:p>
      <w:pPr>
        <w:ind w:left="1320" w:hanging="378"/>
        <w:spacing w:after="0" w:line="266"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189" w:lineRule="exact"/>
        <w:rPr>
          <w:rFonts w:ascii="Times New Roman" w:cs="Times New Roman" w:eastAsia="Times New Roman" w:hAnsi="Times New Roman"/>
          <w:sz w:val="18"/>
          <w:szCs w:val="18"/>
          <w:color w:val="auto"/>
        </w:rPr>
      </w:pPr>
    </w:p>
    <w:p>
      <w:pPr>
        <w:ind w:left="1320" w:right="300" w:hanging="378"/>
        <w:spacing w:after="0" w:line="282"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62" w:lineRule="exact"/>
        <w:rPr>
          <w:sz w:val="20"/>
          <w:szCs w:val="20"/>
          <w:color w:val="auto"/>
        </w:rPr>
      </w:pPr>
    </w:p>
    <w:p>
      <w:pPr>
        <w:ind w:right="160" w:firstLine="560"/>
        <w:spacing w:after="0" w:line="261" w:lineRule="auto"/>
        <w:rPr>
          <w:sz w:val="20"/>
          <w:szCs w:val="20"/>
          <w:color w:val="auto"/>
        </w:rPr>
      </w:pPr>
      <w:r>
        <w:rPr>
          <w:rFonts w:ascii="Times New Roman" w:cs="Times New Roman" w:eastAsia="Times New Roman" w:hAnsi="Times New Roman"/>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78" w:lineRule="exact"/>
        <w:rPr>
          <w:sz w:val="20"/>
          <w:szCs w:val="20"/>
          <w:color w:val="auto"/>
        </w:rPr>
      </w:pPr>
    </w:p>
    <w:p>
      <w:pPr>
        <w:ind w:right="160" w:firstLine="5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Preclinical Tests. </w:t>
      </w:r>
      <w:r>
        <w:rPr>
          <w:rFonts w:ascii="Times New Roman" w:cs="Times New Roman" w:eastAsia="Times New Roman" w:hAnsi="Times New Roman"/>
          <w:sz w:val="18"/>
          <w:szCs w:val="18"/>
          <w:color w:val="auto"/>
        </w:rPr>
        <w:t>Preclinical tests include laboratory evaluation of the product candidate, its chemistry, toxicity, formulation and stability,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ind w:right="140" w:firstLine="5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IND Process. </w:t>
      </w:r>
      <w:r>
        <w:rPr>
          <w:rFonts w:ascii="Times New Roman" w:cs="Times New Roman" w:eastAsia="Times New Roman" w:hAnsi="Times New Roman"/>
          <w:sz w:val="18"/>
          <w:szCs w:val="18"/>
          <w:color w:val="auto"/>
        </w:rPr>
        <w:t>An IND must be effective to administer an investigational drug to humans. The IND will automatically become effective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184" w:lineRule="exact"/>
        <w:rPr>
          <w:sz w:val="20"/>
          <w:szCs w:val="20"/>
          <w:color w:val="auto"/>
        </w:rPr>
      </w:pPr>
    </w:p>
    <w:p>
      <w:pPr>
        <w:ind w:right="280" w:firstLine="560"/>
        <w:spacing w:after="0" w:line="266" w:lineRule="auto"/>
        <w:rPr>
          <w:sz w:val="20"/>
          <w:szCs w:val="20"/>
          <w:color w:val="auto"/>
        </w:rPr>
      </w:pPr>
      <w:r>
        <w:rPr>
          <w:rFonts w:ascii="Times New Roman" w:cs="Times New Roman" w:eastAsia="Times New Roman" w:hAnsi="Times New Roman"/>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Clinical Trials. </w:t>
      </w:r>
      <w:r>
        <w:rPr>
          <w:rFonts w:ascii="Times New Roman" w:cs="Times New Roman" w:eastAsia="Times New Roman" w:hAnsi="Times New Roman"/>
          <w:sz w:val="18"/>
          <w:szCs w:val="18"/>
          <w:color w:val="auto"/>
        </w:rPr>
        <w:t>Human clinical trials are typically conducted in three sequential phases that may overlap:</w:t>
      </w:r>
    </w:p>
    <w:p>
      <w:pPr>
        <w:spacing w:after="0" w:line="241" w:lineRule="exact"/>
        <w:rPr>
          <w:sz w:val="20"/>
          <w:szCs w:val="20"/>
          <w:color w:val="auto"/>
        </w:rPr>
      </w:pPr>
    </w:p>
    <w:p>
      <w:pPr>
        <w:ind w:left="1320" w:hanging="376"/>
        <w:spacing w:after="0" w:line="266"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candidate is initially introduced into a small number of healthy human subjects or patients and tested for safety, dosage tolerance, absorption, distribution, excretion and metabolism. If the investigational product is considered too inherently toxic to ethically administer to healthy volunteers, the initial human testing is often conducted in the target population.</w:t>
      </w:r>
    </w:p>
    <w:p>
      <w:pPr>
        <w:spacing w:after="0" w:line="202" w:lineRule="exact"/>
        <w:rPr>
          <w:rFonts w:ascii="Times New Roman" w:cs="Times New Roman" w:eastAsia="Times New Roman" w:hAnsi="Times New Roman"/>
          <w:sz w:val="18"/>
          <w:szCs w:val="18"/>
          <w:color w:val="auto"/>
        </w:rPr>
      </w:pPr>
    </w:p>
    <w:p>
      <w:pPr>
        <w:ind w:left="1320" w:right="700" w:hanging="376"/>
        <w:spacing w:after="0" w:line="282"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drug candidate is introduced into a limited patient population to assess the efficacy of the drug in specific, targeted indications, assess dosage tolerance and optimal dosage, and to identify possible adverse effects and safety risks.</w:t>
      </w:r>
    </w:p>
    <w:p>
      <w:pPr>
        <w:spacing w:after="0" w:line="175" w:lineRule="exact"/>
        <w:rPr>
          <w:rFonts w:ascii="Times New Roman" w:cs="Times New Roman" w:eastAsia="Times New Roman" w:hAnsi="Times New Roman"/>
          <w:sz w:val="18"/>
          <w:szCs w:val="18"/>
          <w:color w:val="auto"/>
        </w:rPr>
      </w:pPr>
    </w:p>
    <w:p>
      <w:pPr>
        <w:ind w:left="1320" w:right="280" w:hanging="376"/>
        <w:spacing w:after="0" w:line="261"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drug candidate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180" w:lineRule="exact"/>
        <w:rPr>
          <w:sz w:val="20"/>
          <w:szCs w:val="20"/>
          <w:color w:val="auto"/>
        </w:rPr>
      </w:pPr>
    </w:p>
    <w:p>
      <w:pPr>
        <w:ind w:right="360" w:firstLine="560"/>
        <w:spacing w:after="0" w:line="282" w:lineRule="auto"/>
        <w:rPr>
          <w:sz w:val="20"/>
          <w:szCs w:val="20"/>
          <w:color w:val="auto"/>
        </w:rPr>
      </w:pPr>
      <w:r>
        <w:rPr>
          <w:rFonts w:ascii="Times New Roman" w:cs="Times New Roman" w:eastAsia="Times New Roman" w:hAnsi="Times New Roman"/>
          <w:sz w:val="18"/>
          <w:szCs w:val="18"/>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62" w:lineRule="exact"/>
        <w:rPr>
          <w:sz w:val="20"/>
          <w:szCs w:val="20"/>
          <w:color w:val="auto"/>
        </w:rPr>
      </w:pPr>
    </w:p>
    <w:p>
      <w:pPr>
        <w:ind w:right="140" w:firstLine="560"/>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89" w:lineRule="exact"/>
        <w:rPr>
          <w:sz w:val="20"/>
          <w:szCs w:val="20"/>
          <w:color w:val="auto"/>
        </w:rPr>
      </w:pPr>
    </w:p>
    <w:p>
      <w:pPr>
        <w:ind w:right="120" w:firstLine="560"/>
        <w:spacing w:after="0" w:line="256" w:lineRule="auto"/>
        <w:rPr>
          <w:sz w:val="20"/>
          <w:szCs w:val="20"/>
          <w:color w:val="auto"/>
        </w:rPr>
      </w:pPr>
      <w:r>
        <w:rPr>
          <w:rFonts w:ascii="Times New Roman" w:cs="Times New Roman" w:eastAsia="Times New Roman" w:hAnsi="Times New Roman"/>
          <w:sz w:val="18"/>
          <w:szCs w:val="18"/>
          <w:color w:val="auto"/>
        </w:rPr>
        <w:t>During the development of a new drug, we may request to meet with the FDA at times such as prior to submitting an IND, at the End-of-Phase 2 meeting, and before an NDA is submitted, and meetings are not limited to these certain times. The purpose of the End-of-Phase 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agreement with the FDA on the Phase 3 clinical trial protocol design and analysis that will form the primary basis of an efficacy claim.</w:t>
      </w:r>
    </w:p>
    <w:p>
      <w:pPr>
        <w:spacing w:after="0" w:line="223" w:lineRule="exact"/>
        <w:rPr>
          <w:sz w:val="20"/>
          <w:szCs w:val="20"/>
          <w:color w:val="auto"/>
        </w:rPr>
      </w:pPr>
    </w:p>
    <w:p>
      <w:pPr>
        <w:ind w:right="400" w:firstLine="5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Fast Track Designation: </w:t>
      </w:r>
      <w:r>
        <w:rPr>
          <w:rFonts w:ascii="Times New Roman" w:cs="Times New Roman" w:eastAsia="Times New Roman" w:hAnsi="Times New Roman"/>
          <w:sz w:val="18"/>
          <w:szCs w:val="18"/>
          <w:color w:val="auto"/>
        </w:rPr>
        <w:t>The FDA has a Fast Track program that is intended to expedite or facilitate the process for reviewing new drugs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5"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88"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United States Patent Term Restoration and Marketing Exclusivity: </w:t>
      </w:r>
      <w:r>
        <w:rPr>
          <w:rFonts w:ascii="Times New Roman" w:cs="Times New Roman" w:eastAsia="Times New Roman" w:hAnsi="Times New Roman"/>
          <w:sz w:val="18"/>
          <w:szCs w:val="18"/>
          <w:color w:val="auto"/>
        </w:rPr>
        <w:t>Depending upon the timing, duration and specifics of the FDA approval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 candidate, 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94" w:lineRule="exact"/>
        <w:rPr>
          <w:sz w:val="20"/>
          <w:szCs w:val="20"/>
          <w:color w:val="auto"/>
        </w:rPr>
      </w:pPr>
    </w:p>
    <w:p>
      <w:pPr>
        <w:ind w:right="220" w:firstLine="560"/>
        <w:spacing w:after="0" w:line="266"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26" w:name="page27"/>
    <w:bookmarkEnd w:id="26"/>
    <w:p>
      <w:pPr>
        <w:spacing w:after="0" w:line="252" w:lineRule="auto"/>
        <w:rPr>
          <w:sz w:val="20"/>
          <w:szCs w:val="20"/>
          <w:color w:val="auto"/>
        </w:rPr>
      </w:pPr>
      <w:r>
        <w:rPr>
          <w:rFonts w:ascii="Times New Roman" w:cs="Times New Roman" w:eastAsia="Times New Roman" w:hAnsi="Times New Roman"/>
          <w:sz w:val="18"/>
          <w:szCs w:val="18"/>
          <w:color w:val="auto"/>
        </w:rPr>
        <w:t>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the preclinical studies and adequate and well-controlled clinical trials necessary 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95" w:lineRule="exact"/>
        <w:rPr>
          <w:sz w:val="20"/>
          <w:szCs w:val="20"/>
          <w:color w:val="auto"/>
        </w:rPr>
      </w:pPr>
    </w:p>
    <w:p>
      <w:pPr>
        <w:ind w:right="280" w:firstLine="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Regulation Outside the United States: </w:t>
      </w:r>
      <w:r>
        <w:rPr>
          <w:rFonts w:ascii="Times New Roman" w:cs="Times New Roman" w:eastAsia="Times New Roman" w:hAnsi="Times New Roman"/>
          <w:sz w:val="18"/>
          <w:szCs w:val="18"/>
          <w:color w:val="auto"/>
        </w:rPr>
        <w:t>In addition to regulations in the United States, we and our strategic alliance partners will be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regulations in other jurisdictions governing, among other things, clinical trials and any commercial sales and distribution of our products.</w:t>
      </w:r>
    </w:p>
    <w:p>
      <w:pPr>
        <w:spacing w:after="0" w:line="160" w:lineRule="exact"/>
        <w:rPr>
          <w:sz w:val="20"/>
          <w:szCs w:val="20"/>
          <w:color w:val="auto"/>
        </w:rPr>
      </w:pPr>
    </w:p>
    <w:p>
      <w:pPr>
        <w:ind w:right="120" w:firstLine="560"/>
        <w:spacing w:after="0" w:line="25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87" w:lineRule="exact"/>
        <w:rPr>
          <w:sz w:val="20"/>
          <w:szCs w:val="20"/>
          <w:color w:val="auto"/>
        </w:rPr>
      </w:pPr>
    </w:p>
    <w:p>
      <w:pPr>
        <w:ind w:right="220" w:firstLine="560"/>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right="40" w:firstLine="560"/>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except for, among other things, country-specific document requirements.</w:t>
      </w:r>
    </w:p>
    <w:p>
      <w:pPr>
        <w:spacing w:after="0" w:line="176" w:lineRule="exact"/>
        <w:rPr>
          <w:sz w:val="20"/>
          <w:szCs w:val="20"/>
          <w:color w:val="auto"/>
        </w:rPr>
      </w:pPr>
    </w:p>
    <w:p>
      <w:pPr>
        <w:jc w:val="both"/>
        <w:ind w:right="120" w:firstLine="560"/>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right="100" w:firstLine="560"/>
        <w:spacing w:after="0" w:line="282" w:lineRule="auto"/>
        <w:rPr>
          <w:sz w:val="20"/>
          <w:szCs w:val="20"/>
          <w:color w:val="auto"/>
        </w:rPr>
      </w:pPr>
      <w:r>
        <w:rPr>
          <w:rFonts w:ascii="Times New Roman" w:cs="Times New Roman" w:eastAsia="Times New Roman" w:hAnsi="Times New Roman"/>
          <w:sz w:val="18"/>
          <w:szCs w:val="18"/>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27" w:name="page28"/>
    <w:bookmarkEnd w:id="27"/>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380" w:firstLine="560"/>
        <w:spacing w:after="0" w:line="266" w:lineRule="auto"/>
        <w:rPr>
          <w:sz w:val="20"/>
          <w:szCs w:val="20"/>
          <w:color w:val="auto"/>
        </w:rPr>
      </w:pPr>
      <w:r>
        <w:rPr>
          <w:rFonts w:ascii="Times New Roman" w:cs="Times New Roman" w:eastAsia="Times New Roman" w:hAnsi="Times New Roman"/>
          <w:sz w:val="18"/>
          <w:szCs w:val="18"/>
          <w:color w:val="auto"/>
        </w:rPr>
        <w:t>We have assembled an experienced and cohesive management and support team, with core competencies in general management, clinical development, regulatory affairs and corporate development. We have six employees as of the date of this report, all of which are full-time. We believe that our relations with our employees are good, and we have no history of work stoppages.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35" w:lineRule="exact"/>
        <w:rPr>
          <w:sz w:val="20"/>
          <w:szCs w:val="20"/>
          <w:color w:val="auto"/>
        </w:rPr>
      </w:pPr>
    </w:p>
    <w:p>
      <w:pPr>
        <w:ind w:right="140" w:firstLine="560"/>
        <w:spacing w:after="0" w:line="261" w:lineRule="auto"/>
        <w:rPr>
          <w:sz w:val="20"/>
          <w:szCs w:val="20"/>
          <w:color w:val="auto"/>
        </w:rPr>
      </w:pPr>
      <w:r>
        <w:rPr>
          <w:rFonts w:ascii="Times New Roman" w:cs="Times New Roman" w:eastAsia="Times New Roman" w:hAnsi="Times New Roman"/>
          <w:sz w:val="18"/>
          <w:szCs w:val="18"/>
          <w:color w:val="auto"/>
        </w:rPr>
        <w:t>We were originally incorporated in the State of Delaware in September 2000. Our principal executive offices are located at 4275 Executive Square, Suite 300, La Jolla, CA 92037. Our telephone number is 858-373-1500. Our website is www.medicinova.com, which includes links to reports we have filed with the Securities and Exchange Commission (SEC). The information contained in, or that can be accessed through, our website is not part of, and is not incorporated into,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Securities and Exchange Commission (SEC). Other events that we do not currently anticipate or that we currently deem immaterial may also affect our results of operations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that we will incur continued losses for the foreseeable future.</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in September 2000. For the years ended December 31, 2025 and 2024, we had a net loss of $12.0 million and $11 million, respectively. As of December 31, 2025 and December 31, 2024, our accumulated deficit was $438.7 million and $426.8 million, respectively. We expect to incur substantial net losses for the next several years as we continue to develop certain of our existing product candidates, and over the long-term if we expand our research and development programs and acquire or in-license products, technologies or businesses that are complementary to our own. Additionally, the net losses we incur may fluctuate significantly from quarter to quarter such that a period-to-period comparison of our results of operations may not be a good indicator of our future performance. As of December 31, 2025, we had available cash and cash equivalents of $30.8 million and working capital of $27.2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cash requirements will also depend on many factors, including:</w:t>
      </w:r>
    </w:p>
    <w:p>
      <w:pPr>
        <w:spacing w:after="0" w:line="239"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and the costs of future planned clinical trials and other research and development activities;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product development programs;</w:t>
      </w:r>
    </w:p>
    <w:p>
      <w:pPr>
        <w:spacing w:after="0" w:line="23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agreements and other arrangements;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22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or commercial production of our product candidates;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expansion of our management, personnel, systems and facilities;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operations or wind-down of any business we may acquire;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rapid increases in interest rates;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prosecuting, enforcing and defending patent claims and other intellectual property rights; and</w:t>
      </w:r>
    </w:p>
    <w:p>
      <w:pPr>
        <w:spacing w:after="0" w:line="23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and commercialization activities if we obtain regulatory approval to market our product candidates.</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moderately in 2026 relative to 2025 as we continue development of MN-166 (ibudilast), MN-001 (tipelukast), and any other future product candidates.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53"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If we have taxable income in the future, utilization of the net operating losses (NOL) and tax credit carryforwards will be subject to a substantial annual limitation under Sections 382 and 383 of the Internal Revenue Code of 1986, and similar state provisions due to ownership change limitations that have occurred, which will limit the amount of NOL and tax credit carryforwards that can be utilized to offset future taxable income and tax, respectively. We have conducted a study and determined that, through December 31, 2023, no ownership changes have occurred. There is a risk that additional changes in ownership have occurred since the completion of our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1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additional funding to complete the development and any commercialization of our product candidates, if approved. If we fail to obtain this capital necessary to fund our operations, we will be forced to significantly delay, scale back or eliminate some or all of our clinical or regulatory activities or other operations.</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consumed substantial amounts of capital since our inception in September 2000.</w:t>
      </w:r>
    </w:p>
    <w:p>
      <w:pPr>
        <w:spacing w:after="0" w:line="185"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As of the date of this report, we believe we have sufficient working capital to fund operations at least through the next twelve months following the filing of this Annual Report on Form 10-K. 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or at all.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any products that are approved for commercial sale and therefore currently generate no revenues from sales of any products and may never generate any revenues from product sales or be profitable in the foreseeable future, if ever.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9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To date, we have funded our operations primarily from sales of our securities and, to a lesser extent, debt financing. We do not have any products that are approved for commercial sale and do not anticipate generating any product revenue unless and until one of our product candidates receives the regulatory approvals necessary for commercialization in one or more jurisdictions. We do not expect to receive any revenues from the commercialization of our product candidates for the next several years, if at all.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64"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we have never had any products approved for commercial sale. We cannot guarantee that we will ever have any drug products approved for sale. The research, testing, manufacturing, labeling, approval, sales, marketing and distribution of drug products are subject to extensive regulation by the Food and Drug Administration (FDA) and comparable regulatory authorities in other countries. We are not permitted to market any of our product candidates in the United States or other jurisdictions until we submit and receive approval of a New Drug Application (NDA) for a product candidate from the FDA or its foreign equivalent from a foreign regulatory authority, as applicable. Obtaining FDA approval is a lengthy, expensive and uncertain process. To date we have invested a substantial majority of our business efforts and financial resources in the development and commercialization of our MN-166 (ibudilast) and MN-001 (tipelukast) product candidates. Our future success is dependent on our ability to successfully develop, obtain regulatory approval for, and commercialize MN-166 (ibudilast) and MN-001 (tipelukast) and we cannot accurately predict when or if either MN-166 (ibudilast) or MN-001 (tipelukast) will receive regulatory approval. Neither of these product candidates have completed the clinical development process, and therefore we have not submitted an NDA or foreign equivalent or received marketing approval for either product candidate.</w:t>
      </w:r>
    </w:p>
    <w:p>
      <w:pPr>
        <w:spacing w:after="0" w:line="151"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clinical development program for our product candidates may not lead to commercial products for a number of reasons, including our clinical trials’ failure to demonstrate to the FDA’s satisfaction that the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64"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Our product candidates are subject to the risks of failure inherent in drug development. We will be required to demonstrate through well-controlled clinical trials that our product candidates are safe and effective for use in a diverse population for the relevant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w:t>
      </w:r>
    </w:p>
    <w:p>
      <w:pPr>
        <w:spacing w:after="0" w:line="148"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A number of companies have suffered significant setbacks in the advancement of clinical trials, even after earlier clinical trials have shown promising results and we cannot be certain that we will not face similar setbacks. Any of our planned clinical trials for our product candidates may not be successful for a variety of reasons,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7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"top-line" data from our clinical trials that we announce or publish from time to time may change as more patient data becomes available and is subject to audit and verification procedures that could result in material changes in the final data.</w:t>
      </w:r>
    </w:p>
    <w:p>
      <w:pPr>
        <w:spacing w:after="0" w:line="51"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We have, and from time to time, we may publicly disclose interim, top-line or preliminary data from the clinical trials we conduct, which are based on a preliminary analysis of then-available data. The final results from these clinical trials and any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In addition, interim data from clinical trials that we may complete are subject to the risk that one or more of the clinical outcomes may materially change as patient enrollment continues and more patient data becomes available. As a result, the top-line or preliminary results that we report may differ from future results of the same trial, or different conclusions or considerations may qualify such results, once additional data has been received and fully evaluated. Top-line or preliminary data also remains subject to audit and verification procedures that may result in the final data being materially different from the top-line or preliminary data we previously published. As a result, top-line and preliminary data should be viewed with caution until final data is available and published. Adverse differences between interim data and final data could significantly harm our business prospects. Further, disclosure of interim data by us or by our competitors could result in volatility in the price of our common stock.</w:t>
      </w:r>
    </w:p>
    <w:p>
      <w:pPr>
        <w:spacing w:after="0" w:line="84" w:lineRule="exact"/>
        <w:rPr>
          <w:sz w:val="20"/>
          <w:szCs w:val="20"/>
          <w:color w:val="auto"/>
        </w:rPr>
      </w:pPr>
    </w:p>
    <w:p>
      <w:pPr>
        <w:ind w:firstLine="539"/>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the product candidates we develop may be harmed, which could harm our business, financial condition, results of operations and prospects.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attempts to develop MN-001 (tipelukast) in Nonalcoholic Steatohepatitis (NASH) and Nonalcoholic Fatty Liver Disease (NAFLD) may detract from our efforts to develop other product candidates and may limit the effectiveness of our product development efforts as a whole.</w:t>
      </w:r>
    </w:p>
    <w:p>
      <w:pPr>
        <w:spacing w:after="0" w:line="51" w:lineRule="exact"/>
        <w:rPr>
          <w:sz w:val="20"/>
          <w:szCs w:val="20"/>
          <w:color w:val="auto"/>
        </w:rPr>
      </w:pPr>
    </w:p>
    <w:p>
      <w:pPr>
        <w:ind w:right="560" w:firstLine="374"/>
        <w:spacing w:after="0" w:line="282" w:lineRule="auto"/>
        <w:rPr>
          <w:sz w:val="20"/>
          <w:szCs w:val="20"/>
          <w:color w:val="auto"/>
        </w:rPr>
      </w:pPr>
      <w:r>
        <w:rPr>
          <w:rFonts w:ascii="Times New Roman" w:cs="Times New Roman" w:eastAsia="Times New Roman" w:hAnsi="Times New Roman"/>
          <w:sz w:val="18"/>
          <w:szCs w:val="18"/>
          <w:color w:val="auto"/>
        </w:rPr>
        <w:t>We have decided to pursue development of MN-001 (tipelukast) in NASH and NAFLD. These activities may divert financial and management resources from our other product development activities and may limit our ability to complete or continue those other programs.</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commercialize a therapeutic drug successfully, a product candidate must receive regulatory approval after the successful completion of clinical trials, which can be lengthy, complex and costly, have a high risk of failure and can be delayed or terminated at any time.</w:t>
      </w:r>
    </w:p>
    <w:p>
      <w:pPr>
        <w:spacing w:after="0" w:line="64"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Our product candidates are subject to extensive government regulations related to development, clinical trials, manufacturing and commercialization. The process of obtaining FDA and other regulatory approvals is lengthy,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complex, expensive, takes many years and has an uncertain outcome. To date, we have obtained regulatory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9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authorization to conduct clinical trials for our product development programs. Investigational New Drug Applications were approved by the FDA and are active for our product candidates.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It may take years to complete the clinical development necessary to commercialize our product candidates,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conduct of clinical trials for each of our product candidates, we face many risks, including the risks that:</w:t>
      </w:r>
    </w:p>
    <w:p>
      <w:pPr>
        <w:spacing w:after="0" w:line="252"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prove to be effective in treating the targeted indication;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participants and/or patients may experience serious adverse events or other undesirable drug-related side effects;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confirm the positive results of earlier trials;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not agree with our proposed development plans or accept the results of completed clinical trials; and</w:t>
      </w:r>
    </w:p>
    <w:p>
      <w:pPr>
        <w:spacing w:after="0" w:line="238"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4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regulation of our product candidates, which could delay the development and commercialization of our product candidates.</w:t>
      </w:r>
    </w:p>
    <w:p>
      <w:pPr>
        <w:spacing w:after="0" w:line="135"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We, our third party manufacturers, service providers, suppliers and partners, if any,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9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5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61"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w:t>
      </w:r>
    </w:p>
    <w:p>
      <w:pPr>
        <w:spacing w:after="0" w:line="135"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143"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commercial good manufacturing practices (cGMPs), a regulatory agency may:</w:t>
      </w:r>
    </w:p>
    <w:p>
      <w:pPr>
        <w:spacing w:after="0" w:line="21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221" w:lineRule="exact"/>
        <w:rPr>
          <w:sz w:val="20"/>
          <w:szCs w:val="20"/>
          <w:color w:val="auto"/>
        </w:rPr>
      </w:pPr>
    </w:p>
    <w:p>
      <w:pPr>
        <w:ind w:left="760" w:right="14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other civil or criminal penalties;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regulatory approval;</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filed by 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operations, including costly new manufacturing requirements; or</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a product recall.</w:t>
      </w:r>
    </w:p>
    <w:p>
      <w:pPr>
        <w:spacing w:after="0" w:line="225"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The FDA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0"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Moreover, 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w:t>
      </w:r>
    </w:p>
    <w:p>
      <w:pPr>
        <w:spacing w:after="0" w:line="187"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76"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Further,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However, the specific, lasting effects of these decisions, which may vary within different judicial districts and circuits, is unknown. We also cannot predict the extent to which FDA and SEC regulations, policies, and decisions may become subject to increasing legal challenges, delays, and changes. For example, these cases may result in increased litigation by companies against the FDA, and impact the FDA’s authority, lead to uncertainties in the industry, and disrupt the FDA’s normal operations, which could impact the timely review of any regulatory filings or applications we submit to the FDA.</w:t>
      </w:r>
    </w:p>
    <w:p>
      <w:pPr>
        <w:spacing w:after="0" w:line="188"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Further, if a prolonged government shutdown occurs, or if global health concerns prevent the FDA or other regulatory authorities from conducting their regular inspections, reviews, or other regulatory activities, it could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significantly impact the ability of the FDA or other regulatory authorities to timely review and process our regulatory submissions, which could have a material adverse effect on our business.</w:t>
      </w:r>
    </w:p>
    <w:p>
      <w:pPr>
        <w:spacing w:after="0" w:line="158"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and/or Orphan Drug designation for certain of our product candidates and may seek such designation, breakthrough therapy and/or priority review for other product candidates in the future. We may not receive such designations, and even if we do, we may not maintain such designations, and such designations may not lead to faster development, regulatory review or approval, and will not increase the likelihood that the product candidate will receive marketing approval.</w:t>
      </w:r>
    </w:p>
    <w:p>
      <w:pPr>
        <w:spacing w:after="0" w:line="140"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We have received Fast Track designation for certain of our product candidates, including MN-001 (tipelukast) for the potential treatment of NASH with fibrosis and MN-166 (ibudilast) for the potential treatment of progressive MS, the potential treatment of Amyotrophic Lateral Sclerosis (ALS) and we hope to benefit from the FDA’s Fast Track and priority review programs.</w:t>
      </w:r>
    </w:p>
    <w:p>
      <w:pPr>
        <w:spacing w:after="0" w:line="14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Product candidates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The receipt of Fast Track designation for a product candidate may not result in a faster development or regulatory review or approval process compared to products considered for approval under conventional FDA procedures and does not assure ultimate approval by the FDA. In addition, even if any product candidate qualifies for Fast Track designation, the FDA may later decide that the product candidates no longer meet the conditions for qualification or decide that the time period for FDA review or approval will not be shortened. Fast Track designation alone does not guarantee qualification for the FDA’s priority review procedures.</w:t>
      </w:r>
    </w:p>
    <w:p>
      <w:pPr>
        <w:spacing w:after="0" w:line="154" w:lineRule="exact"/>
        <w:rPr>
          <w:sz w:val="20"/>
          <w:szCs w:val="20"/>
          <w:color w:val="auto"/>
        </w:rPr>
      </w:pPr>
    </w:p>
    <w:p>
      <w:pPr>
        <w:ind w:right="60" w:firstLine="374"/>
        <w:spacing w:after="0" w:line="252" w:lineRule="auto"/>
        <w:rPr>
          <w:sz w:val="20"/>
          <w:szCs w:val="20"/>
          <w:color w:val="auto"/>
        </w:rPr>
      </w:pPr>
      <w:r>
        <w:rPr>
          <w:rFonts w:ascii="Times New Roman" w:cs="Times New Roman" w:eastAsia="Times New Roman" w:hAnsi="Times New Roman"/>
          <w:sz w:val="18"/>
          <w:szCs w:val="18"/>
          <w:color w:val="auto"/>
        </w:rPr>
        <w:t>We have also received Orphan Drug designation for several of our product candidates, including for MN-166 (ibudilast) for the potential treatment of ALS. We may not be able to obtain or maintain Orphan Drug exclusivity in the United States for those product candidates.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FDA marketing approval for an indication broader than the orphan designated indication. Additionally, any product candidate with Orphan Drug designation may lose such designation if the FDA later determines that the request for designation was materially defective or if the manufacturer is unable to assure sufficient quantities of the product to meet the needs of patients with the rare disease or condition.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later determines that the request for designation was materially defective or if the manufacturer is unable to assure sufficient quantity of the drug to meet the needs of patients with the rare disease or condition. In addition, others may obtain Orphan Drug exclusivity for products addressing the same diseases or conditions as products we are developing, thus limiting our ability to compete in the markets addressing such diseases or conditions for a significant period of time.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57"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or for which there is no reasonable expectation that the cost of developing and making available in the United States a drug for a disease or condition will be recovered from sales in the United States for that drug. If a product that has Orphan Drug designation subsequently receives the first FDA approval for the indication for which it has such designation, the product is entitled to orphan product exclusivity, which means that the FDA may not approve any other applications, including a full NDA, to market the same drug or biologic for the same indication for seven years, except in limited circumstances, such as a showing of clinical superiority to the product with orphan drug exclusivity.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3"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may seek priority review with the FDA (review within a six-month time frame from the time a complete NDA is accepted for filing compared to 10 months under standard review) for one or more of our current or future product candidates. Under FDA policies, a product candidate is eligible for priority review if the product candidate provides a significant improvement compared to marketed drugs in the treatment, diagnosis or prevention of a disease. The FDA determines whether a drug qualifies for priority review after an NDA for such drug is submitted to the FDA. Therefore, until NDAs are submitted for our product candidates, we cannot be assured that they will be granted priority review. Additionally, even if priority review is granted for one of our product candidates, the FDA does not always meet its six-month Prescription Drug User Fee Act (PDUFA) goal date for priority review and the review process is often extended by FDA requests for additional information or clarification.</w:t>
      </w:r>
    </w:p>
    <w:p>
      <w:pPr>
        <w:spacing w:after="0" w:line="162"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We may seek Breakthrough Therapy designation for one or more of our current or future product candidates. Designation as a Breakthrough Therapy is largely within the discretion of the FDA. Accordingly, even if we believe that a product candidate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product candidates qualify as breakthrough therapies, the FDA may later decide that the product candidate no longer meets the conditions for qualification and revoke the designation.</w:t>
      </w:r>
    </w:p>
    <w:p>
      <w:pPr>
        <w:spacing w:after="0" w:line="147"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The FDA has broad discretion whether or not to grant Breakthrough Therapy, Fast Track and/or Orphan Drug designation to any product candidate. Accordingly, even if we believe that a product candidate meets the criteria for designation as a Breakthrough Therapy or Orphan Drug designation, the FDA may disagree and instead determine not to make such designation. Even if we receive breakthrough therapy and/or Orphan Drug designation, the receipt of such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or Orphan Drug, the FDA may later decide that it no longer meets the conditions for qualification or decide that the time period for FDA review or approval will not be shortened. The failure to obtain a Breakthrough Therapy, Fast Track and/or Orphan Drug designation or admission for any product candidates we may develop or the inability to maintain that designation for the duration of the applicable period could reduce our ability to make sufficient sales of the applicable product candidate to balance our expenses incurred to develop it, which would have a negative impact on our operational results and financial condition. The FDA may withdraw Fast Track designation if it believes that the designation is no longer supported by data from our clinical development program. Fast track designation alone does not guarantee qualification for the FDA’s priority review procedures. Fast Track or Breakthrough Therapy designation for our product candidates may not actually lead to a faster review process, and a delay in the review process or in the approval of our product candidates will delay revenue from their potential sales and will increase the capital necessary to fund these product candidate development programs.</w:t>
      </w:r>
    </w:p>
    <w:p>
      <w:pPr>
        <w:spacing w:after="0" w:line="1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that we advance into clinical trials may cause undesirable side effects or have other properties that could delay or prevent regulatory approval or commercialization or limit its commercial potential.</w:t>
      </w:r>
    </w:p>
    <w:p>
      <w:pPr>
        <w:spacing w:after="0" w:line="64"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39"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In addition, if any product candidates we may develop receives marketing approval and we or others later identify undesirable side effects caused by the product, a number of significant negative consequences could result, including:</w:t>
      </w:r>
    </w:p>
    <w:p>
      <w:pPr>
        <w:spacing w:after="0" w:line="189"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place restrictions on the way it is prescribed;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larger clinical benefit for approval to offset the risk;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221" w:lineRule="exact"/>
        <w:rPr>
          <w:sz w:val="20"/>
          <w:szCs w:val="20"/>
          <w:color w:val="auto"/>
        </w:rPr>
      </w:pPr>
    </w:p>
    <w:p>
      <w:pPr>
        <w:ind w:left="760" w:right="64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that could diminish the usage of the product or otherwise limit the commercial success of the product;</w:t>
      </w:r>
    </w:p>
    <w:p>
      <w:pPr>
        <w:spacing w:after="0" w:line="17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 or implement a risk evaluation and mitigation strategy;</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discontinue sale of the product;</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our business model;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5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commencement and completion of clinical trials can be delayed for a variety of other reasons, including delays in:</w:t>
      </w:r>
    </w:p>
    <w:p>
      <w:pPr>
        <w:spacing w:after="0" w:line="239"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to commence or amend a clinical trial;</w:t>
      </w:r>
    </w:p>
    <w:p>
      <w:pPr>
        <w:spacing w:after="0" w:line="252"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prospective clinical research organizations or Contract Research Organizations (CROs), and trial sites, the terms of which can be subject to extensive negotiation and may vary significantly among different CROs and trial sites;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enrolling patients to participate in clinical trials;</w:t>
      </w:r>
    </w:p>
    <w:p>
      <w:pPr>
        <w:spacing w:after="0" w:line="252"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and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Review Board (IRB) approval or approval from foreign counterparts to conduct or amend a clinical trial at a prospective site.</w:t>
      </w:r>
    </w:p>
    <w:p>
      <w:pPr>
        <w:spacing w:after="0" w:line="198"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In addition, a clinical trial may be delayed, suspended or terminated by us, the FDA or other regulatory authorities due to a number of factors, including:</w:t>
      </w:r>
    </w:p>
    <w:p>
      <w:pPr>
        <w:spacing w:after="0" w:line="162" w:lineRule="exact"/>
        <w:rPr>
          <w:sz w:val="20"/>
          <w:szCs w:val="20"/>
          <w:color w:val="auto"/>
        </w:rPr>
      </w:pPr>
    </w:p>
    <w:p>
      <w:pPr>
        <w:ind w:left="760" w:hanging="378"/>
        <w:spacing w:after="0" w:line="26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7" w:name="page38"/>
    <w:bookmarkEnd w:id="37"/>
    <w:p>
      <w:pPr>
        <w:spacing w:after="0" w:line="194" w:lineRule="exact"/>
        <w:rPr>
          <w:sz w:val="20"/>
          <w:szCs w:val="20"/>
          <w:color w:val="auto"/>
        </w:rPr>
      </w:pPr>
    </w:p>
    <w:p>
      <w:pPr>
        <w:ind w:left="760" w:right="1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75"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enrollment or retention rates of patients in clinical trials;</w:t>
      </w:r>
    </w:p>
    <w:p>
      <w:pPr>
        <w:spacing w:after="0" w:line="225" w:lineRule="exact"/>
        <w:rPr>
          <w:rFonts w:ascii="Times New Roman" w:cs="Times New Roman" w:eastAsia="Times New Roman" w:hAnsi="Times New Roman"/>
          <w:sz w:val="18"/>
          <w:szCs w:val="18"/>
          <w:color w:val="auto"/>
        </w:rPr>
      </w:pPr>
    </w:p>
    <w:p>
      <w:pPr>
        <w:ind w:left="760" w:right="8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information suggesting unacceptable risk to subjects or unforeseen safety issues or any determination that a clinical trial presents unacceptable health risks;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deficient quality of product candidates or other materials necessary for the conduct of our clinical trials;</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161"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21"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rights to develop and market any of our product candidates could significantly harm our business.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license the rights to certain compounds to develop and market our product candidates.</w:t>
      </w:r>
    </w:p>
    <w:p>
      <w:pPr>
        <w:spacing w:after="0" w:line="185"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53"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If any of our license agreements is terminated, we would have no further rights to develop and commercialize the product candidate that is the subject of the license. The termination of any of our license agreements could materially and adversely affect our business.</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pandemics or epidemics in regions where we or third parties on which we rely have significant manufacturing facilities, concentrations of clinical trial sites or other business operations, which could materially affect our operations globally, including at our headquarters in San Diego and at our clinical trial sites, as well as the business or operations of our manufacturers, CROs or other third parties with whom we conduct business.</w:t>
      </w:r>
    </w:p>
    <w:p>
      <w:pPr>
        <w:spacing w:after="0" w:line="140"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Our business, operations and clinical development timelines could be adversely affected by health pandemics, epidemics or any other health crisis in regions where we have clinical trial sites or other business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operations, and could cause significant disruption in the operations of CROs upon whom we rely. Site initiation and patient enrollment could be delayed or suspended due to prioritization of hospital resources toward the health epidemics or patients not having a desire to enroll in clinical trials due to concerns. For example, during the COVID-19 pandemic, we saw a decrease in the number of patient visits at some clinical trial sites, which we believe resulted in slower enrollment in our clinical trials than would have occurred without the COVID-19 pandemic. In addition, some patients may not be able to comply with clinical trial protocols and the ability to conduct follow-up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 We could be negatively impacted by any other illness or communicable disease, or any other public health crisis that, like the COVID-19 pandemic, results in economic and trade disruptions, including the disruption of global supply chains.</w:t>
      </w:r>
    </w:p>
    <w:p>
      <w:pPr>
        <w:spacing w:after="0" w:line="16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spacing w:after="0" w:line="14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extent to which a health pandemic or epidemic impacts our business, clinical trials, results of operations and financial condition will depend on future developments, which are highly uncertain and cannot be predicted, including, but not limited to, the duration of the pandemic or epidemic, its severity, the actions to contain the virus or address its impact, and how quickly and to what extent government orders and mandates are lifted and normal economic and operating activities can resume. Further, while the potential economic impact of any health pandemic or epidemic may be difficult to assess or predict, it could result in significant disruptions of global financial markets, which could reduce our ability to access capital, which could in the future negatively affect our liquidity. To the extent a health pandemic or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p>
    <w:p>
      <w:pPr>
        <w:spacing w:after="0" w:line="18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develop and market products more rapidly than we do or that are more effective, safer or more affordable than our product candidates, our commercial opportunities may be negatively impacted.</w:t>
      </w:r>
    </w:p>
    <w:p>
      <w:pPr>
        <w:spacing w:after="0" w:line="64"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54"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53"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depend on strategic collaborations with third party partners to develop and commercialize selected product candidates and will not have control over a number of key elements relating to the development and commercialization of these product candidates if we are able to achieve such third party arrangements.</w:t>
      </w:r>
    </w:p>
    <w:p>
      <w:pPr>
        <w:spacing w:after="0" w:line="67"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A key aspect of our strategy is to seek strategic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4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we will not have control over a number of key elements relating to the development and commercialization of these product candidates. Further, our partner may fail to develop or effectively commercialize the product candidate because such partner:</w:t>
      </w:r>
    </w:p>
    <w:p>
      <w:pPr>
        <w:spacing w:after="0" w:line="193" w:lineRule="exact"/>
        <w:rPr>
          <w:sz w:val="20"/>
          <w:szCs w:val="20"/>
          <w:color w:val="auto"/>
        </w:rPr>
      </w:pPr>
    </w:p>
    <w:p>
      <w:pPr>
        <w:ind w:left="1140" w:right="2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sufficient resources or decides not to devote the necessary resources due to internal constraints such as limited cash or human resources;</w:t>
      </w:r>
    </w:p>
    <w:p>
      <w:pPr>
        <w:spacing w:after="0" w:line="18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decides to pursue a competitive potential product developed outside of the collaboration;</w:t>
      </w:r>
    </w:p>
    <w:p>
      <w:pPr>
        <w:spacing w:after="0" w:line="23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obtain the necessary regulatory approvals;</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market opportunity is not attractive; or</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manufacture the necessary materials in sufficient quantities from multiple sources or at a reasonable cost.</w:t>
      </w:r>
    </w:p>
    <w:p>
      <w:pPr>
        <w:spacing w:after="0" w:line="185"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35"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7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 which may have an adverse effect on our business and prospects.</w:t>
      </w:r>
    </w:p>
    <w:p>
      <w:pPr>
        <w:spacing w:after="0" w:line="86"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We do not have the ability to independently conduct our clinical trials. We currently rely extensively on third parties, such as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and/or manage our current clinical trials to ensure that each clinical trial is conducted in accordance with its investigational plan and protocol, we do not have the ability to conduct all aspects of our clinical trials directly for our product candidates. We expect to continue to rely upon third parties to conduct additional clinical trials of potential future product candidates. These third parties are not our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9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135" w:lineRule="exact"/>
        <w:rPr>
          <w:sz w:val="20"/>
          <w:szCs w:val="20"/>
          <w:color w:val="auto"/>
        </w:rPr>
      </w:pPr>
    </w:p>
    <w:p>
      <w:pPr>
        <w:ind w:firstLine="374"/>
        <w:spacing w:after="0" w:line="251" w:lineRule="auto"/>
        <w:rPr>
          <w:sz w:val="20"/>
          <w:szCs w:val="20"/>
          <w:color w:val="auto"/>
        </w:rPr>
      </w:pPr>
      <w:r>
        <w:rPr>
          <w:rFonts w:ascii="Times New Roman" w:cs="Times New Roman" w:eastAsia="Times New Roman" w:hAnsi="Times New Roman"/>
          <w:sz w:val="18"/>
          <w:szCs w:val="18"/>
          <w:color w:val="auto"/>
        </w:rPr>
        <w:t>The FDA requires us and our third parties to comply with regulations and standards, commonly referred to as good clinical practices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these third parties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and other third party service providers with which we contract for execution of our clinical trials play a significant role in the conduct of the clinical trials and the subsequent collection and analysis of data. Any failure of the CROs and other third party service providers to meet their obligations could adversely affect clinical development of our product candidates. Moreover, these third parties may have relationships with other commercial entities, some of which may have competitive products under development or currently marketed, and our competitive position could be harmed if they assist our competitors. In addition, the operations of our CROs and other third party service providers may be constrained or disrupted by widespread health pandemics or epidemics.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Government measures taken in response to global health pandemics or epidemics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20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rely, on third party manufacturers to produce our product candidates, which may result in delays in our clinical trials and the commercialization of products, as well as increased costs.</w:t>
      </w:r>
    </w:p>
    <w:p>
      <w:pPr>
        <w:spacing w:after="0" w:line="64"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We have no manufacturing facilities, and we do not intend to develop facilities for the manufacture of our product candidates for clinical trials or commercial purposes in the foreseeable future. We rely, and expect to continue to rely, on third party manufacturers to produce, in collaboration with us, sufficient quantities of our product candidates for clinical trials, and we plan to contract with third party manufacturers to produce sufficient quantities of any product candidates that may be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47"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Reliance on third 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 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In addition, the global health pandemics or epidemics may impact our third party manufacturers from producing sufficient quantities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5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of any product candidate.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4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 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205"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Our manufacturers are obligated to operate in accordance with FDA-mandated cGMPs and, in some cases, International Convention on Harmonization (ICH), standards. A failure of any of our third 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 party manufacturers is difficult. For example, a change in third 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 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third party manufacturers, may not be able to manufacture our product candidates in sufficient quality or commercial quantities, which would delay or prevent us from commercializing our product candidates.</w:t>
      </w:r>
    </w:p>
    <w:p>
      <w:pPr>
        <w:spacing w:after="0" w:line="64" w:lineRule="exact"/>
        <w:rPr>
          <w:sz w:val="20"/>
          <w:szCs w:val="20"/>
          <w:color w:val="auto"/>
        </w:rPr>
      </w:pPr>
    </w:p>
    <w:p>
      <w:pPr>
        <w:ind w:right="120" w:firstLine="374"/>
        <w:spacing w:after="0" w:line="253" w:lineRule="auto"/>
        <w:rPr>
          <w:sz w:val="20"/>
          <w:szCs w:val="20"/>
          <w:color w:val="auto"/>
        </w:rPr>
      </w:pPr>
      <w:r>
        <w:rPr>
          <w:rFonts w:ascii="Times New Roman" w:cs="Times New Roman" w:eastAsia="Times New Roman" w:hAnsi="Times New Roman"/>
          <w:sz w:val="18"/>
          <w:szCs w:val="18"/>
          <w:color w:val="auto"/>
        </w:rPr>
        <w:t>To date, our product candidates have been manufactured in small quantities for preclinical studies and clinical trials. If any of our product candidates is approved by the FDA or comparable regulatory authorities in other countries for commercial sale, we or our third party manufacturers will need to manufacture such product candidate in larger quantities. We or our third party manufacturers may not be able to increase successfully the manufacturing capacity for any of our product candidates in a timely or economic manner, or at all. Significant scale-up of manufacturing may require additional validation studies, which the FDA must review and approve. If we or our third party manufacturers are unable to increase successfully the manufacturing capacity for a product candidate, the regulatory approval or commercial launch of that product candidate may be delayed or there may be a shortage in supply. Our product candidates require precise, high-quality manufacturing. Our failure to achieve and maintain these high manufacturing standards in collaboration with our third 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9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6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rely on the third party manufacturers of our product candidates to purchase from third party suppliers the materials necessary to produce the active pharmaceutical ingredients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9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3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is approved for commercial sale by the FDA or other regulatory authorities, the degree of market acceptance of any approved product by physicians, healthcare professionals and third party payers and our profitability and growth will depend on a number of factors, including:</w:t>
      </w:r>
    </w:p>
    <w:p>
      <w:pPr>
        <w:spacing w:after="0" w:line="203"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efficacy and safety;</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cost and potential advantages of alternative treatments, including less expensive generic drugs;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 which may be subject to regulatory control;</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or any of our partners’ sales and marketing strategies;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labeling or product insert required by the FDA or regulatory authority in other countries; and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 party insurance coverage or reimbursement.</w:t>
      </w:r>
    </w:p>
    <w:p>
      <w:pPr>
        <w:spacing w:after="0" w:line="198"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 party coverage or reimbursement. If any product candidate is approved but does not achieve an adequate level of acceptance by physicians, patients and third party payers, our ability to generate revenues from that product would be substantially reduced. In addition, our efforts to educate the medical community and third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3" w:name="page44"/>
    <w:bookmarkEnd w:id="43"/>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payers on the benefits of our product candidates may require significant resources and may never be successful.</w:t>
      </w:r>
    </w:p>
    <w:p>
      <w:pPr>
        <w:spacing w:after="0" w:line="22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are not accepted by the market or if users of our products are unable to obtain adequate coverage of and reimbursement for our products from government and other third party payers, our revenues and profitability will suffer.</w:t>
      </w:r>
    </w:p>
    <w:p>
      <w:pPr>
        <w:spacing w:after="0" w:line="64"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product candidates, if approved,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(HMOs). Third party payers are increasingly challenging the prices charged for medical products and services. We cannot provide any assurances that third party payers will consider our products cost-effective or provide coverage of and reimbursement for our products, in whole or in part.</w:t>
      </w:r>
    </w:p>
    <w:p>
      <w:pPr>
        <w:spacing w:after="0" w:line="143"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Uncertainty exists as to the coverage and reimbursement status of newly approved medical products and services and newly approved indications for existing products. Third party payers may conclude that our products are less safe, less clinically effective or less cost-effective than existing products, and third party payers may not approve our products for coverage and reimbursement. If we are unable to obtain adequate coverage of and reimbursement for our products from third party payers, physicians may limit how much or under what circumstances they will prescribe or administer them. Such reduction or limitation in the use of our products could cause our sales to suffer. Even if third party payers make reimbursement available, payment levels may not be sufficient to make the sale of our products profitable.</w:t>
      </w:r>
    </w:p>
    <w:p>
      <w:pPr>
        <w:spacing w:after="0" w:line="16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Market acceptance and sales of our current or future product candidates will depend in large part on global reimbursement policies and may be affected by future health care reform measures, both in the United States and other key international markets. For example, continuing health care reform in the United States will control or significantly influence the purchase of medical services and products, and may result in inadequate coverage of and reimbursement for our products. Many third party payers are pursuing various ways to reduce pharmaceutical costs, including the use of formularies. The market for our products depends on access to such formularies, which are lists of medications for which third 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 party payers, including government payers, are instituting could have a material adverse effect on our ability to operate profitably.</w:t>
      </w:r>
    </w:p>
    <w:p>
      <w:pPr>
        <w:spacing w:after="0" w:line="18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particularly our President and Chief Executive Officer, and our experienced scientific staff, and if we are unable to retain, motivate and attract key personnel, our product development programs may be delayed and we may be unable to develop successfully or commercialize our product candidates.</w:t>
      </w:r>
    </w:p>
    <w:p>
      <w:pPr>
        <w:spacing w:after="0" w:line="80"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We are dependent upon the continued services of our executive officers and other key personnel, particularly Yuichi Iwaki, M.D., Ph.D., our founder and our President, Chief Executive Officer and Chairman of our board of directors,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51"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If we acquire or license new product candidates, our success may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from numerous companies and academic and other research institutions. Competition for qualified personnel is particularly intense in the San Diego, California area, where our corporate headquarters is located.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53"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72"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51"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adversely affect our business.</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business and financial condition of pharmaceutical and biotechnology companies are affected by the efforts of governmental and third 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8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clinical trial programs, marketing, or research collaborations in the European Economic Area (EEA) will subject us to the General Data Protection Regulation, including as implemented in the UK (GDPR).</w:t>
      </w:r>
    </w:p>
    <w:p>
      <w:pPr>
        <w:spacing w:after="0" w:line="5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GDPR applies to companies established in the EEA, as well as to companies that are not established in the EEA and which, inter alia, collect and use personal data in relation to (i) offering goods or services to, or (ii) monitoring the behavior of, individuals located in the EEA. If we conduct clinical trial programs in the EEA (whether the trials are conducted directly by us or through a clinical vendor or collaborator), or enter into research collaborations involving the monitoring of individuals in the EEA, or market our products to individuals in the EEA, we will be subject to the GDPR. The GDPR puts in place stringent operational requirements for processors and controllers of personal data, including, for example, high standards for obtaining consent from individuals to process their personal data (or reliance on another appropriate legal basis), the provision of robust and detailed disclosures to individuals about how personal data is collected and processed (in a concise, intelligible and easily accessible form),</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8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 comprehensive individual data rights regime (including access, erasure, objection, restriction, rectification and portability), maintaining a record of data processing, data export restrictions governing transfers of data from the EEA, short timelines for certain data breach notifications to be given to data protection regulators or supervisory authorities (and in certain cases, affected individuals), and limitations on retention of personal data. The GDPR also puts in place increased requirements pertaining to health data and other special categories of personal data, and includes within scope, pseudonymized (i.e., key-coded) data. Further, the GDPR provides that EEA member states may establish their own laws and regulations limiting the processing of genetic, biometric, or health data, which could limit our ability to collect, use, and share such data and/or could cause our costs to increase. In addition, there are certain obligations if we contract third party processors in connection with the processing of personal data. If our or our collaborators’ or service providers’ privacy or data security measures fail to comply with the GDPR requirements, we may be subject to litigation, regulatory investigations, enforcement notices requiring us to change the way we use personal data, or fines of up to 20 million Euros or up to 4% of our total worldwide annual revenue of the preceding financial year, whichever is higher, as well as compensation claims by affected individuals, including class-action type litigation, negative publicity, reputational harm and a potential loss of business and goodwill. Additionally, following the United Kingdom’s withdrawal from the European Union, we will have to comply with the GDPR and the GDPR as implemented in the United Kingdom, each regime having the ability to fine up to the greater of €20 million/ £17.5 million, respectively, or 4% of global turnover. The relationship between the United Kingdom and the European Union in relation to certain aspects of data protection law remains subject to change, for example around how data can lawfully be transferred between each jurisdiction, which exposes us to further compliance risk.</w:t>
      </w:r>
    </w:p>
    <w:p>
      <w:pPr>
        <w:spacing w:after="0" w:line="192"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5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75"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 party manufacturers or our development efforts may be interrupted or delayed.</w:t>
      </w:r>
    </w:p>
    <w:p>
      <w:pPr>
        <w:spacing w:after="0" w:line="1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United States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140" w:firstLine="374"/>
        <w:spacing w:after="0" w:line="254" w:lineRule="auto"/>
        <w:rPr>
          <w:sz w:val="20"/>
          <w:szCs w:val="20"/>
          <w:color w:val="auto"/>
        </w:rPr>
      </w:pPr>
      <w:r>
        <w:rPr>
          <w:rFonts w:ascii="Times New Roman" w:cs="Times New Roman" w:eastAsia="Times New Roman" w:hAnsi="Times New Roman"/>
          <w:sz w:val="18"/>
          <w:szCs w:val="18"/>
          <w:color w:val="auto"/>
        </w:rPr>
        <w:t>United States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Exports of our products are further subject to export controls and sanctions laws and regulations imposed by the United States government and administered by the United States Departments of State, Commerce, and Treasury. United States export control laws may require a license or other authorization to export products to certain destinations and end users. In addition, United States economic sanctions laws include restrictions or prohibitions on engaging in any transactions or dealings, including receiving investment or financing from, or engaging in the sale or supply of products and services to, United States sanctioned countries, governments, persons and entities.</w:t>
      </w:r>
    </w:p>
    <w:p>
      <w:pPr>
        <w:spacing w:after="0" w:line="80"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non-United States activities to increase over time. We expect to rely on third parties for research, preclinical studies, and clinical trials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and/or to obtain necessary permits, licenses, patent registrations, and other marketing approvals. We can be held liable for the corrupt or other illegal activities of our personnel, agents, or partners, even if we do not explicitly authorize or have prior knowledge of such activities. Any changes in Trade Laws could result in a decreased ability to export or sell our solutions to, existing or potential customers with international operations. Future changes in Trade Laws and enforcement could also result in increased compliance requirements and related costs which could materially adversely affect our business, results of operations, financial condition and/or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for product liability, which could result in substantial liabilities that exceed our available resources and damage our reputation.</w:t>
      </w:r>
    </w:p>
    <w:p>
      <w:pPr>
        <w:spacing w:after="0" w:line="12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0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clinical trial programs;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8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which may make it difficult to predict our future performance from period to period.</w:t>
      </w:r>
    </w:p>
    <w:p>
      <w:pPr>
        <w:spacing w:after="0" w:line="135"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75" w:lineRule="exact"/>
        <w:rPr>
          <w:sz w:val="20"/>
          <w:szCs w:val="20"/>
          <w:color w:val="auto"/>
        </w:rPr>
      </w:pPr>
    </w:p>
    <w:p>
      <w:pPr>
        <w:ind w:left="760" w:right="6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188"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other collaboration, licensing and similar arrangements and the timing of payments we may make or receive under these arrangements;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221"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product development programs;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effects of collaborations during these periods;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satisfaction of applicable regulatory requirements, if at all;</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expansion of our clinical development and other internal research and development efforts;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litigation;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products and market developments; and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22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We believe that quarterly or yearly comparisons of our financial results are not necessarily meaningful and should not be relied upon as indications of our future performance.</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64"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of 2002 (Sarbanes-Oxley Act), as well as rules and regulations implemented by the SEC, the Nasdaq Stock Market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4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Sarbanes-Oxley Act requires that we (i) maintain effective internal controls for financial reporting and disclosure controls and procedures and (ii) perform an evaluation of our internal control over financial reporting to allow management to report on the effectiveness of those controls, as required by Section 404 of the Sarbanes-Oxley Act (Section 404). Our listing obligations under the Standard Market of the Tokyo Stock Exchange (TSE) also require that we comply either with Section 404 or equivalent regulations in Japan and we elected to comply with Section 404. Additionally, we are subject to attestation by our independent registered public accounting firm regarding our internal controls over financial reporting as of December 31, 2025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67"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Additionally, there are significant corporate governance and executive compensation related provisions in the Dodd-Frank Wall Street Reform and Consumer Protection Act that require the SEC to adopt additional rules and regulations in these areas.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20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our third party CROs or other contractors or consultants, may be subject to information technology systems failures, network disruptions, breaches in data security and computer crime and cyber-attacks,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8" w:name="page49"/>
    <w:bookmarkEnd w:id="48"/>
    <w:p>
      <w:pPr>
        <w:spacing w:after="0" w:line="86"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 party contractors who have access to our confidential information.</w:t>
      </w:r>
    </w:p>
    <w:p>
      <w:pPr>
        <w:spacing w:after="0" w:line="183" w:lineRule="exact"/>
        <w:rPr>
          <w:sz w:val="20"/>
          <w:szCs w:val="20"/>
          <w:color w:val="auto"/>
        </w:rPr>
      </w:pPr>
    </w:p>
    <w:p>
      <w:pPr>
        <w:ind w:firstLine="499"/>
        <w:spacing w:after="0" w:line="252" w:lineRule="auto"/>
        <w:rPr>
          <w:sz w:val="20"/>
          <w:szCs w:val="20"/>
          <w:color w:val="auto"/>
        </w:rPr>
      </w:pPr>
      <w:r>
        <w:rPr>
          <w:rFonts w:ascii="Times New Roman" w:cs="Times New Roman" w:eastAsia="Times New Roman" w:hAnsi="Times New Roman"/>
          <w:sz w:val="18"/>
          <w:szCs w:val="18"/>
          <w:color w:val="auto"/>
        </w:rPr>
        <w:t>Information technology system failures, network disruptions, breaches of data security and sophisticated and targeted computer crime and cyber-attacks could disrupt our operations by impeding our drug development programs, including delays in our regulatory efforts, the manufacture or shipment of products, the processing of transactions or reporting of financial results, or by causing an unintentional disclosure of confidential information.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In the ordinary course of our business, we collect and store sensitive data in our data centers and on our networks, including IP, proprietary business information, and personal information of our business partners and employees. Despite our efforts to protect sensitive, confidential or personal data or information, our facilities and systems and those of our third party service providers may be vulnerable to security breaches, theft, misplaced or lost data, programming and/or human errors that could potentially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which in turn could adversely affect our reputation, competitiveness and results of operations. While management has taken steps to address these concerns by conducting employee training, implementing certain data and system redundancy, hardening and fail-over along with other network security, comprehensive monitoring of our networks and systems, maintenance of backup and protective systems and other internal control measures, there can be no assurance that the measures we have implemented to date would be sufficient in the event of a system failure, loss of data or security breach. As a result, in the event of such a failure, loss of data or security breach, our financial condition and operating results could be adversely affected.</w:t>
      </w:r>
    </w:p>
    <w:p>
      <w:pPr>
        <w:spacing w:after="0" w:line="19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Macroeconomic pressures, including those resulting from ongoing geopolitical matters, tariffs, unfavorable market conditions, health epidemics, and regulatory and policy changes, may have an adverse impact on our business, financial results, stock price and results of operations as well as the business of our current and potential customers.</w:t>
      </w:r>
    </w:p>
    <w:p>
      <w:pPr>
        <w:spacing w:after="0" w:line="67"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unfavorable global and geopolitical economic conditions, such as increased tariffs, decreases in per capital income and level of disposable income, inflation, rising interest rates, and supply chain issues. Ongoing geopolitical matters have also contributed to difficult macroeconomic conditions and exacerbated supply chain issues, resulting in significant economic uncertainty as well as volatility in the financial markets and new regulatory and policy initiatives particularly in the United States. Such conditions may adversely impact our business, financial results, and prospects and our target customers’ businesses. In addition, such macroeconomic conditions could impact our ability to access the public markets as and when appropriate or necessary to carry out our operations or our strategic goals. We cannot predict the ongoing extent, duration or severity of these conditions, nor the extent to which we may be impacted.</w:t>
      </w:r>
    </w:p>
    <w:p>
      <w:pPr>
        <w:spacing w:after="0" w:line="81"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To the extent macroeconomic conditions worsen, our business, operations and results of operation could be negatively impacted. Additionally, to the extent that there are health pandemics, epidemics or any other health crisis, our operations could be disrupted and our business adversely impacted. Such disruptions or impacts may be similar to those we faced during the COVID-19 pandemic, such as mandated business closures in impacted areas, limitations with employee resources due to stay at home orders or sickness of employees or their families, reduction of our business operations and the business operations of our targeted utility and critical infrastructure customers, all of which may have an adverse impact on our business, financial results, stock price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 including as a result of increased tariffs.</w:t>
      </w:r>
    </w:p>
    <w:p>
      <w:pPr>
        <w:spacing w:after="0" w:line="121"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Inflation, including as a result of increased tariffs, has the potential to adversely affect our business, results of operations, financial position and liquidity by increasing our overall cost structure, particularly if we are unable to achieve commensurate increases in the prices we charge our customers. The existence of inflation in the economy has the potential to result in higher interest rates and capital costs, supply shortages, increased costs of labor and other similar effects. As a result of inflation, we may experience increases in the costs of labor, materials, and other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inputs, such as engineering consultants. Although we may take measures to mitigate the impact of this inflation, if these measures are not effective our business, results of operations, financial position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our business and marketing our products internationally could materially adversely affect our business.</w:t>
      </w:r>
    </w:p>
    <w:p>
      <w:pPr>
        <w:spacing w:after="0" w:line="135"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A significant amount of our business activity is outside of the United States. We face risks associated with our international operations, including possible unfavorable regulatory, pricing and reimbursement, political, tariffs, tax and labor conditions, which could harm our business. We are subject to numerous risks associated with international business activities, including, but not limited to:</w:t>
      </w:r>
    </w:p>
    <w:p>
      <w:pPr>
        <w:spacing w:after="0" w:line="189"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differing or unexpected regulatory requirements for our products;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52"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taxes, regulations and permit requirements;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government tariffs, trade restrictions, price and exchange controls and other regulatory requirements;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natural disasters, war, events of terrorism or political instability in particular foreign countries;</w:t>
      </w:r>
    </w:p>
    <w:p>
      <w:pPr>
        <w:spacing w:after="0" w:line="252"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result in increased operating expenses and reduced revenues, and other obligations related to doing business in another country;</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regulations and restrictions for employees living or traveling abroad;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and</w:t>
      </w:r>
    </w:p>
    <w:p>
      <w:pPr>
        <w:spacing w:after="0" w:line="238"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35"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do not adequately protect our proprietary rights.</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(ibudilast) and MN-001 (tipelukast) product candidates, although we do have patent protection for a</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particular crystalline polymorph of MN-001 (tipelukast) and we have composition of matter protection on an analog of MN-166 (ibudilast). As a result, competitors that obtain the requisite regulatory approval will be able to offer products with the same API as found in our MN-166 (ibudilast) and MN-001 (tipelukast) product candidates so long as such competitors do not infringe any methods of use, methods of manufacture, formulation or, in the case of MN-001 (tipelukast), specific polymorph patents that we hold or have exclusive rights to through our licensors. For example, we currently rely on method of use patents for MN-166 (ibudilast) and MN-001 (tipelukast).</w:t>
      </w:r>
    </w:p>
    <w:p>
      <w:pPr>
        <w:spacing w:after="0" w:line="143"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will not become abandoned. In addition, our licensors may have selected a limited amount of foreign patent protection, and therefore applications have not been filed in, and foreign patents may not have been perfected in, all commercially significant countries.</w:t>
      </w:r>
    </w:p>
    <w:p>
      <w:pPr>
        <w:spacing w:after="0" w:line="161"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48"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89"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patents to protect our product candidates;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any required or desirable licenses to use certain technologies of third parties, which may be protected by patents;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and know-how;</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intellectual property and proprietary rights of others;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the issued patents under which we hold rights;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proprietary technologies that are patentable.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For example:</w:t>
      </w:r>
    </w:p>
    <w:p>
      <w:pPr>
        <w:spacing w:after="0" w:line="239"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make the inventions covered by each of our pending patent applications or issued patents;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file patent applications for these inventions;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21"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our pending patent applications will result in issued patents;</w:t>
      </w:r>
    </w:p>
    <w:p>
      <w:pPr>
        <w:spacing w:after="0" w:line="252"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United States or foreign laws; or</w:t>
      </w:r>
    </w:p>
    <w:p>
      <w:pPr>
        <w:spacing w:after="0" w:line="189"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64"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As in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Recent patent reform legislation in the U.S. and other countries, including the Leahy-Smith America Invents Act (Leahy-Smith Act), signed into law on September 16, 2011, could increase those uncertainties and costs surrounding the prosecution of our patent applications and the enforcement or defense of our issued patents. The Leahy-Smith Act includes a number of significant changes to United States patent law. These include provisions that affect the way patent applications are prosecuted, redefine prior art and provide more efficient and cost-effective avenues for competitors to challenge the validity of patents. These include allowing third party submission of prior art to the U.S. Patent and Trademark Office (USPTO) during patent prosecution and additional procedures to attack the validity of a patent by USPTO administered post-grant proceedings, including post-grant review, inter partes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3" w:lineRule="exact"/>
        <w:rPr>
          <w:sz w:val="20"/>
          <w:szCs w:val="20"/>
          <w:color w:val="auto"/>
        </w:rPr>
      </w:pPr>
    </w:p>
    <w:p>
      <w:pPr>
        <w:jc w:val="both"/>
        <w:ind w:right="40" w:firstLine="374"/>
        <w:spacing w:after="0" w:line="261" w:lineRule="auto"/>
        <w:rPr>
          <w:sz w:val="20"/>
          <w:szCs w:val="20"/>
          <w:color w:val="auto"/>
        </w:rPr>
      </w:pPr>
      <w:r>
        <w:rPr>
          <w:rFonts w:ascii="Times New Roman" w:cs="Times New Roman" w:eastAsia="Times New Roman" w:hAnsi="Times New Roman"/>
          <w:sz w:val="18"/>
          <w:szCs w:val="18"/>
          <w:color w:val="auto"/>
        </w:rPr>
        <w:t>The United States Supreme Court has ruled on several patent cases in recent years, either narrowing the scope of patent protection available in certain circumstances or weakening the rights of patent owners in certain situations. Depending on future actions by the United States Congress, the United States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85"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United States federal government retains certain rights in inventions produced with its financial assistance under the Bayh-Dole Act of 1980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spacing w:after="0" w:line="94" w:lineRule="exact"/>
        <w:rPr>
          <w:sz w:val="20"/>
          <w:szCs w:val="20"/>
          <w:color w:val="auto"/>
        </w:rPr>
      </w:pPr>
    </w:p>
    <w:p>
      <w:pPr>
        <w:jc w:val="both"/>
        <w:ind w:right="220" w:firstLine="374"/>
        <w:spacing w:after="0" w:line="261" w:lineRule="auto"/>
        <w:rPr>
          <w:sz w:val="20"/>
          <w:szCs w:val="20"/>
          <w:color w:val="auto"/>
        </w:rPr>
      </w:pPr>
      <w:r>
        <w:rPr>
          <w:rFonts w:ascii="Times New Roman" w:cs="Times New Roman" w:eastAsia="Times New Roman" w:hAnsi="Times New Roman"/>
          <w:sz w:val="18"/>
          <w:szCs w:val="18"/>
          <w:color w:val="auto"/>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64"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 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 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220" w:lineRule="exact"/>
        <w:rPr>
          <w:sz w:val="20"/>
          <w:szCs w:val="20"/>
          <w:color w:val="auto"/>
        </w:rPr>
      </w:pPr>
    </w:p>
    <w:p>
      <w:pPr>
        <w:ind w:left="760" w:right="18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221"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or other equitable relief that may effectively block our ability to further develop, commercialize and sell our products;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enter into license arrangements that may not be available on reasonable or commercially acceptable terms; or</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 and expense, as well as distraction of our management from our business.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 result, we could lose our ability to develop and commercialize current or future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3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From time to time,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Investment in Our Common Stock</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stock price of our common stock may be volatile or decline regardless of our operating performance, and you may not be able to resell our shares at a profit or at all.</w:t>
      </w:r>
    </w:p>
    <w:p>
      <w:pPr>
        <w:spacing w:after="0" w:line="64"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Despite the listing of our common stock on the Nasdaq Global Market and the TSE in Japan, trading volume in our securities has been light and an active trading market may not develop for our common stock. In 2025, our average trading volume was approximately 268,522 shares per day on Nasdaq and approximately 112,544 shares per day on the TSE.</w:t>
      </w:r>
    </w:p>
    <w:p>
      <w:pPr>
        <w:spacing w:after="0" w:line="13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2025, our common stock has traded as high as approximately $42.00 and as low as approximately $1.13. The following factors, in addition to other risk factors described in this section, may have a significant impact on the market price of our common stock, many of which are beyond our control:</w:t>
      </w:r>
    </w:p>
    <w:p>
      <w:pPr>
        <w:spacing w:after="0" w:line="197" w:lineRule="exact"/>
        <w:rPr>
          <w:sz w:val="20"/>
          <w:szCs w:val="20"/>
          <w:color w:val="auto"/>
        </w:rPr>
      </w:pPr>
    </w:p>
    <w:p>
      <w:pPr>
        <w:ind w:left="760" w:right="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status of our product candidates, including clinical trial results and determinations by regulatory authorities with respect to our product candidates;</w:t>
      </w:r>
    </w:p>
    <w:p>
      <w:pPr>
        <w:spacing w:after="0" w:line="188"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termination, or reduction in the scope of any collaboration arrangements or any disputes or developments regarding such collaborations;</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foreign regulatory actions, including failure to receive regulatory approval for any of our product candidates;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commercial products or other material events by us or our competitors;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4" w:name="page55"/>
    <w:bookmarkEnd w:id="54"/>
    <w:p>
      <w:pPr>
        <w:spacing w:after="0" w:line="221"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to meet, securities analysts’ or investors’ expectations of our financial performance;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as a whole and market conditions in our industry;</w:t>
      </w:r>
    </w:p>
    <w:p>
      <w:pPr>
        <w:spacing w:after="0" w:line="252"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of our business, management, products, financial performance, prospects or stock price by the financial and scientific press and online investor communities;</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238"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and legislative action with respect to, the pricing and availability of prescription drugs or the safety of drugs and drug delivery techniques; or</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in foreign countries.</w:t>
      </w:r>
    </w:p>
    <w:p>
      <w:pPr>
        <w:spacing w:after="0" w:line="185"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Broad market and industry factors, as well as economic and political factors, also may materially adversely affect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Global Market or the Standard Market of the Tokyo Stock Exchange.</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that could divert management’s attention and harm our business.</w:t>
      </w:r>
    </w:p>
    <w:p>
      <w:pPr>
        <w:spacing w:after="0" w:line="121"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 and may make it difficult for us to raise additional capital or for you to sell your shares.</w:t>
      </w:r>
    </w:p>
    <w:p>
      <w:pPr>
        <w:spacing w:after="0" w:line="64"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Sales of substantial amounts of our common stock through our Standby Equity Purchase Agreement with YA II PN, LTD, our Equity Distribution Agreement with Lucid Capital Markets, LLC or otherwise,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53"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5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effecting sales of our common stock. If any of these events cause a large number of our shares to be sold in the public market, the sales could reduce the trading price of our common stock and impede our ability to raise future capital.</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the expectations of securities analysts and investors, resulting in a decline in the market price of our common stock.</w:t>
      </w:r>
    </w:p>
    <w:p>
      <w:pPr>
        <w:spacing w:after="0" w:line="13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as of December 31, 2025, we performed a qualitative impairment assessment of goodwill and indefinite-lived intangible assets which included an evaluation of changes in industry, market, and macroeconomic conditions as well as consideration of our financial performance and any significant trends. If we experience a sustained decline in our stock price or other material changes in the significant assumptions that affect the determination of the fair value of our single reporting unit, it may result in a goodwill and/or intangible asset impairment charge in future periods, and such charge may be material.</w:t>
      </w:r>
    </w:p>
    <w:p>
      <w:pPr>
        <w:spacing w:after="0" w:line="151"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If our assumptions underlying our estimates and judgments relating to our critical accounting policies change or if actual circumstances differ from our assumptions, estimates or judgments, our operating results may be adversely affected and could fall below the expectations of securities analysts and investors, resulting in a decline in the market price of our common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may take advantage of certain scaled disclosures available to us. We cannot be certain if the reduced reporting requirements applicable to smaller reporting companies will make our common stock less attractive to investors.</w:t>
      </w:r>
    </w:p>
    <w:p>
      <w:pPr>
        <w:spacing w:after="0" w:line="118" w:lineRule="exact"/>
        <w:rPr>
          <w:sz w:val="20"/>
          <w:szCs w:val="20"/>
          <w:color w:val="auto"/>
        </w:rPr>
      </w:pPr>
    </w:p>
    <w:p>
      <w:pPr>
        <w:ind w:right="380" w:firstLine="374"/>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As a smaller reporting company, we are permitted to comply with scaled disclosure obligations in our SEC filings as compared to other issuers who are not smaller reporting companies, including with respect to disclosure obligations regarding executive compensation in our periodic reports and proxy statements. We have elected to adopt the accommodations available to smaller reporting companies. Until we cease to be a smaller reporting company, the scaled disclosure in our SEC filings will result in less information about our company being available than for public companies that are not smaller reporting companies.</w:t>
      </w:r>
    </w:p>
    <w:p>
      <w:pPr>
        <w:spacing w:after="0" w:line="156"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will be able to take advantage of these scaled disclosures for so long as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as measured on the last business day of our second fiscal quarter.</w:t>
      </w:r>
    </w:p>
    <w:p>
      <w:pPr>
        <w:spacing w:after="0" w:line="139"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certain scaled disclosures that are available to smaller reporting companies.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64"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193" w:lineRule="exact"/>
        <w:rPr>
          <w:sz w:val="20"/>
          <w:szCs w:val="20"/>
          <w:color w:val="auto"/>
        </w:rPr>
      </w:pPr>
    </w:p>
    <w:p>
      <w:pPr>
        <w:ind w:left="760" w:right="44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members of our board of directors may be removed only for cause upon the affirmative vote of stockholders owning at least a majority of our capital stock;</w:t>
      </w:r>
    </w:p>
    <w:p>
      <w:pPr>
        <w:spacing w:after="0" w:line="188"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238"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upon at stockholder meetings;</w:t>
      </w:r>
    </w:p>
    <w:p>
      <w:pPr>
        <w:spacing w:after="0" w:line="188"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making certain changes to our restated certificate of incorporation or amended and restated bylaws except with 66-2/3% stockholder approval; and</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terms.</w:t>
      </w:r>
    </w:p>
    <w:p>
      <w:pPr>
        <w:spacing w:after="0" w:line="198" w:lineRule="exact"/>
        <w:rPr>
          <w:sz w:val="20"/>
          <w:szCs w:val="20"/>
          <w:color w:val="auto"/>
        </w:rPr>
      </w:pPr>
    </w:p>
    <w:p>
      <w:pPr>
        <w:ind w:right="40" w:firstLine="419"/>
        <w:spacing w:after="0" w:line="261" w:lineRule="auto"/>
        <w:rPr>
          <w:sz w:val="20"/>
          <w:szCs w:val="20"/>
          <w:color w:val="auto"/>
        </w:rPr>
      </w:pPr>
      <w:r>
        <w:rPr>
          <w:rFonts w:ascii="Times New Roman" w:cs="Times New Roman" w:eastAsia="Times New Roman" w:hAnsi="Times New Roman"/>
          <w:sz w:val="18"/>
          <w:szCs w:val="18"/>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5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event, these provisions may delay or prevent a third party from acquiring us. Any such delay or prevention could cause the market price of our common stock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We continue to augment the capabilities of our people, processes, and technologies in order to address our cybersecurity risks. Our cybersecurity risks, and the controls designed to mitigate those risks, are integrated into our overall risk management governance and are reviewed yearly by our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87"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2025, we have implemented a set of comprehensive cybersecurity and data protection policies and procedures. Risks from cybersecurity threats are regularly evaluated as a part of our broader risk management activities and as a fundamental component of our internal control system. Our employees and contractors receive annual cybersecurity awareness trainings, including specific topics related to social engineering and email frauds. We have capable employees and consultants with significant expertise in cybersecurity related to our industry. We invest in advanced technologies for continuous cybersecurity monitoring across our information technology environment which are designed to prevent, detect, and minimize cybersecurity attacks, as well as alert management of such attacks.</w:t>
      </w:r>
    </w:p>
    <w:p>
      <w:pPr>
        <w:spacing w:after="0" w:line="147"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Our Information Technology General Controls are firmly established based on recognized industry standards and cover areas such as risk management, data backup, and disaster recovery. We have utilized an outsourced information technology consultant to reduce and monitor security threats and vulnerabilities and respond to all cybersecurity incidents affecting us, including prompt escalation and communication of major security incidents to senior business leadership and our board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00"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overseeing our cyber security risk management and strategy. Our senior leadership, including our Chief Executive Officer and Chief Financial Officer, regularly meets with and provides periodic briefings to our board of directors regarding our cybersecurity risks and activities, including any recent cybersecurity incidents and related responses, cybersecurity systems testing, activities of third parties, and the like.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Threat Disclosure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 date, we are not aware of any cybersecurity threats that have materially affected or are reasonably likely to materially affect the Company.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further discussion of cybersecurity risks, please see Item 1A, "Risk Factors".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 December 2017, we executed a sublease agreement for our San Diego headquarters (Sublease) with Cardinal Health 127 Inc., the sublessor, to which Irvine Company, the master lessor, had provided its consent. The Sublease was for approximately 4,400 square feet and had a term of four years and one month. We have extended this Sublease for an additional 5 years through January 31, 2027.</w:t>
      </w:r>
    </w:p>
    <w:p>
      <w:pPr>
        <w:spacing w:after="0" w:line="13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June 2005, we leased office space in Tokyo, Japan under a non-cancelable operating lease with an original expiration date of May 2013 and an auto-renewal two-year extension. The lease was renewed in May 2023 and has a term of two years with an auto-renewal, two year extension. In April 2024, we provided notice to terminate the previous lease agreement, effective October 2024, and in May 2024, we entered into a new lease agreement, effective June 2024, for a different office space for the Tokyo location. The new lease has an initial lease term of 12 months ending May 2025 with an option to extend for an additional two months, after which there will be automatic two-month renewals until the lease is terminated.</w:t>
      </w:r>
    </w:p>
    <w:p>
      <w:pPr>
        <w:spacing w:after="0" w:line="156"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We have no laboratory, research or manufacturing facilities, and we currently do not plan to purchase or lease any such facilities, as such services are provided to us by third 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Standard Market of the Tokyo Stock Exchange and trades under the code “4875,” and is listed on the Nasdaq Global Market and trades under the symbol “MNOV.”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As of March 5, 2026, there were approximately 10 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have never declared or paid any cash dividends on our capital stock, and we do not anticipate paying any cash dividends in the foreseeable future.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retain our future earnings, if any, to fund the growth and development of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Information regarding the securities authorized for issuance under our equity compensation plans can be found under Item 12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20" w:firstLine="374"/>
        <w:spacing w:after="0" w:line="277" w:lineRule="auto"/>
        <w:rPr>
          <w:sz w:val="20"/>
          <w:szCs w:val="20"/>
          <w:color w:val="auto"/>
        </w:rPr>
      </w:pPr>
      <w:r>
        <w:rPr>
          <w:rFonts w:ascii="Times New Roman" w:cs="Times New Roman" w:eastAsia="Times New Roman" w:hAnsi="Times New Roman"/>
          <w:sz w:val="17"/>
          <w:szCs w:val="17"/>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and prevention of acute respiratory distress syndrome (ARDS), and MN-001 (tipelukast) for fibrotic and other metabolic disorders such as nonalcoholic fatty liver disease (NAFLD) and hypertriglyceridemia. We were incorporated in Delaware in September 2000.</w:t>
      </w:r>
    </w:p>
    <w:p>
      <w:pPr>
        <w:spacing w:after="0" w:line="1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For the year ended December 31, 2025, we had a net loss of $12.0 million. At December 31, 2025, from inception, our accumulated deficit was $438.7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53"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Upon completion of proof-of-concept Phase 2 clinical trials, we intend to discuss strategic alliances with leading pharmaceutical or biotechnology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(GAAP).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47"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accrued liabilities, in-process research and development (IPR&amp;D) and goodwill.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Accruals</w:t>
      </w:r>
    </w:p>
    <w:p>
      <w:pPr>
        <w:spacing w:after="0" w:line="121"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1" w:name="page62"/>
    <w:bookmarkEnd w:id="61"/>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We determine accrual estimates through reports from and discussions with applicable personnel and outside service providers as to the progress or state of completion of studies, or the services completed. Costs that are paid in advance of performance are deferred as a prepaid expense and recognized over the service period as the services are performed. Our estimates of accrued expenses as of each balance sheet date are based on the facts and circumstances known at the time. 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low in any particular period. To date, our accrued research, development and patent expenses have not differed significantly from the actual expenses incurred.</w:t>
      </w:r>
    </w:p>
    <w:p>
      <w:pPr>
        <w:spacing w:after="0" w:line="148"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13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development expense:</w:t>
            </w:r>
          </w:p>
        </w:tc>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MN-166</w:t>
            </w:r>
          </w:p>
        </w:tc>
        <w:tc>
          <w:tcPr>
            <w:tcW w:w="1000" w:type="dxa"/>
            <w:vAlign w:val="bottom"/>
            <w:gridSpan w:val="2"/>
          </w:tcPr>
          <w:p>
            <w:pPr>
              <w:jc w:val="right"/>
              <w:ind w:right="84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3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MN-001</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R&amp;D personnel expense</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R&amp;D expense</w:t>
            </w:r>
          </w:p>
        </w:tc>
        <w:tc>
          <w:tcPr>
            <w:tcW w:w="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1000" w:type="dxa"/>
            <w:vAlign w:val="bottom"/>
            <w:gridSpan w:val="2"/>
          </w:tcPr>
          <w:p>
            <w:pPr>
              <w:jc w:val="right"/>
              <w:ind w:right="84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3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IPR&amp;D and Goodwill</w:t>
      </w:r>
    </w:p>
    <w:p>
      <w:pPr>
        <w:spacing w:after="0" w:line="12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Amounts incurred related to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During the period the assets are considered indefinite-lived, they will not be amortized but will be tested annually for impairment or more frequently if indicators of impairment exist. Goodwill is reviewed for impairment annually (as of December 31st) or more frequently if indicators of impairment exist.</w:t>
      </w:r>
    </w:p>
    <w:p>
      <w:pPr>
        <w:spacing w:after="0" w:line="75"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2025, we performed a qualitative impairment assessment of goodwill and indefinite-lived intangible assets which included an evaluation of changes in industry, market, and macroeconomic conditions as well as consideration of our financial performance and any significant trends. The qualitative assessment indicated that it was not more likely than not that goodwill and indefinite-lived intangible assets are impaired as of December 31, 2025. If we experience a sustained decline in our stock price or other material changes in the significant assumptions that affect the determination of the fair value of our single reporting unit, it may result in a goodwill and/or intangible asset impairment charge in future periods, and such charge may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impact of recent accounting pronouncements is described in Note 1 of our consolidated financial statements included elsewhere in this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Revenues were $0.4 million and $0.0 million for the years ended December 31, 2025 and 2024, respectively. The increase of $0.4 million was due to revenue recognized under our agreement with Mayo Foundation for Medical Education and Research (Mayo), which was entered into in December 2024 and which began enrolling patients in March 2025, and under which principal services began in April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19"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Cost of services were $0.4 million and $0.0 million for the years ended December 31, 2025 and 2024, respectively. The increase of $0.4 million was due to the costs incurred related to our performance of services under the Mayo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 Expenses</w:t>
      </w:r>
    </w:p>
    <w:p>
      <w:pPr>
        <w:spacing w:after="0" w:line="11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Research, development and patent expenses were $7.2 million for both the years ended December 31, 2025 and 2024. While overall expense was relatively the same year over year, changes to the component costs included an i</w:t>
      </w:r>
      <w:r>
        <w:rPr>
          <w:rFonts w:ascii="Times New Roman" w:cs="Times New Roman" w:eastAsia="Times New Roman" w:hAnsi="Times New Roman"/>
          <w:sz w:val="18"/>
          <w:szCs w:val="18"/>
          <w:color w:val="212529"/>
        </w:rPr>
        <w:t>ncrease of $0.6 million in MN-166 related expenses for a MRC-001 PK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study and a </w:t>
      </w:r>
      <w:r>
        <w:rPr>
          <w:rFonts w:ascii="Times New Roman" w:cs="Times New Roman" w:eastAsia="Times New Roman" w:hAnsi="Times New Roman"/>
          <w:sz w:val="18"/>
          <w:szCs w:val="18"/>
          <w:color w:val="000000"/>
        </w:rPr>
        <w:t>degenerative cervical myelopathy (</w:t>
      </w:r>
      <w:r>
        <w:rPr>
          <w:rFonts w:ascii="Times New Roman" w:cs="Times New Roman" w:eastAsia="Times New Roman" w:hAnsi="Times New Roman"/>
          <w:sz w:val="18"/>
          <w:szCs w:val="18"/>
          <w:color w:val="212529"/>
        </w:rPr>
        <w:t xml:space="preserve">DCM) study, and an increase of $0.2 million in MN-001 clinical trial expenses, </w:t>
      </w:r>
      <w:r>
        <w:rPr>
          <w:rFonts w:ascii="Times New Roman" w:cs="Times New Roman" w:eastAsia="Times New Roman" w:hAnsi="Times New Roman"/>
          <w:sz w:val="18"/>
          <w:szCs w:val="18"/>
          <w:color w:val="000000"/>
        </w:rPr>
        <w:t>offset by a decrease of $0.8</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million in MN-166 manufacturing costs, payroll costs and stock-based compensation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2025 increased by $0.7 million to $6.2 million compared to $5.5 million for the prior year, primarily driven by fees of $0.4 million related to the Standby Equity Purchase Agreement, or the SEPA, that we entered into in July 2025, and an increase of $0.5 million in professional and investor relation expenses, partially offset by decreased stock-based compensation expense of $0.2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40" w:firstLine="374"/>
        <w:spacing w:after="0" w:line="282" w:lineRule="auto"/>
        <w:rPr>
          <w:sz w:val="20"/>
          <w:szCs w:val="20"/>
          <w:color w:val="auto"/>
        </w:rPr>
      </w:pPr>
      <w:r>
        <w:rPr>
          <w:rFonts w:ascii="Times New Roman" w:cs="Times New Roman" w:eastAsia="Times New Roman" w:hAnsi="Times New Roman"/>
          <w:sz w:val="18"/>
          <w:szCs w:val="18"/>
          <w:color w:val="auto"/>
        </w:rPr>
        <w:t>Interest income for the year ended December 31, 2025 decreased by $0.4 million to $1.3 million compared to $1.7 million for the prior year, primarily driven by a decrease in our cash balance generating interest. Interest income consists of interest earned on our cash and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incurred losses of $12.0 million and $11 million for the years ended December 31, 2025 and 2024, respectively. At December 31, 2025, our accumulated deficit was $438.7 million as compared to $426.8 million for the year ended December 31, 2024. Our operating losses to date have been funded primarily through the private placement of our equity securities, the public sale of our common stock, long-term debt, development agreements with partners and the exercise of warrants, net of treasury stock repurchases.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years ended December 31, 2025 and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28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62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(9,810)</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(10,643)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60" w:type="dxa"/>
            <w:vAlign w:val="bottom"/>
          </w:tcPr>
          <w:p>
            <w:pPr>
              <w:jc w:val="right"/>
              <w:ind w:right="1516"/>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Financial Condition and Liquidity</w:t>
      </w:r>
    </w:p>
    <w:p>
      <w:pPr>
        <w:spacing w:after="0" w:line="121"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2025, we had available cash and cash equivalents of $30.8 million and working capital of $27.2 million. As of the date of this report, we believe we have sufficient working capital to fund operations at least twelve months from the date these financial statements are issued. This is based on our expected operating cash needs for 2026 to be approximately $16.2 million and assuming we keep our spend at a similar level for 2027 including expected inflation increases. We expect that this level of operating spend will be sufficient to cover the research and development expenses needed to help monetize our product candidates in development.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52"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and the costs of, future planned clinical trials and other research and development activities;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product development programs;</w:t>
      </w:r>
    </w:p>
    <w:p>
      <w:pPr>
        <w:spacing w:after="0" w:line="23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88"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 and to complete acquisitions of additional product candidates;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or commercial production of our product candidates;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expansion of our management, personnel, systems and facilities;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operations or wind-down of any business we may acquire;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prosecuting, enforcing and defending patent claims and other intellectual property rights; and</w:t>
      </w:r>
    </w:p>
    <w:p>
      <w:pPr>
        <w:spacing w:after="0" w:line="23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and commercialization activities if we obtain regulatory approval to market any of our product candidates.</w:t>
      </w:r>
    </w:p>
    <w:p>
      <w:pPr>
        <w:spacing w:after="0" w:line="121"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At December 31, 2025, we did not have any off balance sheet activity and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Financing</w:t>
      </w:r>
    </w:p>
    <w:p>
      <w:pPr>
        <w:spacing w:after="0" w:line="11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On August 26, 2022, we entered into an amendment to an at market issuance sales agreement (as amended, the “ATM Agreement”) with B. Riley Securities, Inc. (formerly B. Riley FBR, Inc.) (B. Riley Securities) for the offer and sale of common stock through B. Riley Securities from time to time up to an aggregate offering price of $75.0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ind w:left="38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for the years ended December 31, 2025 and December 31, 2024.</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February 26, 2026 we notified B. Riley Securities that we were terminating the ATM agreement effective as of March 8, 2026.</w:t>
      </w:r>
    </w:p>
    <w:p>
      <w:pPr>
        <w:spacing w:after="0" w:line="117"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On July 30, 2025, we entered into a SEPA, with YA II PN, LTD., a Cayman Islands exempt limited company, or Yorkville. Pursuant to the SEPA, we have the right, but not the obligation, to sell to Yorkville from time to time up to $30.0 million of our common stock, during the 36 months following the execution of the SEPA, subject to the restrictions and satisfaction of the conditions in the SEPA. At our option, the shares of common stock would be purchased by Yorkville from time to time at a price equal to 97% of the lowest of the three daily volume weighted average prices (VWAPs), during a three consecutive trading day period commencing on the date that we, subject to certain limitations, deliver to Yorkville a notice that we are committing Yorkville to purchase such shares of common stock. We may also specify a certain minimum acceptable price per share for a drawdown under the SEPA. As consideration for Yorkville's irrevocable commitment to purchase common stock, we paid Yorkville a $25,000 structuring fee along with a commitment fee of $375,000, recorded as General and Administrative expense. Under the applicable rules of Nasdaq and pursuant to the SEPA, in no event may we issue or sell to Yorkville more than 9,804,345 shares of common stock, or the Exchange Cap, which is 19.99% of the shares of common stock outstanding immediately prior to the execution of the SEPA, unless (i) we obtain stockholder approval to issue shares of common stock in excess of the Exchange Cap or (ii) the average price of all applicable shares of common stock under the SEPA equals or exceeds $1.33 per share (which represents the lower of (i) the Nasdaq Official Closing Price (as reflected on Nasdaq.com) on the trading day immediately preceding July 30, 2025 or (ii) the average Nasdaq Official Closing Price of the common stock (as reflected on Nasdaq.com) for the five trading days immediately preceding July 30, 2025). Pursuant to the SEPA, Yorkville shall not be obliged to purchase or acquire any shares of common stock under the SEPA which, when aggregated with all other shares of our common stock beneficially owned by Yorkville and its affiliates, would result in the beneficial ownership of Yorkville and its affiliates (on an aggregated basis) exceeding 4.99% of the then outstanding voting power or number of outstanding shares of our common stock.</w:t>
      </w:r>
    </w:p>
    <w:p>
      <w:pPr>
        <w:spacing w:after="0" w:line="87"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Pursuant to a financial advisory agreement between us and D. Boral Capital LLC (D. Boral), we have also agreed to pay D. Boral a fee equal to three percent of the gross proceeds received from any shares that we sell to Yorkville pursuant to the SEPA.</w:t>
      </w:r>
    </w:p>
    <w:p>
      <w:pPr>
        <w:spacing w:after="0" w:line="54"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sold 175,000 shares of our common stock at prices ranging from $1.39 to $1.40 per share for proceeds of $0.2 million under the SEPA.</w:t>
      </w:r>
    </w:p>
    <w:p>
      <w:pPr>
        <w:spacing w:after="0" w:line="54"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On December 29, 2025, we entered into an equity distribution agreement, with Lucid Capital Markets, LLC (Lucid) pursuant to which we may sell common stock through Lucid from time to time up to an aggregate offering price of $50.0 million (the Equity Distribution Agreement). Sales of our common stock through Lucid,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Lucid may also sell the common stock in privately negotiated transactions, subject to our prior approval. We agreed to pay Lucid an aggregate commission rate of 3.0% of the gross proceeds of any common stock sold under this agreement. Proceeds from sales of common stock will depend on the number of shares of common stock sold to Lucid and the per share purchase price of each transaction.</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shares of common stock were sold under the Equity Distribution Agreement in the year ended December 31,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arrangements include those related to the contractual obligations described below:</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5" w:name="page66"/>
    <w:bookmarkEnd w:id="6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121" w:lineRule="exact"/>
        <w:rPr>
          <w:sz w:val="20"/>
          <w:szCs w:val="20"/>
          <w:color w:val="auto"/>
        </w:rPr>
      </w:pPr>
    </w:p>
    <w:p>
      <w:pPr>
        <w:ind w:right="220" w:firstLine="539"/>
        <w:spacing w:after="0" w:line="282" w:lineRule="auto"/>
        <w:rPr>
          <w:sz w:val="20"/>
          <w:szCs w:val="20"/>
          <w:color w:val="auto"/>
        </w:rPr>
      </w:pPr>
      <w:r>
        <w:rPr>
          <w:rFonts w:ascii="Times New Roman" w:cs="Times New Roman" w:eastAsia="Times New Roman" w:hAnsi="Times New Roman"/>
          <w:sz w:val="18"/>
          <w:szCs w:val="18"/>
          <w:color w:val="auto"/>
        </w:rPr>
        <w:t>Our operating lease commitments reflect payments due for our lease agreements in San Diego, California and Tokyo, Japan. As of December 31, 2025, our contractual commitments for our leases were $0.2 million, which will be paid over the lease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Milestone Obligations</w:t>
      </w:r>
    </w:p>
    <w:p>
      <w:pPr>
        <w:spacing w:after="0" w:line="121" w:lineRule="exact"/>
        <w:rPr>
          <w:sz w:val="20"/>
          <w:szCs w:val="20"/>
          <w:color w:val="auto"/>
        </w:rPr>
      </w:pPr>
    </w:p>
    <w:p>
      <w:pPr>
        <w:ind w:firstLine="539"/>
        <w:spacing w:after="0" w:line="258" w:lineRule="auto"/>
        <w:rPr>
          <w:sz w:val="20"/>
          <w:szCs w:val="20"/>
          <w:color w:val="auto"/>
        </w:rPr>
      </w:pPr>
      <w:r>
        <w:rPr>
          <w:rFonts w:ascii="Times New Roman" w:cs="Times New Roman" w:eastAsia="Times New Roman" w:hAnsi="Times New Roman"/>
          <w:sz w:val="18"/>
          <w:szCs w:val="18"/>
          <w:color w:val="auto"/>
        </w:rPr>
        <w:t>We have entered into in-licensing agreements with various pharmaceutical companies. Under the terms of these agreements, we have received licenses to research, know-how and technology claimed, in certain patents or patent applications. Under these license agreements, we are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 Assuming the milestones are met, total future potential milestone payments aggregate to $26.5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3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P.C.; San Diego, California; PCAOB ID#243)</w:t>
            </w: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380" w:type="dxa"/>
            <w:vAlign w:val="bottom"/>
            <w:gridSpan w:val="10"/>
            <w:vMerge w:val="continue"/>
          </w:tcPr>
          <w:p>
            <w:pPr>
              <w:spacing w:after="0"/>
              <w:rPr>
                <w:sz w:val="14"/>
                <w:szCs w:val="14"/>
                <w:color w:val="auto"/>
              </w:rPr>
            </w:pPr>
          </w:p>
        </w:tc>
        <w:tc>
          <w:tcPr>
            <w:tcW w:w="780" w:type="dxa"/>
            <w:vAlign w:val="bottom"/>
          </w:tcPr>
          <w:p>
            <w:pPr>
              <w:jc w:val="right"/>
              <w:ind w:right="153"/>
              <w:spacing w:after="0" w:line="169"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8"/>
        </w:trPr>
        <w:tc>
          <w:tcPr>
            <w:tcW w:w="42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1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21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6"/>
                <w:szCs w:val="16"/>
                <w:color w:val="auto"/>
              </w:rPr>
            </w:pPr>
          </w:p>
        </w:tc>
        <w:tc>
          <w:tcPr>
            <w:tcW w:w="7840" w:type="dxa"/>
            <w:vAlign w:val="bottom"/>
            <w:gridSpan w:val="7"/>
          </w:tcPr>
          <w:p>
            <w:pPr>
              <w:spacing w:after="0"/>
              <w:rPr>
                <w:sz w:val="16"/>
                <w:szCs w:val="16"/>
                <w:color w:val="auto"/>
              </w:rPr>
            </w:pPr>
          </w:p>
        </w:tc>
        <w:tc>
          <w:tcPr>
            <w:tcW w:w="780" w:type="dxa"/>
            <w:vAlign w:val="bottom"/>
          </w:tcPr>
          <w:p>
            <w:pPr>
              <w:jc w:val="right"/>
              <w:ind w:right="153"/>
              <w:spacing w:after="0" w:line="194"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99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80" w:type="dxa"/>
            <w:vAlign w:val="bottom"/>
          </w:tcPr>
          <w:p>
            <w:pPr>
              <w:jc w:val="right"/>
              <w:ind w:right="153"/>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20" w:type="dxa"/>
            <w:vAlign w:val="bottom"/>
            <w:tcBorders>
              <w:top w:val="single" w:sz="8" w:color="0000FF"/>
            </w:tcBorders>
            <w:gridSpan w:val="2"/>
          </w:tcPr>
          <w:p>
            <w:pPr>
              <w:spacing w:after="0"/>
              <w:rPr>
                <w:sz w:val="17"/>
                <w:szCs w:val="17"/>
                <w:color w:val="auto"/>
              </w:rPr>
            </w:pPr>
          </w:p>
        </w:tc>
        <w:tc>
          <w:tcPr>
            <w:tcW w:w="5280" w:type="dxa"/>
            <w:vAlign w:val="bottom"/>
          </w:tcPr>
          <w:p>
            <w:pPr>
              <w:spacing w:after="0"/>
              <w:rPr>
                <w:sz w:val="17"/>
                <w:szCs w:val="17"/>
                <w:color w:val="auto"/>
              </w:rPr>
            </w:pPr>
          </w:p>
        </w:tc>
        <w:tc>
          <w:tcPr>
            <w:tcW w:w="780" w:type="dxa"/>
            <w:vAlign w:val="bottom"/>
          </w:tcPr>
          <w:p>
            <w:pPr>
              <w:jc w:val="right"/>
              <w:ind w:right="153"/>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28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080" w:type="dxa"/>
            <w:vAlign w:val="bottom"/>
            <w:gridSpan w:val="6"/>
          </w:tcPr>
          <w:p>
            <w:pPr>
              <w:spacing w:after="0"/>
              <w:rPr>
                <w:sz w:val="17"/>
                <w:szCs w:val="17"/>
                <w:color w:val="auto"/>
              </w:rPr>
            </w:pPr>
          </w:p>
        </w:tc>
        <w:tc>
          <w:tcPr>
            <w:tcW w:w="780" w:type="dxa"/>
            <w:vAlign w:val="bottom"/>
          </w:tcPr>
          <w:p>
            <w:pPr>
              <w:jc w:val="right"/>
              <w:ind w:right="153"/>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1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17"/>
                <w:szCs w:val="17"/>
                <w:color w:val="auto"/>
              </w:rPr>
            </w:pPr>
          </w:p>
        </w:tc>
        <w:tc>
          <w:tcPr>
            <w:tcW w:w="6780" w:type="dxa"/>
            <w:vAlign w:val="bottom"/>
            <w:gridSpan w:val="4"/>
          </w:tcPr>
          <w:p>
            <w:pPr>
              <w:spacing w:after="0"/>
              <w:rPr>
                <w:sz w:val="17"/>
                <w:szCs w:val="17"/>
                <w:color w:val="auto"/>
              </w:rPr>
            </w:pPr>
          </w:p>
        </w:tc>
        <w:tc>
          <w:tcPr>
            <w:tcW w:w="780" w:type="dxa"/>
            <w:vAlign w:val="bottom"/>
          </w:tcPr>
          <w:p>
            <w:pPr>
              <w:jc w:val="right"/>
              <w:ind w:right="153"/>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MediciNova, Inc. (the “Company”) as of December 31, 2025 and 2024,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Accruals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recognizes costs it incurs for preclinical studies, clinical trials and manufacturing activities as research and development expenses based on its evaluation of its vendors’ progress toward completion of specific tasks. Payment timing may differ significantly from the period in which the costs are recognized as expense. Costs for services incurred that have not yet been billed or paid are recognized as accrued expenses. In estimating the vendors’ progress toward completion of specific tasks, the Company uses data such as patient enrollment, milestones achieved, clinical site activations or vendor information of actual costs incurred. This data is obtained through reports from or discussions with Company personnel and outside service providers as to the progress or state of completion of trials, or the completion of services. As of December 31, 2025, the Company recorded $1.4 million in clinical trial accruals.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clinical trial accruals as a critical audit matter due to management judgment used to estimate the progress toward completion of specific tasks that is dependent upon data and information from internal clinical personnel and outside service providers. Auditing these elements involved especially challenging auditor judgment due to the nature of audit evidence and extent of audit effort required to address these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appropriate measurement of clinical trial accruals by:</w:t>
      </w:r>
    </w:p>
    <w:p>
      <w:pPr>
        <w:spacing w:after="0" w:line="117" w:lineRule="exact"/>
        <w:rPr>
          <w:sz w:val="20"/>
          <w:szCs w:val="20"/>
          <w:color w:val="auto"/>
        </w:rPr>
      </w:pPr>
    </w:p>
    <w:p>
      <w:pPr>
        <w:ind w:left="1500" w:hanging="369"/>
        <w:spacing w:after="0"/>
        <w:tabs>
          <w:tab w:leader="none" w:pos="15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significant agreements and agreement amendments,</w:t>
      </w:r>
    </w:p>
    <w:p>
      <w:pPr>
        <w:spacing w:after="0" w:line="117" w:lineRule="exact"/>
        <w:rPr>
          <w:rFonts w:ascii="Times New Roman" w:cs="Times New Roman" w:eastAsia="Times New Roman" w:hAnsi="Times New Roman"/>
          <w:sz w:val="18"/>
          <w:szCs w:val="18"/>
          <w:color w:val="auto"/>
        </w:rPr>
      </w:pPr>
    </w:p>
    <w:p>
      <w:pPr>
        <w:ind w:left="1500" w:right="140" w:hanging="369"/>
        <w:spacing w:after="0" w:line="282" w:lineRule="auto"/>
        <w:tabs>
          <w:tab w:leader="none" w:pos="15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documentation of trial progress and status (including consideration of measures such as patient enrollment and milestones achieved, clinical site activations or vendor information of actual costs incurred),</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 sample of transactions and comparing the costs against related invoices and contracts, and</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certain amounts invoiced and paid as well as invoiced and unpaid directly with a service provider.</w:t>
      </w:r>
    </w:p>
    <w:p>
      <w:pPr>
        <w:spacing w:after="0" w:line="225" w:lineRule="exact"/>
        <w:rPr>
          <w:rFonts w:ascii="Times New Roman" w:cs="Times New Roman" w:eastAsia="Times New Roman" w:hAnsi="Times New Roman"/>
          <w:sz w:val="18"/>
          <w:szCs w:val="18"/>
          <w:color w:val="auto"/>
        </w:rPr>
      </w:pPr>
    </w:p>
    <w:p>
      <w:pPr>
        <w:jc w:val="both"/>
        <w:ind w:left="760" w:right="80" w:hanging="378"/>
        <w:spacing w:after="0" w:line="266"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of the Company’s clinical trial accruals by evaluating publicly available information (such as press releases and public databases that track clinical trials) and board of directors’ materials regarding the status of clinical trials and inquiring of clinical staff to gain an understanding of the status of certain on-going clinical trials.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 sample of subsequent payments to evaluate the completeness of clinical trial accruals at the end of the year.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30,806,477</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40,359,738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714,541</w:t>
            </w:r>
          </w:p>
        </w:tc>
        <w:tc>
          <w:tcPr>
            <w:tcW w:w="100" w:type="dxa"/>
            <w:vAlign w:val="bottom"/>
          </w:tcPr>
          <w:p>
            <w:pPr>
              <w:spacing w:after="0"/>
              <w:rPr>
                <w:sz w:val="18"/>
                <w:szCs w:val="18"/>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30,991,304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41,074,279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184,229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356,904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100" w:type="dxa"/>
            <w:vAlign w:val="bottom"/>
          </w:tcPr>
          <w:p>
            <w:pPr>
              <w:spacing w:after="0"/>
              <w:rPr>
                <w:sz w:val="18"/>
                <w:szCs w:val="18"/>
                <w:color w:val="auto"/>
              </w:rPr>
            </w:pPr>
          </w:p>
        </w:tc>
      </w:tr>
      <w:tr>
        <w:trPr>
          <w:trHeight w:val="24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45,603,109</w:t>
            </w:r>
          </w:p>
        </w:tc>
        <w:tc>
          <w:tcPr>
            <w:tcW w:w="1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55,875,926</w:t>
            </w:r>
          </w:p>
        </w:tc>
        <w:tc>
          <w:tcPr>
            <w:tcW w:w="100" w:type="dxa"/>
            <w:vAlign w:val="bottom"/>
            <w:shd w:val="clear" w:color="auto" w:fill="CFF0FC"/>
          </w:tcPr>
          <w:p>
            <w:pPr>
              <w:spacing w:after="0"/>
              <w:rPr>
                <w:sz w:val="21"/>
                <w:szCs w:val="21"/>
                <w:color w:val="auto"/>
              </w:rPr>
            </w:pPr>
          </w:p>
        </w:tc>
      </w:tr>
      <w:tr>
        <w:trPr>
          <w:trHeight w:val="197"/>
        </w:trPr>
        <w:tc>
          <w:tcPr>
            <w:tcW w:w="77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624,995</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1,102,494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1,662,860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370,160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193,769</w:t>
            </w:r>
          </w:p>
        </w:tc>
        <w:tc>
          <w:tcPr>
            <w:tcW w:w="100" w:type="dxa"/>
            <w:vAlign w:val="bottom"/>
          </w:tcPr>
          <w:p>
            <w:pPr>
              <w:spacing w:after="0"/>
              <w:rPr>
                <w:sz w:val="18"/>
                <w:szCs w:val="18"/>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3,797,507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2,959,123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4,016,428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3,372,375</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at</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December 31, 2025 and December 31, 2024; 49,221,246 and 49,046,246</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shares issued and outstanding at December 31, 2025 and December 31,</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2024, respectively</w:t>
            </w: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shd w:val="clear" w:color="auto" w:fill="CFF0FC"/>
          </w:tcPr>
          <w:p>
            <w:pPr>
              <w:spacing w:after="0"/>
              <w:rPr>
                <w:sz w:val="20"/>
                <w:szCs w:val="20"/>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480,413,839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479,340,901</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(127,180)</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(135,154)</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(438,749,199)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(426,751,242)</w:t>
            </w:r>
          </w:p>
        </w:tc>
      </w:tr>
      <w:tr>
        <w:trPr>
          <w:trHeight w:val="21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41,586,681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52,503,551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45,603,109</w:t>
            </w:r>
          </w:p>
        </w:tc>
        <w:tc>
          <w:tcPr>
            <w:tcW w:w="18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55,875,926</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-3102610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-3085465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-1696720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77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409,657</w:t>
            </w:r>
          </w:p>
        </w:tc>
        <w:tc>
          <w:tcPr>
            <w:tcW w:w="1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378,606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7,154,848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7,194,731</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6,159,205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5,480,600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13,692,659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12,675,331</w:t>
            </w:r>
          </w:p>
        </w:tc>
        <w:tc>
          <w:tcPr>
            <w:tcW w:w="100" w:type="dxa"/>
            <w:vAlign w:val="bottom"/>
          </w:tcPr>
          <w:p>
            <w:pPr>
              <w:spacing w:after="0"/>
              <w:rPr>
                <w:sz w:val="18"/>
                <w:szCs w:val="18"/>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(13,283,002)</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(12,675,331)</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1,670,804</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(12,753)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(39,485)</w:t>
            </w:r>
          </w:p>
        </w:tc>
      </w:tr>
      <w:tr>
        <w:trPr>
          <w:trHeight w:val="20"/>
        </w:trPr>
        <w:tc>
          <w:tcPr>
            <w:tcW w:w="77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(11,991,963)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(11,044,012)</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(5,994)</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(5,537)</w:t>
            </w:r>
          </w:p>
        </w:tc>
      </w:tr>
      <w:tr>
        <w:trPr>
          <w:trHeight w:val="20"/>
        </w:trPr>
        <w:tc>
          <w:tcPr>
            <w:tcW w:w="77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(11,997,957)</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(11,049,549)</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52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(0.23)</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common share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49,063,438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(11,997,957)</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(11,049,549)</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(17,064)</w:t>
            </w:r>
          </w:p>
        </w:tc>
      </w:tr>
      <w:tr>
        <w:trPr>
          <w:trHeight w:val="20"/>
        </w:trPr>
        <w:tc>
          <w:tcPr>
            <w:tcW w:w="77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(11,989,983)</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(11,066,613)</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-1876425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-1310640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-1028065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020" w:type="dxa"/>
            <w:vAlign w:val="bottom"/>
            <w:gridSpan w:val="4"/>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660" w:type="dxa"/>
            <w:vAlign w:val="bottom"/>
          </w:tcPr>
          <w:p>
            <w:pPr>
              <w:spacing w:after="0"/>
              <w:rPr>
                <w:sz w:val="13"/>
                <w:szCs w:val="13"/>
                <w:color w:val="auto"/>
              </w:rPr>
            </w:pPr>
          </w:p>
        </w:tc>
        <w:tc>
          <w:tcPr>
            <w:tcW w:w="20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49,046,246</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478,149,161</w:t>
            </w:r>
          </w:p>
        </w:tc>
        <w:tc>
          <w:tcPr>
            <w:tcW w:w="38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(118,090)</w:t>
            </w:r>
          </w:p>
        </w:tc>
        <w:tc>
          <w:tcPr>
            <w:tcW w:w="1120" w:type="dxa"/>
            <w:vAlign w:val="bottom"/>
            <w:gridSpan w:val="3"/>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 (415,701,693)</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62,378,424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1,191,740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1,191,740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(11,049,549)</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(11,049,549)</w:t>
            </w: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(17,064)</w:t>
            </w:r>
          </w:p>
        </w:tc>
        <w:tc>
          <w:tcPr>
            <w:tcW w:w="100" w:type="dxa"/>
            <w:vAlign w:val="bottom"/>
          </w:tcPr>
          <w:p>
            <w:pPr>
              <w:spacing w:after="0"/>
              <w:rPr>
                <w:sz w:val="12"/>
                <w:szCs w:val="12"/>
                <w:color w:val="auto"/>
              </w:rPr>
            </w:pPr>
          </w:p>
        </w:tc>
        <w:tc>
          <w:tcPr>
            <w:tcW w:w="10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(17,064)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49,046,246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479,340,901</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(135,154)</w:t>
            </w:r>
          </w:p>
        </w:tc>
        <w:tc>
          <w:tcPr>
            <w:tcW w:w="1120" w:type="dxa"/>
            <w:vAlign w:val="bottom"/>
            <w:gridSpan w:val="3"/>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(426,751,242)</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52,503,551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829,095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829,095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standby equity purchase agreement (SEPA)</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175,000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243,843</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(11,997,957)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(11,997,957)</w:t>
            </w:r>
          </w:p>
        </w:tc>
        <w:tc>
          <w:tcPr>
            <w:tcW w:w="0" w:type="dxa"/>
            <w:vAlign w:val="bottom"/>
          </w:tcPr>
          <w:p>
            <w:pPr>
              <w:spacing w:after="0"/>
              <w:rPr>
                <w:sz w:val="1"/>
                <w:szCs w:val="1"/>
                <w:color w:val="auto"/>
              </w:rPr>
            </w:pPr>
          </w:p>
        </w:tc>
      </w:tr>
      <w:tr>
        <w:trPr>
          <w:trHeight w:val="148"/>
        </w:trPr>
        <w:tc>
          <w:tcPr>
            <w:tcW w:w="4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7,974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Borders>
              <w:top w:val="single" w:sz="8" w:color="CFF0FC"/>
              <w:bottom w:val="single" w:sz="8" w:color="CFF0FC"/>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49,221,246</w:t>
            </w:r>
          </w:p>
        </w:tc>
        <w:tc>
          <w:tcPr>
            <w:tcW w:w="2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49,221</w:t>
            </w:r>
          </w:p>
        </w:tc>
        <w:tc>
          <w:tcPr>
            <w:tcW w:w="2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480,413,839</w:t>
            </w:r>
          </w:p>
        </w:tc>
        <w:tc>
          <w:tcPr>
            <w:tcW w:w="20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(127,180)</w:t>
            </w:r>
          </w:p>
        </w:tc>
        <w:tc>
          <w:tcPr>
            <w:tcW w:w="1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 (438,749,199</w:t>
            </w:r>
          </w:p>
        </w:tc>
        <w:tc>
          <w:tcPr>
            <w:tcW w:w="140" w:type="dxa"/>
            <w:vAlign w:val="bottom"/>
            <w:tcBorders>
              <w:top w:val="single" w:sz="8" w:color="CFF0FC"/>
              <w:bottom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41,586,681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-128270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-128270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-128270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-128270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-128270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(11,997,957)</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(11,049,549)</w:t>
            </w:r>
          </w:p>
        </w:tc>
      </w:tr>
      <w:tr>
        <w:trPr>
          <w:trHeight w:val="21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1,191,740</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carrying amount of right-of-use asset</w:t>
            </w: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173,681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173,522</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(491,005)</w:t>
            </w: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(312,347)</w:t>
            </w: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370,160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(195,010)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(176,204)</w:t>
            </w:r>
          </w:p>
        </w:tc>
      </w:tr>
      <w:tr>
        <w:trPr>
          <w:trHeight w:val="20"/>
        </w:trPr>
        <w:tc>
          <w:tcPr>
            <w:tcW w:w="6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(9,810,061)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(10,642,964)</w:t>
            </w:r>
          </w:p>
        </w:tc>
      </w:tr>
      <w:tr>
        <w:trPr>
          <w:trHeight w:val="209"/>
        </w:trPr>
        <w:tc>
          <w:tcPr>
            <w:tcW w:w="6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w:t>
            </w:r>
          </w:p>
        </w:tc>
      </w:tr>
      <w:tr>
        <w:trPr>
          <w:trHeight w:val="20"/>
        </w:trPr>
        <w:tc>
          <w:tcPr>
            <w:tcW w:w="6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(697)</w:t>
            </w:r>
          </w:p>
        </w:tc>
      </w:tr>
      <w:tr>
        <w:trPr>
          <w:trHeight w:val="209"/>
        </w:trPr>
        <w:tc>
          <w:tcPr>
            <w:tcW w:w="6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equity under SEPA</w:t>
            </w:r>
          </w:p>
        </w:tc>
        <w:tc>
          <w:tcPr>
            <w:tcW w:w="1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244,018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(9,553,261)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(10,639,704)</w:t>
            </w:r>
          </w:p>
        </w:tc>
      </w:tr>
      <w:tr>
        <w:trPr>
          <w:trHeight w:val="21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40,359,738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50,999,442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30,806,477</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40,359,738</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carrying amount of right-of-use asset due to termination of lease</w:t>
            </w: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79,229</w:t>
            </w:r>
          </w:p>
        </w:tc>
        <w:tc>
          <w:tcPr>
            <w:tcW w:w="100" w:type="dxa"/>
            <w:vAlign w:val="bottom"/>
            <w:shd w:val="clear" w:color="auto" w:fill="CFF0FC"/>
          </w:tcPr>
          <w:p>
            <w:pPr>
              <w:spacing w:after="0"/>
              <w:rPr>
                <w:sz w:val="18"/>
                <w:szCs w:val="18"/>
                <w:color w:val="auto"/>
              </w:rPr>
            </w:pPr>
          </w:p>
        </w:tc>
      </w:tr>
      <w:tr>
        <w:trPr>
          <w:trHeight w:val="234"/>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80" w:type="dxa"/>
            <w:vAlign w:val="bottom"/>
          </w:tcPr>
          <w:p>
            <w:pPr>
              <w:spacing w:after="0"/>
              <w:rPr>
                <w:sz w:val="20"/>
                <w:szCs w:val="20"/>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-2145665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-2145665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-1579880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-1296670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-1296670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-730885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MediciNova, Inc. (the Company or MediciNova) was incorporated in the state of Delaware in September 2000 and is a public company.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and prevention of acute respiratory distress syndrome (ARDS), and MN-001 (tipelukast) for fibrotic and other metabolic disorders such as nonalcoholic fatty liver disease (NAFLD) and hypertriglyceridemia.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MediciNova, Inc. and its wholly owned subsidiaries MediciNova Japan, Inc., MediciNova (Europe) Limited, MediciNova Europe GmbH, MediciNova Canada, Inc.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An operating segment is identified as a component of an enterprise that engages in business activities about which separate discrete financial information and operating results is regularly reviewed by the chief operating decision-maker (CODM) in making decisions regarding resource allocation and assessing performance. The Company's CODM is the senior executive committee which is comprised of the Chief Executive Officer, Chief Medical Officer, and the Chief Financial Officer. The Company operates in a single operating segment – the acquisition and development of small molecule therapeutics for the treatment of serious diseases with unmet medical needs. The CODM assesses performance for the segment and decides how to allocate resources based on consolidated net loss as reported on the statement of operations, after taking into account the Company's strategic priorities, its cash balance, and its expected use of cash. Further, the CODM reviews and utilizes functional expenses (i.e., research, development, and patent expense, and general and administrative) at the consolidated level to manage the Company's operations. Other segment items included in consolidated net loss are revenues, stock-based compensation, depreciation and amortization, interest income, other expense, net, and income tax expense, which are reflected in the consolidated statements of operations and comprehensive loss. The measure of segment assets is reported on the consolidated balance sheet as total consolidated assets.</w:t>
      </w:r>
    </w:p>
    <w:p>
      <w:pPr>
        <w:spacing w:after="0" w:line="151"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information, including significant segment expenses, which are regularly provided to the CODM and included within segment and consolidated net loss: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74" w:name="page75"/>
    <w:bookmarkEnd w:id="74"/>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409,657</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center"/>
              <w:ind w:righ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excluding stock-based compensation</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378,606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6,849,996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6,751,167</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5,634,962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4,732,424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 excluding stock-based compensation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12,863,564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11,483,591</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443,564</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524,243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1,191,740</w:t>
            </w:r>
          </w:p>
        </w:tc>
        <w:tc>
          <w:tcPr>
            <w:tcW w:w="100" w:type="dxa"/>
            <w:vAlign w:val="bottom"/>
          </w:tcPr>
          <w:p>
            <w:pPr>
              <w:spacing w:after="0"/>
              <w:rPr>
                <w:sz w:val="18"/>
                <w:szCs w:val="18"/>
                <w:color w:val="auto"/>
              </w:rPr>
            </w:pPr>
          </w:p>
        </w:tc>
      </w:tr>
      <w:tr>
        <w:trPr>
          <w:trHeight w:val="210"/>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13,692,659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12,675,331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(13,283,002)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(12,675,331)</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1,303,792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1,670,804</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(12,753)</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(39,485)</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(5,994)</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(5,537)</w:t>
            </w:r>
          </w:p>
        </w:tc>
      </w:tr>
      <w:tr>
        <w:trPr>
          <w:trHeight w:val="20"/>
        </w:trPr>
        <w:tc>
          <w:tcPr>
            <w:tcW w:w="7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(11,997,957)</w:t>
            </w:r>
          </w:p>
        </w:tc>
        <w:tc>
          <w:tcPr>
            <w:tcW w:w="9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(11,049,549)</w:t>
            </w:r>
          </w:p>
        </w:tc>
      </w:tr>
      <w:tr>
        <w:trPr>
          <w:trHeight w:val="20"/>
        </w:trPr>
        <w:tc>
          <w:tcPr>
            <w:tcW w:w="7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-1576705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-1019175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-727710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other highly liquid investments, including money market and mutual funds accounts, with original maturities of three months or less from the date of purchase.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Investments purchased with an original maturity of greater than three months are classified as investments. Investments are stated at fair value and are classified as current or non-current based on the nature of the securities as well as their stated maturities. There were no investments held as of December 31, 2025 and December 31,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and Credit Risk</w:t>
      </w:r>
    </w:p>
    <w:p>
      <w:pPr>
        <w:spacing w:after="0" w:line="121"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The Company maintains cash balances and has purchased certificates of deposit at various financial institutions and such balances and certificates of deposit commonly exceed the $250,000 amount insured by the Federal Deposit Insurance Corporation. The Company also maintains money market and mutual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Financial instruments, including cash equivalents and accounts payable, are carried at cost, which management believes approximates fair value because of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IPR&amp;D, Long-Lived Assets and Goodwill</w:t>
      </w:r>
    </w:p>
    <w:p>
      <w:pPr>
        <w:spacing w:after="0" w:line="121"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Amounts incurred related to in-process research and development (IPR&amp;D) or asset purchases of IPR&amp;D are expensed as incurred. Amounts allocated to IPR&amp;D in connection with a business combination are recorded at fair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value and are considered indefinite-lived intangible assets until completion or abandonment of the associated research and development efforts. If and when development is complete, which generally occurs when regulatory approval to market a product is obtained, the associated assets are deemed finite-lived and amortized over a period that best reflects the economic benefits provided by these assets. During the period the assets are considered indefinite-lived, they will not be amortized but will be tested annually for impairment or more frequently if indicators of impairment exist. The Company first assesses qualitative factors to determine whether it is more likely than not that the fair value of the IPR&amp;D is less than its carrying amount as a basis for determining whether it is necessary to perform a quantitative assessment. If, after assessing qualitative factors, the Company determines it is not more likely than not that the fair value is less than its carrying amount, then a quantitative assessment is unnecessary. If the quantitative assessment is deemed necessary, the excess of the carrying value over fair value will be recorded as an impairment. The qualitative assessment focuses on the key inputs, assumptions and rationale utilized in the establishment of the carrying value and related changes since the last quantitative assessment. Based on the results of the Company’s annual qualitative assessment, the Company concluded that it is not more likely than not that IPR&amp;D was impaired for any of the periods presented.</w:t>
      </w:r>
    </w:p>
    <w:p>
      <w:pPr>
        <w:spacing w:after="0" w:line="151"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Company’s long-lived assets are reviewed for impairment whenever events or changes in circumstances indicate that the carrying value may not be recoverable, and the Company will perform an impairment analysis. The Company has a single asset group. Long-lived assets are deemed to be impaired when the undiscounted cash flows expected to be generated are less than the asset’s carrying amount. Any required impairment loss would be measured as the amount by which the asset’s carrying value exceeds its fair value and would be recorded as a reduction in the carrying value of the related asset and a charge to operating expense. There were no events or changes in circumstances to indicate that the carrying value may not be recoverable for any of the periods presented.</w:t>
      </w:r>
    </w:p>
    <w:p>
      <w:pPr>
        <w:spacing w:after="0" w:line="160"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Goodwill is reviewed for impairment annually (as of December 31st) or more frequently if indicators of impairment exist. As the Company operates in a single operating segment and reporting unit, goodwill is assessed at a consolidated level. The Company first assesses qualitative factors to determine whether it is more likely than not that the fair value of the reporting unit is less than its carrying amount, including goodwill. If so, the Company will proceed with a quantitative assessment that compares the fair value of the reporting unit with its carrying amount. If the fair value exceeds the carrying value as a result of either the qualitative or quantitative test, goodwill is not considered impaired. The qualitative factors include economic environment, business climate, market capitalization, operating performance, competition, and other factors. The Company placed the highest weight in excess cushion of the market capitalization to the equity carrying value in the analysis. Based on the results of the Company’s annual qualitative assessment, the Company concluded that it is not more likely than not that goodwill was impaired for any of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21"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$6.7 million and $6.8 million for the years ended December 31, 2025 and 2024, respectively.</w:t>
      </w:r>
    </w:p>
    <w:p>
      <w:pPr>
        <w:spacing w:after="0" w:line="135"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$0.4 million and $0.4 million for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 As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expect to pay to borrow on a collateralized and fully amortizing basis over a similar term an amount equal to the lease payments in a similar economic environment.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Clinical Trial Accruals and Prepaid Expenses</w:t>
      </w:r>
    </w:p>
    <w:p>
      <w:pPr>
        <w:spacing w:after="0" w:line="121" w:lineRule="exact"/>
        <w:rPr>
          <w:sz w:val="20"/>
          <w:szCs w:val="20"/>
          <w:color w:val="auto"/>
        </w:rPr>
      </w:pPr>
    </w:p>
    <w:p>
      <w:pPr>
        <w:ind w:firstLine="656"/>
        <w:spacing w:after="0" w:line="258" w:lineRule="auto"/>
        <w:rPr>
          <w:sz w:val="20"/>
          <w:szCs w:val="20"/>
          <w:color w:val="auto"/>
        </w:rPr>
      </w:pPr>
      <w:r>
        <w:rPr>
          <w:rFonts w:ascii="Times New Roman" w:cs="Times New Roman" w:eastAsia="Times New Roman" w:hAnsi="Times New Roman"/>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milestones achieved,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recognized over the service period as the services are provided. As of December 31, 2025, the Company recorded $1.4 million and $0.1 million in clinical trial accruals and prepaid expenses, respectively. As of December 31, 2024, the Company recorded $0.7 million and $0.5 million in clinical trial accruals and prepaid expenses,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one to three years; however, the Company’s equity compensation plans provide for any vesting schedule as the board may deem appropriate. Forfeitures are recognized as they occur.</w:t>
      </w:r>
    </w:p>
    <w:p>
      <w:pPr>
        <w:spacing w:after="0" w:line="139"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The Company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and the expected number of options based upon the expected performance compared to the performance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Income taxes are determined using the asset and liability approach of accounting for income taxes. Under this approach, deferred taxes represent the future tax consequences expected to occur when the reported amounts of assets and liabilities are recovered or paid. Deferred taxes result from differences between the financial statement and tax bases of assets and liabilities and are adjusted for changes in tax rates and tax laws when changes are enacted. A valuation allowance is recorded to reduce deferred tax assets when it is more likely than not that a tax benefit will not be realized. The Company's policy is to recognize interest expense and penalties related to income tax matters as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outstanding stock option agreements. Common share equivalents are excluded from the diluted net loss per share calculation if their effect is anti-dilutive.</w:t>
      </w:r>
    </w:p>
    <w:p>
      <w:pPr>
        <w:spacing w:after="0" w:line="156"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Potentially dilutive outstanding securities of 8,002,394 and 7,040,894 consisting of stock options for the years ended December 31, 2025 and 2024, respectively, were excluded from diluted net loss per common share because of their anti-dilutive effect.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7" w:lineRule="exact"/>
        <w:rPr>
          <w:sz w:val="20"/>
          <w:szCs w:val="20"/>
          <w:color w:val="auto"/>
        </w:rPr>
      </w:pPr>
    </w:p>
    <w:p>
      <w:pPr>
        <w:ind w:right="20" w:firstLine="424"/>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enhances the transparency and decision usefulness of income tax disclosures. Specifically, it requires that a public business entity: 1) disclose, on an annual basis, an income tax rate reconciliation in a tabular form, disclosing specific categories and providing additional information for reconciling items that meet a quantitative threshold; 2) disclose on an annual basis the following information about income taxes paid: i) the amount of income taxes paid (net of refunds received) disaggregated by federal (national), state, and foreign taxes, ii) the amount of income taxes paid (net of refunds received) disaggregated by individual jurisdictions in which income taxes paid (net of refunds received) is equal to or greater than 5 percent of total income taxes paid (net of refunds received); 3) all entities are required to disclose: i) income (or loss) from continuing operations before income tax expense (or benefit) disaggregated between domestic and foreign; and ii) income tax expense (or benefit) from continuing operations disaggregated by federal (national), state, and foreign. For public business entities, the amendments are effective for annual periods beginning after December 15, 2024. For all other entities, the amendments are effective for annual periods beginning after December 15, 2025. Early adoption is permitted for annual financial statements that have not yet been issued or made available for issuance. The amendments in this ASU should be applied on a prospective basis. Retrospective application is permitted. The Company adopted ASU 2023-09 on January 1, 2025 using the retrospective method for the comparative period with additional disclosure contained in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40" w:firstLine="4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requires additional disclosure of the nature of expenses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ASU 2024-03 is effective for fiscal years beginning after December 15, 2026, and interim reporting periods beginning after December 15, 2027. Early adoption is permitted. The Company is currently evaluating the potential impact that this standard will have on its consolidated financial statements and related disclosures.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right="60" w:firstLine="514"/>
        <w:spacing w:after="0" w:line="256" w:lineRule="auto"/>
        <w:rPr>
          <w:sz w:val="20"/>
          <w:szCs w:val="20"/>
          <w:color w:val="auto"/>
        </w:rPr>
      </w:pPr>
      <w:r>
        <w:rPr>
          <w:rFonts w:ascii="Times New Roman" w:cs="Times New Roman" w:eastAsia="Times New Roman" w:hAnsi="Times New Roman"/>
          <w:sz w:val="18"/>
          <w:szCs w:val="18"/>
          <w:color w:val="auto"/>
        </w:rPr>
        <w:t>Revenues historically have consisted mainly of research and development services performed under contracts with customers.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Mayo Foundation for Medical Education and Research</w:t>
      </w:r>
    </w:p>
    <w:p>
      <w:pPr>
        <w:spacing w:after="0" w:line="121"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an agreement with Mayo Foundation for Medical Education and Research (Mayo), to support clinical research services to evaluate the efficacy of MN-166 (ibudilast) in ALS. The agreement had an initial one year term, with automatic successive one year terms unless either party gives written notice of non-renewal to the other party not less than 90 days prior to the end of the then-current term, with payment for services due within 60 days from invoice. The agreement can be terminated by either party upon the occurrence of certain events, including by either party, without cause, upon not less than 30 days prior written notice. In August 2025, the Mayo agreement was amended to extend the initial term until August 2026. The Company assessed the services in accordance with the authoritative guidance and concluded that it met the definition of a contract per ASC 606 with one performance obligation. The performance obligation identified was for pharmacovigilance and clinical research support services satisfied over time using the cost-to-cost method. In March 2025, the first study site enrolled the first patients into the study and principal services under the agreement began in April 2025. In August 2025, the Company received $0.8 million from Mayo, of which $0.4 million is a current liability recognized as deferred revenue as of December 31, 2025. The Company recognized revenue of $0.4 million in the year ended December 31, 2025. The remaining performance obligation under this agreement relates to pharmacovigilance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clinical research support services, which will be satisfied over the remaining term of the agreement. As of December 31, 2025, the aggregate amount of the transaction price allocated to remaining performance obligations was $1.8 million, of which approximately 31% is expected to be converted to revenue in 2026, 31% in the following twelve months, and the remainder thereafter.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180"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Observable inputs such as quoted prices in active markets;</w:t>
      </w:r>
    </w:p>
    <w:p>
      <w:pPr>
        <w:spacing w:after="0" w:line="131" w:lineRule="exact"/>
        <w:rPr>
          <w:sz w:val="20"/>
          <w:szCs w:val="20"/>
          <w:color w:val="auto"/>
        </w:rPr>
      </w:pPr>
    </w:p>
    <w:p>
      <w:pPr>
        <w:ind w:left="1560" w:right="540" w:hanging="1052"/>
        <w:spacing w:after="0" w:line="282" w:lineRule="auto"/>
        <w:tabs>
          <w:tab w:leader="none" w:pos="15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quoted prices for similar items in active markets or inputs are quoted prices for identical or similar items in markets that are not active near the measurement date; and</w:t>
      </w:r>
    </w:p>
    <w:p>
      <w:pPr>
        <w:spacing w:after="0" w:line="67"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due to little or no market data, which require the reporting entity to develop its own assumptions.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amount and approximate fair value of financial instruments as of December 31, 2025 and 2024,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46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8"/>
              </w:rPr>
              <w:t>Cash equivalents:</w:t>
            </w: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Mutual funds</w:t>
            </w:r>
          </w:p>
        </w:tc>
        <w:tc>
          <w:tcPr>
            <w:tcW w:w="1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30,308,988</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30,308,988</w:t>
            </w:r>
          </w:p>
        </w:tc>
        <w:tc>
          <w:tcPr>
            <w:tcW w:w="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21,501,081</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21,501,081</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630"/>
        </w:trPr>
        <w:tc>
          <w:tcPr>
            <w:tcW w:w="35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4. Balance Sheet Details</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4760" w:type="dxa"/>
            <w:vAlign w:val="bottom"/>
            <w:gridSpan w:val="5"/>
          </w:tcPr>
          <w:p>
            <w:pPr>
              <w:jc w:val="right"/>
              <w:ind w:right="502"/>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Furniture and equipment</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88,521</w:t>
            </w:r>
          </w:p>
        </w:tc>
        <w:tc>
          <w:tcPr>
            <w:tcW w:w="560" w:type="dxa"/>
            <w:vAlign w:val="bottom"/>
            <w:tcBorders>
              <w:lef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85,613</w:t>
            </w:r>
          </w:p>
        </w:tc>
        <w:tc>
          <w:tcPr>
            <w:tcW w:w="8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342,628</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431,149</w:t>
            </w:r>
          </w:p>
        </w:tc>
        <w:tc>
          <w:tcPr>
            <w:tcW w:w="200" w:type="dxa"/>
            <w:vAlign w:val="bottom"/>
            <w:tcBorders>
              <w:lef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428,241</w:t>
            </w:r>
          </w:p>
        </w:tc>
        <w:tc>
          <w:tcPr>
            <w:tcW w:w="8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(402,734)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560" w:type="dxa"/>
            <w:vAlign w:val="bottom"/>
            <w:tcBorders>
              <w:lef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8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The Company uses the straight-line method to record depreciation expense with useful lives of three to five years. Depreciation and amortization of property and equipment of $20,099 and $21,077 was recorded for the years ended December 31, 2025 and 2024, respectively.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9" w:name="page80"/>
    <w:bookmarkEnd w:id="7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 and Other Current Liabilities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liabilities and other current liabilities consist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824,529</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785,949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accruals</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1,368,949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726,130</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 fees</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268,003</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23,949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146,540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126,832</w:t>
            </w:r>
          </w:p>
        </w:tc>
      </w:tr>
      <w:tr>
        <w:trPr>
          <w:trHeight w:val="20"/>
        </w:trPr>
        <w:tc>
          <w:tcPr>
            <w:tcW w:w="4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liabilities and other current liabilities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2,608,021</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1,662,860</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operating leases primarily for real estate in the United States and Japan. The United States lease is for the Company’s headquarters in San Diego and has a term of five years ending January 31, 2027, with annual escalations. In April 2024, the Company provided notice to terminate its previous lease agreement for its Tokyo office, effective October 2024, and in May 2024, the Company entered into a new lease agreement, effective June 2024, for a different office space for its Tokyo location. The new lease had an initial lease term of 12 months ending May 2025, following which the Company exercised its option to extend for an additional two months. Thereafter, there will be automatic two-month renewals until the lease is terminated. In measuring the lease liability, the Company determined that it was reasonably certain that it would exercise one renewal option. Accordingly, the Company used a lease term of 14 months in measuring the lease liability. The Company measured the lease liability based on the present value of the future lease payments, including the one extension option that is reasonably certain to be exercised, discounted using the estimated incremental borrowing rate of 6.51%, which is the interest rate that the Company would have to pay to borrow on a collateralized basis over a similar term for an amount equal to the lease payments at initial commencement. The real estate operating leases are included in “Right-of-use asset” on the Company's consolidated balance sheets and represents the Company’s right to use the underlying assets for the lease term. The Company’s obligation to make lease payments are included in "Operating lease liability" and "Other non-current liabilities" on the Company's consolidated balance sheets.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related to the Company’s right-of-use assets and related lease liabilities are as follows:</w:t>
      </w:r>
    </w:p>
    <w:p>
      <w:pPr>
        <w:spacing w:after="0" w:line="9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223,999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261,069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operating</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30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193,769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211,460</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405,229</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-574040</wp:posOffset>
            </wp:positionV>
            <wp:extent cx="1111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-556895</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-574040</wp:posOffset>
            </wp:positionV>
            <wp:extent cx="1111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-556895</wp:posOffset>
            </wp:positionV>
            <wp:extent cx="111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were as follows:</w:t>
            </w: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38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5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5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minimum payments</w:t>
            </w:r>
          </w:p>
        </w:tc>
        <w:tc>
          <w:tcPr>
            <w:tcW w:w="15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(12,292)</w:t>
            </w:r>
          </w:p>
        </w:tc>
      </w:tr>
      <w:tr>
        <w:trPr>
          <w:trHeight w:val="20"/>
        </w:trPr>
        <w:tc>
          <w:tcPr>
            <w:tcW w:w="7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38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211,460</w:t>
            </w:r>
          </w:p>
        </w:tc>
        <w:tc>
          <w:tcPr>
            <w:tcW w:w="100" w:type="dxa"/>
            <w:vAlign w:val="bottom"/>
            <w:shd w:val="clear" w:color="auto" w:fill="CFF0FC"/>
          </w:tcPr>
          <w:p>
            <w:pPr>
              <w:spacing w:after="0"/>
              <w:rPr>
                <w:sz w:val="19"/>
                <w:szCs w:val="19"/>
                <w:color w:val="auto"/>
              </w:rPr>
            </w:pPr>
          </w:p>
        </w:tc>
      </w:tr>
      <w:tr>
        <w:trPr>
          <w:trHeight w:val="20"/>
        </w:trPr>
        <w:tc>
          <w:tcPr>
            <w:tcW w:w="73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Research Agreements</w:t>
      </w:r>
    </w:p>
    <w:p>
      <w:pPr>
        <w:spacing w:after="0" w:line="12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43" w:lineRule="exact"/>
        <w:rPr>
          <w:sz w:val="20"/>
          <w:szCs w:val="20"/>
          <w:color w:val="auto"/>
        </w:rPr>
      </w:pPr>
    </w:p>
    <w:p>
      <w:pPr>
        <w:ind w:right="200" w:firstLine="374"/>
        <w:spacing w:after="0" w:line="256" w:lineRule="auto"/>
        <w:rPr>
          <w:sz w:val="20"/>
          <w:szCs w:val="20"/>
          <w:color w:val="auto"/>
        </w:rPr>
      </w:pPr>
      <w:r>
        <w:rPr>
          <w:rFonts w:ascii="Times New Roman" w:cs="Times New Roman" w:eastAsia="Times New Roman" w:hAnsi="Times New Roman"/>
          <w:sz w:val="18"/>
          <w:szCs w:val="18"/>
          <w:color w:val="auto"/>
        </w:rPr>
        <w:t>No milestone payments have been made under these agreements during the years ended December 31, 2025 and 2024. For products currently in development, future potential milestone payments based on product development of MN-166 (ibudilast) and MN-001 (tipelukast) are $10 million as of December 31, 2025. For all other products, future potential milestone payments related to development milestones and commercialization milestones totaled $16.5 million as of December 31, 2025.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or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w:t>
      </w:r>
    </w:p>
    <w:p>
      <w:pPr>
        <w:spacing w:after="0" w:line="165"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In June 2023, the Company adopted the 2023 Equity Incentive Plan, or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1" w:name="page82"/>
    <w:bookmarkEnd w:id="81"/>
    <w:p>
      <w:pPr>
        <w:spacing w:after="0" w:line="1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2025, 1,932,173 shares remain available for future grant under the 2023 Plan.</w:t>
      </w:r>
    </w:p>
    <w:p>
      <w:pPr>
        <w:spacing w:after="0" w:line="18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Certain of the employee stock options granted contain performance conditions, the vesting of which is based on a determination made by the board of directors or its compensation committee as to the achievement of certain corporate objectives at the end of the performance period. The grant date of such awards is the date on which the board of directors or its compensation committee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December 31, 2025, there were a total of 1,070,000 shares underlying performance options that were subject to vesting based on achievement of corporate objectives and employee performance for 2025. In January 2026, the compensation committee with the approval of the board of directors determined that the performance milestones were achieved at various levels, and accordingly 920,000 of these options vested and the remaining shares were forfeited.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Options granted under the 2023 Plan and the 2013 Plan have terms of ten years from the date of grant unless earlier terminated and generally vest over a one to four-year period.</w:t>
      </w:r>
    </w:p>
    <w:p>
      <w:pPr>
        <w:spacing w:after="0" w:line="121" w:lineRule="exact"/>
        <w:rPr>
          <w:sz w:val="20"/>
          <w:szCs w:val="20"/>
          <w:color w:val="auto"/>
        </w:rPr>
      </w:pPr>
    </w:p>
    <w:p>
      <w:pPr>
        <w:ind w:right="600" w:firstLine="374"/>
        <w:spacing w:after="0" w:line="282" w:lineRule="auto"/>
        <w:rPr>
          <w:sz w:val="20"/>
          <w:szCs w:val="20"/>
          <w:color w:val="auto"/>
        </w:rPr>
      </w:pPr>
      <w:r>
        <w:rPr>
          <w:rFonts w:ascii="Times New Roman" w:cs="Times New Roman" w:eastAsia="Times New Roman" w:hAnsi="Times New Roman"/>
          <w:sz w:val="18"/>
          <w:szCs w:val="18"/>
          <w:color w:val="auto"/>
        </w:rPr>
        <w:t>The exercise price of all options granted during the years ended December 31, 2025 and 2024 was equal to the market value of the Company’s common stock on the date of grant.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for the years ended December 31, 2025 and 2024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7540" w:type="dxa"/>
            <w:vAlign w:val="bottom"/>
          </w:tcPr>
          <w:p>
            <w:pPr>
              <w:spacing w:after="0"/>
              <w:rPr>
                <w:sz w:val="15"/>
                <w:szCs w:val="15"/>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1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7,781,749</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(430,105)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2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(1,410,750)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FF0FC"/>
          </w:tcPr>
          <w:p>
            <w:pPr>
              <w:spacing w:after="0"/>
              <w:rPr>
                <w:sz w:val="18"/>
                <w:szCs w:val="18"/>
                <w:color w:val="auto"/>
              </w:rPr>
            </w:pPr>
          </w:p>
        </w:tc>
      </w:tr>
      <w:tr>
        <w:trPr>
          <w:trHeight w:val="210"/>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7,040,894</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FF0FC"/>
            </w:tcBorders>
          </w:tcPr>
          <w:p>
            <w:pPr>
              <w:spacing w:after="0"/>
              <w:rPr>
                <w:sz w:val="18"/>
                <w:szCs w:val="18"/>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1,480,500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8,002,394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6,844,679</w:t>
            </w:r>
          </w:p>
        </w:tc>
        <w:tc>
          <w:tcPr>
            <w:tcW w:w="2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7540" w:type="dxa"/>
            <w:vAlign w:val="bottom"/>
          </w:tcPr>
          <w:p>
            <w:pPr>
              <w:spacing w:after="0"/>
              <w:rPr>
                <w:sz w:val="24"/>
                <w:szCs w:val="24"/>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24"/>
                <w:szCs w:val="24"/>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7540" w:type="dxa"/>
            <w:vAlign w:val="bottom"/>
          </w:tcPr>
          <w:p>
            <w:pPr>
              <w:spacing w:after="0"/>
              <w:rPr>
                <w:sz w:val="15"/>
                <w:szCs w:val="15"/>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860,000</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1,480,500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2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(1,079,785)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r>
      <w:tr>
        <w:trPr>
          <w:trHeight w:val="250"/>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1,157,715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-2117090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-1268095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-1250950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Options outstanding and exercisable at December 31, 2025 had a weighted average contractual life of 4.35 years and 4.05 years, respectively.</w:t>
      </w:r>
    </w:p>
    <w:p>
      <w:pPr>
        <w:spacing w:after="0" w:line="198"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total intrinsic value of options outstanding was $3,000 and $0.5 million, respectively. Total intrinsic value of options exercisable was $1,500 and $25,840 as of December 31, 2025 and 2024, respectively. Total fair value of options vested was $1.1 million and $0.9 million for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valuation model for determining the estimated fair value for stock-based awards and considers management’s current expectations of the achievement of the performance objectives for the year. The following table provides the weighted-average assumptions used in the Black-Scholes valuation model used to estimate the fair value of options granted during years ended December 31, 2025 and 2024, and to estimate the fair value of performance-based stock options as of December 31, 2025 and 2024:</w:t>
      </w:r>
    </w:p>
    <w:p>
      <w:pPr>
        <w:spacing w:after="0" w:line="20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7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62.72%</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72.25%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term (in years)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foreseeable future. The expected term of employee stock options is based on the simplified method as provided by the authoritative guidance on stock compensation, as the historical stock option exercise experience does not provide a reasonable basis to estimate the expected term.</w:t>
      </w:r>
    </w:p>
    <w:p>
      <w:pPr>
        <w:spacing w:after="0" w:line="121"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each stock option granted during the years ended December 31, 2025 and 2024, estimated as of the grant date using the Black-Scholes option valuation model, was $1.34 per option and $0.99 per option, respectively.</w:t>
      </w:r>
    </w:p>
    <w:p>
      <w:pPr>
        <w:spacing w:after="0" w:line="121" w:lineRule="exact"/>
        <w:rPr>
          <w:sz w:val="20"/>
          <w:szCs w:val="20"/>
          <w:color w:val="auto"/>
        </w:rPr>
      </w:pPr>
    </w:p>
    <w:p>
      <w:pPr>
        <w:ind w:right="180" w:firstLine="54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 awards are reflected in total operating expenses for each respective year. The following table summarizes stock-based compensation expense for the years ended December 31, 2025 and 2024:</w:t>
      </w:r>
    </w:p>
    <w:p>
      <w:pPr>
        <w:spacing w:after="0" w:line="20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304,852</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443,564</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524,243</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748,176</w:t>
            </w:r>
          </w:p>
        </w:tc>
        <w:tc>
          <w:tcPr>
            <w:tcW w:w="80" w:type="dxa"/>
            <w:vAlign w:val="bottom"/>
          </w:tcPr>
          <w:p>
            <w:pPr>
              <w:spacing w:after="0"/>
              <w:rPr>
                <w:sz w:val="18"/>
                <w:szCs w:val="18"/>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829,095</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1,191,740</w:t>
            </w:r>
          </w:p>
        </w:tc>
        <w:tc>
          <w:tcPr>
            <w:tcW w:w="8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431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18"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$0.1 million of unamortized compensation cost related to unvested stock option awards which is expected to be recognized over a remaining weighted-average vesting period of 0.05 years, on a straight-line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Issuance Sales Agreement</w:t>
      </w:r>
    </w:p>
    <w:p>
      <w:pPr>
        <w:spacing w:after="0" w:line="119" w:lineRule="exact"/>
        <w:rPr>
          <w:sz w:val="20"/>
          <w:szCs w:val="20"/>
          <w:color w:val="auto"/>
        </w:rPr>
      </w:pPr>
    </w:p>
    <w:p>
      <w:pPr>
        <w:ind w:right="180" w:firstLine="549"/>
        <w:spacing w:after="0" w:line="266" w:lineRule="auto"/>
        <w:rPr>
          <w:sz w:val="20"/>
          <w:szCs w:val="20"/>
          <w:color w:val="auto"/>
        </w:rPr>
      </w:pPr>
      <w:r>
        <w:rPr>
          <w:rFonts w:ascii="Times New Roman" w:cs="Times New Roman" w:eastAsia="Times New Roman" w:hAnsi="Times New Roman"/>
          <w:sz w:val="18"/>
          <w:szCs w:val="18"/>
          <w:color w:val="auto"/>
        </w:rPr>
        <w:t>On August 23, 2019, the Company entered into an at the market issuance sales agreement, which was amended on August 26, 2022 (as amended, the ATM Agreement) with B. Riley FBR, Inc. (B. Riley FBR) for the offer and sale of common stock through B. Riley FBR from time to time up to an aggregate offering price of $75.0 million.</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in the years ended December 31, 2025 and 2024, respectively.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February 26, 2026 the Company notified B. Riley FBR that it was terminating the ATM agreement effective March 8,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119" w:lineRule="exact"/>
        <w:rPr>
          <w:sz w:val="20"/>
          <w:szCs w:val="20"/>
          <w:color w:val="auto"/>
        </w:rPr>
      </w:pPr>
    </w:p>
    <w:p>
      <w:pPr>
        <w:ind w:firstLine="549"/>
        <w:spacing w:after="0" w:line="267" w:lineRule="auto"/>
        <w:rPr>
          <w:sz w:val="20"/>
          <w:szCs w:val="20"/>
          <w:color w:val="auto"/>
        </w:rPr>
      </w:pPr>
      <w:r>
        <w:rPr>
          <w:rFonts w:ascii="Times New Roman" w:cs="Times New Roman" w:eastAsia="Times New Roman" w:hAnsi="Times New Roman"/>
          <w:sz w:val="17"/>
          <w:szCs w:val="17"/>
          <w:color w:val="auto"/>
        </w:rPr>
        <w:t>On July 30, 2025, the Company entered into a Standby Equity Purchase Agreement, or the SEPA with YA II PN, LTD., a Cayman Islands exempt limited company, or Yorkville. Pursuant to the SEPA, the Company has the right, but not the obligation, to sell to Yorkville from time to time up to $30.0 million of its common stock, during the 36 months following the execution of the SEPA, subject to the restrictions and satisfaction of the conditions in the SEPA. At the Company's option, the shares of common stock would be purchased by Yorkville from time to time at a price equal to 97% of the lowest of the three daily volume weighted average prices (VWAPs), during a three consecutive trading day period commencing on the date that the Company, subject to certain limitations, delivers to Yorkville a notice that the Company is committing Yorkville to purchase such shares of common stock. The Company may also specify a certain minimum acceptable price per share for a drawdown under the SEPA. As consideration for Yorkville's irrevocable commitment to purchase common stock, the Company paid Yorkville a $25,000 structuring fee along with a commitment fee of $375,000, recorded as General and Administrative expense. Under the applicable rules of Nasdaq and pursuant to the SEPA, in no event may the Company issue or sell to Yorkville more than 9,804,345 shares of common stock, or the Exchange Cap, which is 19.99% of the shares of common stock outstanding immediately prior to the execution of the SEPA, unless (i) the Company obtains stockholder approval to issue shares of common stock in excess of the Exchange Cap or</w:t>
      </w:r>
    </w:p>
    <w:p>
      <w:pPr>
        <w:spacing w:after="0" w:line="2" w:lineRule="exact"/>
        <w:rPr>
          <w:sz w:val="20"/>
          <w:szCs w:val="20"/>
          <w:color w:val="auto"/>
        </w:rPr>
      </w:pPr>
    </w:p>
    <w:p>
      <w:pPr>
        <w:jc w:val="both"/>
        <w:ind w:right="260" w:firstLine="8"/>
        <w:spacing w:after="0" w:line="253"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of all applicable shares of common stock under the SEPA equals or exceeds $1.33 per share (which represents the lower of (i) the Nasdaq Official Closing Price (as reflected on Nasdaq.com) on the trading day immediately preceding July 30, 2025 or (ii) the average Nasdaq Official Closing Price of the common stock (as reflected on Nasdaq.com) for the five trading days immediately preceding July 30, 2025). Pursuant to the SEPA, Yorkville shall not be obliged to</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purchase or acquire any shares of common stock under the SEPA which, when aggregated with all other shares of the Company's common stock beneficially owned by Yorkville and its affiliates, would result in the beneficial ownership of Yorkville and its affiliates (on an aggregated basis) exceeding 4.99% of the then outstanding voting power or number of outstanding shares of the Company's common stock.</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a financial advisory agreement between the Company and D. Boral Capital LLC (D. Boral), the Company has also agreed to pay 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Boral a fee equal to three percent of the gross proceeds received from any shares that the Company sells to Yorkville pursuant to the SEPA.</w:t>
      </w:r>
    </w:p>
    <w:p>
      <w:pPr>
        <w:spacing w:after="0" w:line="99" w:lineRule="exact"/>
        <w:rPr>
          <w:sz w:val="20"/>
          <w:szCs w:val="20"/>
          <w:color w:val="auto"/>
        </w:rPr>
      </w:pPr>
    </w:p>
    <w:p>
      <w:pPr>
        <w:ind w:right="160" w:firstLine="5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sold 175,000 shares of its common stock at prices ranging from $1.39 to $1.40 per share for proceeds of $0.2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Distribution Agreement</w:t>
      </w:r>
    </w:p>
    <w:p>
      <w:pPr>
        <w:spacing w:after="0" w:line="119" w:lineRule="exact"/>
        <w:rPr>
          <w:sz w:val="20"/>
          <w:szCs w:val="20"/>
          <w:color w:val="auto"/>
        </w:rPr>
      </w:pPr>
    </w:p>
    <w:p>
      <w:pPr>
        <w:ind w:right="100" w:firstLine="549"/>
        <w:spacing w:after="0" w:line="254" w:lineRule="auto"/>
        <w:rPr>
          <w:sz w:val="20"/>
          <w:szCs w:val="20"/>
          <w:color w:val="auto"/>
        </w:rPr>
      </w:pPr>
      <w:r>
        <w:rPr>
          <w:rFonts w:ascii="Times New Roman" w:cs="Times New Roman" w:eastAsia="Times New Roman" w:hAnsi="Times New Roman"/>
          <w:sz w:val="18"/>
          <w:szCs w:val="18"/>
          <w:color w:val="auto"/>
        </w:rPr>
        <w:t>On December 29, 2025, the Company entered into an equity distribution agreement, with Lucid Capital Markets, LLC (Lucid) pursuant to which the Company may sell common stock through Lucid from time to time up to an aggregate offering price of $50.0 million (the Equity Distribution Agreement). Sales of the Company's common stock through Lucid,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Lucid may also sell the common stock in privately negotiated transactions, subject to our prior approval. The Company agreed to pay Lucid an aggregate commission rate of 3.0% of the gross proceeds of any common stock sold under this agreement. Proceeds from sales of common stock will depend on the number of shares of common stock sold to Lucid and the per share purchase price of each transaction.</w:t>
      </w:r>
    </w:p>
    <w:p>
      <w:pPr>
        <w:spacing w:after="0" w:line="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shares of common stock were sold under the Equity Distribution Agreement in the year ended December 31, 2025.</w:t>
      </w:r>
    </w:p>
    <w:p>
      <w:pPr>
        <w:sectPr>
          <w:pgSz w:w="11900" w:h="16838" w:orient="portrait"/>
          <w:cols w:equalWidth="0" w:num="1">
            <w:col w:w="11240"/>
          </w:cols>
          <w:pgMar w:left="320" w:top="1440" w:right="33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common stock reserved for future issuance at December 31, 2025:</w:t>
      </w:r>
    </w:p>
    <w:p>
      <w:pPr>
        <w:spacing w:after="0" w:line="23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Common stock reserved for issuance upon exercise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-119380</wp:posOffset>
            </wp:positionV>
            <wp:extent cx="4277360" cy="411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77360" cy="411480"/>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options outstanding (under the 2004 Plan, 2013 Plan</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and 2023 Plan)</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Common stock reserved for future equity awards (under</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the 2023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8,002,394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1,932,173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17145</wp:posOffset>
            </wp:positionV>
            <wp:extent cx="728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9,934,567</w:t>
      </w:r>
    </w:p>
    <w:p>
      <w:pPr>
        <w:spacing w:after="0" w:line="625" w:lineRule="exact"/>
        <w:rPr>
          <w:sz w:val="20"/>
          <w:szCs w:val="20"/>
          <w:color w:val="auto"/>
        </w:rPr>
      </w:pPr>
    </w:p>
    <w:p>
      <w:pPr>
        <w:sectPr>
          <w:pgSz w:w="11900" w:h="16838" w:orient="portrait"/>
          <w:cols w:equalWidth="0" w:num="2">
            <w:col w:w="7520" w:space="680"/>
            <w:col w:w="3040"/>
          </w:cols>
          <w:pgMar w:left="320" w:top="1440"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8"/>
          <w:szCs w:val="18"/>
          <w:color w:val="auto"/>
        </w:rPr>
        <w:t>A reconciliation of loss before income taxes for domestic and foreign locations for the years ended December 31, 2025 and 2024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6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(12,004,784)</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(11,060,506)</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tcPr>
          <w:p>
            <w:pPr>
              <w:spacing w:after="0"/>
              <w:rPr>
                <w:sz w:val="18"/>
                <w:szCs w:val="18"/>
                <w:color w:val="auto"/>
              </w:rPr>
            </w:pPr>
          </w:p>
        </w:tc>
      </w:tr>
      <w:tr>
        <w:trPr>
          <w:trHeight w:val="25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(11,991,963)</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(11,044,012)</w:t>
            </w:r>
          </w:p>
        </w:tc>
      </w:tr>
      <w:tr>
        <w:trPr>
          <w:trHeight w:val="845"/>
        </w:trPr>
        <w:tc>
          <w:tcPr>
            <w:tcW w:w="3680" w:type="dxa"/>
            <w:vAlign w:val="bottom"/>
            <w:tcBorders>
              <w:top w:val="single" w:sz="8" w:color="CFF0FC"/>
            </w:tcBorders>
          </w:tcPr>
          <w:p>
            <w:pPr>
              <w:spacing w:after="0"/>
              <w:rPr>
                <w:sz w:val="24"/>
                <w:szCs w:val="24"/>
                <w:color w:val="auto"/>
              </w:rPr>
            </w:pPr>
          </w:p>
        </w:tc>
        <w:tc>
          <w:tcPr>
            <w:tcW w:w="404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-1070610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-1053465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5" w:name="page86"/>
    <w:bookmarkEnd w:id="85"/>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income tax expense for the years ended December 31, 2025 and 2024 is as follows: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40" w:type="dxa"/>
            <w:vAlign w:val="bottom"/>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(5,994)</w:t>
            </w: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(5,994)</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(5,994)</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-1019175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-1019175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significant components of deferred income taxes at December 31, 2025 and 2024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67,509,750</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71,161,394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tax credits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8,564,654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842,014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liability</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experimentation capitalization</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4,975,660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82,215,878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85,635,347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(51,554)</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(94,000)</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(1,343,213)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(1,343,213)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(1,394,767)</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(1,437,213)</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80,821,111</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84,198,134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(81,022,903)</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(84,399,926)</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(201,792)</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(201,792)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-1019175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-453390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right="340" w:firstLine="374"/>
        <w:spacing w:after="0" w:line="253" w:lineRule="auto"/>
        <w:rPr>
          <w:sz w:val="20"/>
          <w:szCs w:val="20"/>
          <w:color w:val="auto"/>
        </w:rPr>
      </w:pPr>
      <w:r>
        <w:rPr>
          <w:rFonts w:ascii="Times New Roman" w:cs="Times New Roman" w:eastAsia="Times New Roman" w:hAnsi="Times New Roman"/>
          <w:sz w:val="18"/>
          <w:szCs w:val="18"/>
          <w:color w:val="auto"/>
        </w:rPr>
        <w:t>The Company has established a valuation allowance against net deferred tax assets due to the uncertainty that such assets will be realized. The net change in the valuation allowance during the year ended December 31, 2025 was a decrease of $3.4 million. The Company periodically evaluates the recoverability of the deferred tax assets. At such time as it is determined that it is more likely than not that deferred tax assets will be realizable, the valuation allowance will be reduced.</w:t>
      </w:r>
    </w:p>
    <w:p>
      <w:pPr>
        <w:ind w:left="9040"/>
        <w:spacing w:after="0" w:line="225" w:lineRule="auto"/>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line="232"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 beginning of year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84,399,926</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83,366,840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Allowance taken or written off</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(3,375,117)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1,037,735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(4,649)</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 end of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81,022,903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84,399,926</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has federal and California net operating loss (NOL) carryforwards of approximately $262.7 million and $194.3 million, respectively. $201.2 million of federal NOL carryforwards begin to expire in 2026, $61.5 million of federal NOL carryforwards can be carried forward indefinitely, and the California NOL carryforwards begin to expire in 2028. At December 31, 2025, the Company also had federal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5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California research tax credit carry-forwards of approximately $7.5 million and $2.5 million, respectively. The federal research tax credit carryforwards begin to expire in 2026, and the California research tax credit carryforward does not expire and can be carried forward indefinitely until utilized.</w:t>
      </w:r>
    </w:p>
    <w:p>
      <w:pPr>
        <w:spacing w:after="0" w:line="135" w:lineRule="exact"/>
        <w:rPr>
          <w:sz w:val="20"/>
          <w:szCs w:val="20"/>
          <w:color w:val="auto"/>
        </w:rPr>
      </w:pPr>
    </w:p>
    <w:p>
      <w:pPr>
        <w:ind w:right="60" w:firstLine="374"/>
        <w:spacing w:after="0" w:line="270" w:lineRule="auto"/>
        <w:rPr>
          <w:sz w:val="20"/>
          <w:szCs w:val="20"/>
          <w:color w:val="auto"/>
        </w:rPr>
      </w:pPr>
      <w:r>
        <w:rPr>
          <w:rFonts w:ascii="Times New Roman" w:cs="Times New Roman" w:eastAsia="Times New Roman" w:hAnsi="Times New Roman"/>
          <w:sz w:val="17"/>
          <w:szCs w:val="17"/>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completed an IRC Section 382/383 analysis regarding the limitation of net operating loss and research and development credit carryforwards for a period of inception through December 2023, and did not experience any ownership changes which triggers the limitation. There is a risk that additional changes in ownership have occurred since the completion of the Company’s analysis.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36"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On July 5, 2025, the reconciliation bill, commonly referred to as the One Big Beautiful Bill Act (OBBBA), was signed into law in the United States, which includes a broad range of tax reform provisions. Beginning in 2025, the OBBBA provides an elective deduction for domestic research and development expenses, a reinstatement of elective 100% first-year bonus depreciation and repeal of non-United States corporations' fiscal year end. Some impacts of the OBBBA will not be realized until 2026 and forward, such as a more favorable tax rate on Foreign-Derived Deduction Eligible Income and income from non-United States subsidiaries (Net CFC Tested Income). Due to the nature of the tax law changes, the Company has not realized an impact in the Statement of Operations related to deferred taxes. The Company will continue to monitor the impact of the OBBBA and the range of potential outcomes.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income taxes paid by the Company are as follows:</w:t>
      </w:r>
    </w:p>
    <w:p>
      <w:pPr>
        <w:spacing w:after="0" w:line="8"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3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446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Disaggregated state and local jurisdictions</w:t>
            </w:r>
          </w:p>
        </w:tc>
        <w:tc>
          <w:tcPr>
            <w:tcW w:w="3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3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34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cash paid for income taxes</w:t>
            </w:r>
          </w:p>
        </w:tc>
        <w:tc>
          <w:tcPr>
            <w:tcW w:w="446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4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86</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is as follows: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4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vMerge w:val="continue"/>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(2,518,312)</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(2,319,243)</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(177,062)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Statutory tax rate difference between Japan and U.S.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 year liability true-up</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(169,175)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(438,062)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(3,637,650)</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622,084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payment awards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73,312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permanent items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(71,782)</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988,657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Expiration of tax attributes - net operating loss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5,175,472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325,535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Expiration of tax attributes - research and credits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option cancellation</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200,020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739,817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IRC Sec. 162(m) deferred tax asset limit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(143,665)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Return-to-provision true-up and others</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-170815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1111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1111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jc w:val="both"/>
        <w:ind w:right="140" w:firstLine="374"/>
        <w:spacing w:after="0" w:line="282" w:lineRule="auto"/>
        <w:rPr>
          <w:sz w:val="20"/>
          <w:szCs w:val="20"/>
          <w:color w:val="auto"/>
        </w:rPr>
      </w:pPr>
      <w:r>
        <w:rPr>
          <w:rFonts w:ascii="Times New Roman" w:cs="Times New Roman" w:eastAsia="Times New Roman" w:hAnsi="Times New Roman"/>
          <w:sz w:val="18"/>
          <w:szCs w:val="18"/>
          <w:color w:val="auto"/>
        </w:rPr>
        <w:t>The Company determines its uncertain tax positions based on a determination of whether and how much of a tax benefit taken by the Company in its tax filings is more likely than not to be sustained upon examination by the relevant income tax authorities.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w:t>
      </w:r>
    </w:p>
    <w:p>
      <w:pPr>
        <w:spacing w:after="0" w:line="21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unrecognized tax benefits at January 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2,697,076</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1,589,266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taken in the prior year</w:t>
            </w: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1,079,358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for tax positions taken in the prior year</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(36,511)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Expired for tax positions taken in the prior year</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taken in the current year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Gross unrecognized tax benefits at December 31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2,593,974</w:t>
            </w:r>
          </w:p>
        </w:tc>
        <w:tc>
          <w:tcPr>
            <w:tcW w:w="100" w:type="dxa"/>
            <w:vAlign w:val="bottom"/>
          </w:tcPr>
          <w:p>
            <w:pPr>
              <w:spacing w:after="0"/>
              <w:rPr>
                <w:sz w:val="18"/>
                <w:szCs w:val="18"/>
                <w:color w:val="auto"/>
              </w:rPr>
            </w:pPr>
          </w:p>
        </w:tc>
        <w:tc>
          <w:tcPr>
            <w:tcW w:w="5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2,697,076</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960" w:firstLine="374"/>
        <w:spacing w:after="0" w:line="282" w:lineRule="auto"/>
        <w:rPr>
          <w:sz w:val="20"/>
          <w:szCs w:val="20"/>
          <w:color w:val="auto"/>
        </w:rPr>
      </w:pPr>
      <w:r>
        <w:rPr>
          <w:rFonts w:ascii="Times New Roman" w:cs="Times New Roman" w:eastAsia="Times New Roman" w:hAnsi="Times New Roman"/>
          <w:sz w:val="18"/>
          <w:szCs w:val="18"/>
          <w:color w:val="auto"/>
        </w:rPr>
        <w:t>If recognized, none of the unrecognized tax benefits as of December 31, 2025 would reduce the annual effective tax rate, primarily due to corresponding adjustments to the valuation allowance.</w:t>
      </w:r>
    </w:p>
    <w:p>
      <w:pPr>
        <w:spacing w:after="0" w:line="121"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California and foreign jurisdictions. Due to the Company’s losses incurred, the Company is subject to income tax examination by tax authorities from inception to date. At December 31, 2025, there are no significant accruals for interest related to unrecognized tax benefits or tax penalties. The Company does not expect the unrecognized tax benefits to change significantly over the next twelve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Savings Plan</w:t>
      </w:r>
    </w:p>
    <w:p>
      <w:pPr>
        <w:spacing w:after="0" w:line="121"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 Company has an employee savings plan available to substantially all employees. Under the plan, an employee may elect salary reductions which are contributed to the plan. The plan provides for discretionary contributions by the Company, which totaled $70,004 and $84,826 for the years ended December 31, 2025 and 2024,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2025, our disclosure controls and procedures were effective.</w:t>
      </w:r>
    </w:p>
    <w:p>
      <w:pPr>
        <w:spacing w:after="0" w:line="162"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93" w:lineRule="exact"/>
        <w:rPr>
          <w:sz w:val="20"/>
          <w:szCs w:val="20"/>
          <w:color w:val="auto"/>
        </w:rPr>
      </w:pPr>
    </w:p>
    <w:p>
      <w:pPr>
        <w:ind w:left="660" w:hanging="27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38" w:lineRule="exact"/>
        <w:rPr>
          <w:rFonts w:ascii="Times New Roman" w:cs="Times New Roman" w:eastAsia="Times New Roman" w:hAnsi="Times New Roman"/>
          <w:sz w:val="18"/>
          <w:szCs w:val="18"/>
          <w:color w:val="auto"/>
        </w:rPr>
      </w:pPr>
    </w:p>
    <w:p>
      <w:pPr>
        <w:ind w:left="660" w:hanging="27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202" w:lineRule="exact"/>
        <w:rPr>
          <w:rFonts w:ascii="Times New Roman" w:cs="Times New Roman" w:eastAsia="Times New Roman" w:hAnsi="Times New Roman"/>
          <w:sz w:val="18"/>
          <w:szCs w:val="18"/>
          <w:color w:val="auto"/>
        </w:rPr>
      </w:pPr>
    </w:p>
    <w:p>
      <w:pPr>
        <w:ind w:left="660" w:right="40" w:hanging="27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21" w:lineRule="exact"/>
        <w:rPr>
          <w:sz w:val="20"/>
          <w:szCs w:val="20"/>
          <w:color w:val="auto"/>
        </w:rPr>
      </w:pPr>
    </w:p>
    <w:p>
      <w:pPr>
        <w:ind w:right="340" w:firstLine="374"/>
        <w:spacing w:after="0" w:line="266"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53"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7"/>
          <w:szCs w:val="17"/>
          <w:color w:val="auto"/>
        </w:rPr>
        <w:t>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37"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Management has used the framework set forth in the report entitled Internal Control-Integrated Framework (2013 framework) published by the Committee of Sponsoring Organizations of the Treadway Commission, known as COSO, to evaluate the effectiveness of our internal control over financial reporting. Based on this assessment, management has concluded that our internal control over financial reporting was effective as of December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8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During the last fiscal quarter of the year ended December 31, 2025, none of our officers or directors, as defined in Rule 16a-1(f), informed us of the adoption or termination of a Rule 10b5-1 trading arrangement or a non-Rule 10b5-1 trading arrangement, each as defined in Regulation S-K Item 408.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the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0" w:name="page91"/>
    <w:bookmarkEnd w:id="9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and not set forth below will be contained in our definitive proxy statement in connection with our 2026 Annual Meeting of Stockholders to be filed with the SEC within 120 days after the conclusion of our fiscal year ended December 31, 2025 (Proxy Statement) and is incorporated in this Annual Report on Form 10-K by reference.</w:t>
      </w:r>
    </w:p>
    <w:p>
      <w:pPr>
        <w:spacing w:after="0" w:line="13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Ethics for Senior Officers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Times New Roman" w:cs="Times New Roman" w:eastAsia="Times New Roman" w:hAnsi="Times New Roman"/>
          <w:sz w:val="18"/>
          <w:szCs w:val="18"/>
          <w:i w:val="1"/>
          <w:iCs w:val="1"/>
          <w:color w:val="auto"/>
        </w:rPr>
        <w:t>www.medicinova.com</w:t>
      </w:r>
      <w:r>
        <w:rPr>
          <w:rFonts w:ascii="Times New Roman" w:cs="Times New Roman" w:eastAsia="Times New Roman" w:hAnsi="Times New Roman"/>
          <w:sz w:val="18"/>
          <w:szCs w:val="18"/>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160" w:lineRule="exact"/>
        <w:rPr>
          <w:sz w:val="20"/>
          <w:szCs w:val="20"/>
          <w:color w:val="auto"/>
        </w:rPr>
      </w:pPr>
    </w:p>
    <w:p>
      <w:pPr>
        <w:ind w:right="560" w:firstLine="374"/>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19.1 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our Proxy Statement and is incorporated in this Annual Report on Form 10-K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Certain of the information required by this item will be contained in our Proxy Statement and is incorporated in this Annual Report on Form 10-K by reference.</w:t>
      </w:r>
    </w:p>
    <w:p>
      <w:pPr>
        <w:spacing w:after="0" w:line="121"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 Information</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0" w:type="dxa"/>
            <w:vAlign w:val="bottom"/>
          </w:tcPr>
          <w:p>
            <w:pPr>
              <w:spacing w:after="0"/>
              <w:rPr>
                <w:sz w:val="13"/>
                <w:szCs w:val="13"/>
                <w:color w:val="auto"/>
              </w:rPr>
            </w:pPr>
          </w:p>
        </w:tc>
        <w:tc>
          <w:tcPr>
            <w:tcW w:w="18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00" w:type="dxa"/>
            <w:vAlign w:val="bottom"/>
          </w:tcPr>
          <w:p>
            <w:pPr>
              <w:spacing w:after="0"/>
              <w:rPr>
                <w:sz w:val="12"/>
                <w:szCs w:val="12"/>
                <w:color w:val="auto"/>
              </w:rPr>
            </w:pPr>
          </w:p>
        </w:tc>
        <w:tc>
          <w:tcPr>
            <w:tcW w:w="18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200" w:type="dxa"/>
            <w:vAlign w:val="bottom"/>
          </w:tcPr>
          <w:p>
            <w:pPr>
              <w:spacing w:after="0"/>
              <w:rPr>
                <w:sz w:val="12"/>
                <w:szCs w:val="12"/>
                <w:color w:val="auto"/>
              </w:rPr>
            </w:pPr>
          </w:p>
        </w:tc>
        <w:tc>
          <w:tcPr>
            <w:tcW w:w="18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2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8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200" w:type="dxa"/>
            <w:vAlign w:val="bottom"/>
          </w:tcPr>
          <w:p>
            <w:pPr>
              <w:spacing w:after="0"/>
              <w:rPr>
                <w:sz w:val="15"/>
                <w:szCs w:val="15"/>
                <w:color w:val="auto"/>
              </w:rPr>
            </w:pPr>
          </w:p>
        </w:tc>
        <w:tc>
          <w:tcPr>
            <w:tcW w:w="18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91"/>
        </w:trPr>
        <w:tc>
          <w:tcPr>
            <w:tcW w:w="384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20" w:type="dxa"/>
            <w:vAlign w:val="bottom"/>
            <w:shd w:val="clear" w:color="auto" w:fill="CFF0FC"/>
          </w:tcPr>
          <w:p>
            <w:pPr>
              <w:spacing w:after="0"/>
              <w:rPr>
                <w:sz w:val="16"/>
                <w:szCs w:val="16"/>
                <w:color w:val="auto"/>
              </w:rPr>
            </w:pPr>
          </w:p>
        </w:tc>
        <w:tc>
          <w:tcPr>
            <w:tcW w:w="18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54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9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by Stockholders (1)</w:t>
            </w:r>
          </w:p>
        </w:tc>
        <w:tc>
          <w:tcPr>
            <w:tcW w:w="2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8,002,394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4.69</w:t>
            </w: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1,932,173</w:t>
            </w: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2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2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8,002,394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4.69</w:t>
            </w: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1,932,173</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-24765</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right="440" w:hanging="372"/>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Amended and Restated 2004 Stock Incentive Plan, the 2013 Equity Incentive Plan, the 2023 Equity Incentive Plan, and the 2007 Employee Stock Purchase Plan (ESPP).</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1" w:name="page92"/>
    <w:bookmarkEnd w:id="9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our Proxy Statement and is incorporated in this Annual Report on Form 10-K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our Proxy Statement and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9" w:lineRule="exact"/>
        <w:rPr>
          <w:sz w:val="20"/>
          <w:szCs w:val="20"/>
          <w:color w:val="auto"/>
        </w:rPr>
      </w:pPr>
    </w:p>
    <w:p>
      <w:pPr>
        <w:ind w:left="620" w:hanging="238"/>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 filed as part of this report.</w:t>
      </w:r>
    </w:p>
    <w:p>
      <w:pPr>
        <w:spacing w:after="0" w:line="185" w:lineRule="exact"/>
        <w:rPr>
          <w:sz w:val="20"/>
          <w:szCs w:val="20"/>
          <w:color w:val="auto"/>
        </w:rPr>
      </w:pPr>
    </w:p>
    <w:p>
      <w:pPr>
        <w:ind w:right="460" w:firstLine="382"/>
        <w:spacing w:after="0" w:line="284" w:lineRule="auto"/>
        <w:tabs>
          <w:tab w:leader="none" w:pos="5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financial statements of MediciNova, Inc. and report of BDO USA, P.C, an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are included in this Annual Report on Form 10-K (included in Part II of this Annual Report on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8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8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80" w:type="dxa"/>
            <w:vAlign w:val="bottom"/>
            <w:gridSpan w:val="25"/>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2100" w:type="dxa"/>
            <w:vAlign w:val="bottom"/>
            <w:tcBorders>
              <w:top w:val="single" w:sz="8" w:color="0000FF"/>
            </w:tcBorders>
            <w:gridSpan w:val="6"/>
          </w:tcPr>
          <w:p>
            <w:pPr>
              <w:spacing w:after="0"/>
              <w:rPr>
                <w:sz w:val="17"/>
                <w:szCs w:val="17"/>
                <w:color w:val="auto"/>
              </w:rPr>
            </w:pPr>
          </w:p>
        </w:tc>
        <w:tc>
          <w:tcPr>
            <w:tcW w:w="6780" w:type="dxa"/>
            <w:vAlign w:val="bottom"/>
            <w:gridSpan w:val="17"/>
          </w:tcPr>
          <w:p>
            <w:pPr>
              <w:spacing w:after="0"/>
              <w:rPr>
                <w:sz w:val="17"/>
                <w:szCs w:val="17"/>
                <w:color w:val="auto"/>
              </w:rPr>
            </w:pPr>
          </w:p>
        </w:tc>
        <w:tc>
          <w:tcPr>
            <w:tcW w:w="2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10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2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20" w:type="dxa"/>
            <w:vAlign w:val="bottom"/>
            <w:tcBorders>
              <w:top w:val="single" w:sz="8" w:color="0000FF"/>
            </w:tcBorders>
            <w:gridSpan w:val="6"/>
          </w:tcPr>
          <w:p>
            <w:pPr>
              <w:spacing w:after="0"/>
              <w:rPr>
                <w:sz w:val="17"/>
                <w:szCs w:val="17"/>
                <w:color w:val="auto"/>
              </w:rPr>
            </w:pPr>
          </w:p>
        </w:tc>
        <w:tc>
          <w:tcPr>
            <w:tcW w:w="6320" w:type="dxa"/>
            <w:vAlign w:val="bottom"/>
            <w:gridSpan w:val="13"/>
          </w:tcPr>
          <w:p>
            <w:pPr>
              <w:spacing w:after="0"/>
              <w:rPr>
                <w:sz w:val="17"/>
                <w:szCs w:val="17"/>
                <w:color w:val="auto"/>
              </w:rPr>
            </w:pPr>
          </w:p>
        </w:tc>
        <w:tc>
          <w:tcPr>
            <w:tcW w:w="2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10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680" w:type="dxa"/>
            <w:vAlign w:val="bottom"/>
            <w:gridSpan w:val="3"/>
            <w:shd w:val="clear" w:color="auto" w:fill="0000FF"/>
          </w:tcPr>
          <w:p>
            <w:pPr>
              <w:spacing w:after="0" w:line="20" w:lineRule="exact"/>
              <w:rPr>
                <w:sz w:val="1"/>
                <w:szCs w:val="1"/>
                <w:color w:val="auto"/>
              </w:rPr>
            </w:pPr>
          </w:p>
        </w:tc>
        <w:tc>
          <w:tcPr>
            <w:tcW w:w="120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17"/>
                <w:szCs w:val="17"/>
                <w:color w:val="auto"/>
              </w:rPr>
            </w:pPr>
          </w:p>
        </w:tc>
        <w:tc>
          <w:tcPr>
            <w:tcW w:w="7820" w:type="dxa"/>
            <w:vAlign w:val="bottom"/>
            <w:gridSpan w:val="20"/>
          </w:tcPr>
          <w:p>
            <w:pPr>
              <w:spacing w:after="0"/>
              <w:rPr>
                <w:sz w:val="17"/>
                <w:szCs w:val="17"/>
                <w:color w:val="auto"/>
              </w:rPr>
            </w:pPr>
          </w:p>
        </w:tc>
        <w:tc>
          <w:tcPr>
            <w:tcW w:w="2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493"/>
        </w:trPr>
        <w:tc>
          <w:tcPr>
            <w:tcW w:w="11000" w:type="dxa"/>
            <w:vAlign w:val="bottom"/>
            <w:gridSpan w:val="28"/>
          </w:tcPr>
          <w:p>
            <w:pPr>
              <w:ind w:left="38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xml:space="preserve"> None.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00" w:type="dxa"/>
            <w:vAlign w:val="bottom"/>
            <w:gridSpan w:val="28"/>
          </w:tcPr>
          <w:p>
            <w:pPr>
              <w:ind w:left="38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Exhibits.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24"/>
                <w:szCs w:val="24"/>
                <w:color w:val="auto"/>
              </w:rPr>
            </w:pPr>
          </w:p>
        </w:tc>
        <w:tc>
          <w:tcPr>
            <w:tcW w:w="996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9960" w:type="dxa"/>
            <w:vAlign w:val="bottom"/>
            <w:tcBorders>
              <w:bottom w:val="single" w:sz="8" w:color="auto"/>
            </w:tcBorders>
            <w:gridSpan w:val="26"/>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9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Restated Certificate of Incorporation of the Registrant, as amended (incorporated by reference to Exhibit 3.1 of the Registrant’s Quarterly</w:t>
              </w:r>
            </w:hyperlink>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gridSpan w:val="26"/>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Report on Form 10-Q (File No. 001-33185) filed August 9, 2012).</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2"/>
                <w:szCs w:val="22"/>
                <w:color w:val="auto"/>
              </w:rPr>
            </w:pPr>
          </w:p>
        </w:tc>
        <w:tc>
          <w:tcPr>
            <w:tcW w:w="10220" w:type="dxa"/>
            <w:vAlign w:val="bottom"/>
            <w:gridSpan w:val="31"/>
          </w:tcPr>
          <w:p>
            <w:pPr>
              <w:spacing w:after="0"/>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Amended and Restated Bylaws of the Registrant (incorporated by reference to Exhibit 3.4 of the Registrant’s Registration Statement on Form</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S-1 (File No. 333-119433) filed October 1, 2004).</w:t>
              </w:r>
            </w:hyperlink>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2"/>
                <w:szCs w:val="22"/>
                <w:color w:val="auto"/>
              </w:rPr>
            </w:pPr>
          </w:p>
        </w:tc>
        <w:tc>
          <w:tcPr>
            <w:tcW w:w="10220" w:type="dxa"/>
            <w:vAlign w:val="bottom"/>
            <w:gridSpan w:val="31"/>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Specimen of Common Stock Certificate (incorporated by reference to Exhibit 4.1 of the Registrant’s Annual Report on Form 10-K (File No.</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001-33185) filed February 15, 2007).</w:t>
              </w:r>
            </w:hyperlink>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EE"/>
            </w:tcBorders>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2"/>
                <w:szCs w:val="22"/>
                <w:color w:val="auto"/>
              </w:rPr>
            </w:pPr>
          </w:p>
        </w:tc>
        <w:tc>
          <w:tcPr>
            <w:tcW w:w="102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Amended and Restated Registration Rights Agreement, dated September 2, 2004, among the Registrant, its founders and the investors named</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therein (incorporated by reference to Exhibit 4.2 of the Registrant’s Registration Statement on Form S-1 (File No. 333-119433) filed October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20" w:type="dxa"/>
            <w:vAlign w:val="bottom"/>
            <w:gridSpan w:val="2"/>
          </w:tcPr>
          <w:p>
            <w:pPr>
              <w:ind w:left="180"/>
              <w:spacing w:after="0" w:line="196" w:lineRule="exact"/>
              <w:rPr>
                <w:rFonts w:ascii="Times New Roman" w:cs="Times New Roman" w:eastAsia="Times New Roman" w:hAnsi="Times New Roman"/>
                <w:sz w:val="18"/>
                <w:szCs w:val="18"/>
                <w:color w:val="0000FF"/>
                <w:w w:val="96"/>
              </w:rPr>
            </w:pPr>
            <w:hyperlink r:id="rId217">
              <w:r>
                <w:rPr>
                  <w:rFonts w:ascii="Times New Roman" w:cs="Times New Roman" w:eastAsia="Times New Roman" w:hAnsi="Times New Roman"/>
                  <w:sz w:val="18"/>
                  <w:szCs w:val="18"/>
                  <w:color w:val="0000FF"/>
                  <w:w w:val="96"/>
                </w:rPr>
                <w:t>1, 2004).</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2"/>
                <w:szCs w:val="22"/>
                <w:color w:val="auto"/>
              </w:rPr>
            </w:pPr>
          </w:p>
        </w:tc>
        <w:tc>
          <w:tcPr>
            <w:tcW w:w="10220" w:type="dxa"/>
            <w:vAlign w:val="bottom"/>
            <w:gridSpan w:val="31"/>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Description of Capital Stock (incorporated by reference to Exhibit 4.3 of the Registrant’s Annual Report on Form 10-K (File No. 001-33185)</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filed February 19, 2021).</w:t>
              </w:r>
            </w:hyperlink>
          </w:p>
        </w:tc>
        <w:tc>
          <w:tcPr>
            <w:tcW w:w="8120" w:type="dxa"/>
            <w:vAlign w:val="bottom"/>
            <w:tcBorders>
              <w:top w:val="single" w:sz="8" w:color="0000FF"/>
            </w:tcBorders>
            <w:gridSpan w:val="22"/>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8"/>
              </w:rPr>
              <w:t>10.1*</w:t>
            </w:r>
          </w:p>
        </w:tc>
        <w:tc>
          <w:tcPr>
            <w:tcW w:w="180" w:type="dxa"/>
            <w:vAlign w:val="bottom"/>
          </w:tcPr>
          <w:p>
            <w:pPr>
              <w:spacing w:after="0"/>
              <w:rPr>
                <w:sz w:val="22"/>
                <w:szCs w:val="22"/>
                <w:color w:val="auto"/>
              </w:rPr>
            </w:pPr>
          </w:p>
        </w:tc>
        <w:tc>
          <w:tcPr>
            <w:tcW w:w="95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Form of Indemnity Agreement between the Registrant and its officers and directors (incorporated by reference to Exhibit 10.3 of the</w:t>
              </w:r>
            </w:hyperlink>
          </w:p>
        </w:tc>
        <w:tc>
          <w:tcPr>
            <w:tcW w:w="380" w:type="dxa"/>
            <w:vAlign w:val="bottom"/>
            <w:gridSpan w:val="5"/>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Registrant’s Annual Report on Form 10-K (File No. 001-33185) filed March 28, 2013).</w:t>
              </w:r>
            </w:hyperlink>
          </w:p>
        </w:tc>
        <w:tc>
          <w:tcPr>
            <w:tcW w:w="20" w:type="dxa"/>
            <w:vAlign w:val="bottom"/>
            <w:tcBorders>
              <w:bottom w:val="single" w:sz="8" w:color="0000EE"/>
            </w:tcBorders>
          </w:tcPr>
          <w:p>
            <w:pPr>
              <w:spacing w:after="0"/>
              <w:rPr>
                <w:sz w:val="17"/>
                <w:szCs w:val="17"/>
                <w:color w:val="auto"/>
              </w:rPr>
            </w:pPr>
          </w:p>
        </w:tc>
        <w:tc>
          <w:tcPr>
            <w:tcW w:w="364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8"/>
              </w:rPr>
              <w:t>10.2*</w:t>
            </w:r>
          </w:p>
        </w:tc>
        <w:tc>
          <w:tcPr>
            <w:tcW w:w="180" w:type="dxa"/>
            <w:vAlign w:val="bottom"/>
          </w:tcPr>
          <w:p>
            <w:pPr>
              <w:spacing w:after="0"/>
              <w:rPr>
                <w:sz w:val="22"/>
                <w:szCs w:val="22"/>
                <w:color w:val="auto"/>
              </w:rPr>
            </w:pPr>
          </w:p>
        </w:tc>
        <w:tc>
          <w:tcPr>
            <w:tcW w:w="96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2007 Employee Stock Purchase Plan of the Registrant (incorporated by reference to Appendix A of the Registrant’s Definitive Proxy</w:t>
              </w:r>
            </w:hyperlink>
          </w:p>
        </w:tc>
        <w:tc>
          <w:tcPr>
            <w:tcW w:w="340" w:type="dxa"/>
            <w:vAlign w:val="bottom"/>
            <w:gridSpan w:val="4"/>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gridSpan w:val="26"/>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Statement on Schedule 14A (File No. 001-33185) filed March 13, 2007).</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8"/>
              </w:rPr>
              <w:t>10.3*</w:t>
            </w:r>
          </w:p>
        </w:tc>
        <w:tc>
          <w:tcPr>
            <w:tcW w:w="180" w:type="dxa"/>
            <w:vAlign w:val="bottom"/>
          </w:tcPr>
          <w:p>
            <w:pPr>
              <w:spacing w:after="0"/>
              <w:rPr>
                <w:sz w:val="22"/>
                <w:szCs w:val="22"/>
                <w:color w:val="auto"/>
              </w:rPr>
            </w:pPr>
          </w:p>
        </w:tc>
        <w:tc>
          <w:tcPr>
            <w:tcW w:w="9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2013 Equity Incentive Plan of the Registrant (incorporated by reference to Exhibit 10.23 of the Registrant’s Annual Report on Form 10-K</w:t>
              </w:r>
            </w:hyperlink>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(File No. 001-33185) filed March 27, 2014).</w:t>
              </w:r>
            </w:hyperlink>
          </w:p>
        </w:tc>
        <w:tc>
          <w:tcPr>
            <w:tcW w:w="20" w:type="dxa"/>
            <w:vAlign w:val="bottom"/>
            <w:tcBorders>
              <w:bottom w:val="single" w:sz="8" w:color="0000EE"/>
            </w:tcBorders>
          </w:tcPr>
          <w:p>
            <w:pPr>
              <w:spacing w:after="0"/>
              <w:rPr>
                <w:sz w:val="17"/>
                <w:szCs w:val="17"/>
                <w:color w:val="auto"/>
              </w:rPr>
            </w:pPr>
          </w:p>
        </w:tc>
        <w:tc>
          <w:tcPr>
            <w:tcW w:w="674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8"/>
              </w:rPr>
              <w:t>10.4*</w:t>
            </w:r>
          </w:p>
        </w:tc>
        <w:tc>
          <w:tcPr>
            <w:tcW w:w="180" w:type="dxa"/>
            <w:vAlign w:val="bottom"/>
          </w:tcPr>
          <w:p>
            <w:pPr>
              <w:spacing w:after="0"/>
              <w:rPr>
                <w:sz w:val="22"/>
                <w:szCs w:val="22"/>
                <w:color w:val="auto"/>
              </w:rPr>
            </w:pPr>
          </w:p>
        </w:tc>
        <w:tc>
          <w:tcPr>
            <w:tcW w:w="10220" w:type="dxa"/>
            <w:vAlign w:val="bottom"/>
            <w:gridSpan w:val="31"/>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Amended and Restated 2013 Equity Incentive Plan of the Registrant. (incorporated by reference to Exhibit 10.1 of the Registrant’s Quarterly</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Report on Form 10-Q (File No. 001-33185) filed July 26, 2017).</w:t>
              </w:r>
            </w:hyperlink>
          </w:p>
        </w:tc>
        <w:tc>
          <w:tcPr>
            <w:tcW w:w="20" w:type="dxa"/>
            <w:vAlign w:val="bottom"/>
            <w:tcBorders>
              <w:top w:val="single" w:sz="8" w:color="0000FF"/>
              <w:bottom w:val="single" w:sz="8" w:color="0000EE"/>
            </w:tcBorders>
          </w:tcPr>
          <w:p>
            <w:pPr>
              <w:spacing w:after="0"/>
              <w:rPr>
                <w:sz w:val="17"/>
                <w:szCs w:val="17"/>
                <w:color w:val="auto"/>
              </w:rPr>
            </w:pPr>
          </w:p>
        </w:tc>
        <w:tc>
          <w:tcPr>
            <w:tcW w:w="5300" w:type="dxa"/>
            <w:vAlign w:val="bottom"/>
            <w:tcBorders>
              <w:top w:val="single" w:sz="8" w:color="0000FF"/>
            </w:tcBorders>
            <w:gridSpan w:val="11"/>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8"/>
              </w:rPr>
              <w:t>10.5*</w:t>
            </w:r>
          </w:p>
        </w:tc>
        <w:tc>
          <w:tcPr>
            <w:tcW w:w="180" w:type="dxa"/>
            <w:vAlign w:val="bottom"/>
          </w:tcPr>
          <w:p>
            <w:pPr>
              <w:spacing w:after="0"/>
              <w:rPr>
                <w:sz w:val="22"/>
                <w:szCs w:val="22"/>
                <w:color w:val="auto"/>
              </w:rPr>
            </w:pPr>
          </w:p>
        </w:tc>
        <w:tc>
          <w:tcPr>
            <w:tcW w:w="10220" w:type="dxa"/>
            <w:vAlign w:val="bottom"/>
            <w:gridSpan w:val="31"/>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Notice of Stock Option Grant and Stock Option Agreement for awards pursuant to the 2013 Equity Incentive Plan (incorporated by</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reference to Exhibit 10.3 of the Registrant’s Quarterly Report on Form 10-Q (File No. 001-33185) filed November 7, 2013).</w:t>
              </w:r>
            </w:hyperlink>
          </w:p>
        </w:tc>
        <w:tc>
          <w:tcPr>
            <w:tcW w:w="1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960" w:type="dxa"/>
            <w:vAlign w:val="bottom"/>
            <w:tcBorders>
              <w:right w:val="single" w:sz="8" w:color="0000EE"/>
            </w:tcBorders>
            <w:gridSpan w:val="20"/>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8"/>
              </w:rPr>
              <w:t>10.6*</w:t>
            </w:r>
          </w:p>
        </w:tc>
        <w:tc>
          <w:tcPr>
            <w:tcW w:w="180" w:type="dxa"/>
            <w:vAlign w:val="bottom"/>
          </w:tcPr>
          <w:p>
            <w:pPr>
              <w:spacing w:after="0"/>
              <w:rPr>
                <w:sz w:val="22"/>
                <w:szCs w:val="22"/>
                <w:color w:val="auto"/>
              </w:rPr>
            </w:pPr>
          </w:p>
        </w:tc>
        <w:tc>
          <w:tcPr>
            <w:tcW w:w="99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2023 Equity Incentive Plan and forms of award agreements thereunder of the Registrant (incorporated by reference to Exhibit 99.1 of the</w:t>
              </w:r>
            </w:hyperlink>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Registrant’s Post-Effective Amendment No. 1 to Registration Statements on Form S-8 (File Nos. 333-264938, 333-232239, 333-219491,</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gridSpan w:val="26"/>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333-190490) filed January 19, 2024).</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Borders>
              <w:top w:val="single" w:sz="8" w:color="0000FF"/>
            </w:tcBorders>
            <w:gridSpan w:val="8"/>
          </w:tcPr>
          <w:p>
            <w:pPr>
              <w:spacing w:after="0"/>
              <w:rPr>
                <w:sz w:val="24"/>
                <w:szCs w:val="24"/>
                <w:color w:val="auto"/>
              </w:rPr>
            </w:pPr>
          </w:p>
        </w:tc>
        <w:tc>
          <w:tcPr>
            <w:tcW w:w="206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10200" w:type="dxa"/>
            <w:vAlign w:val="bottom"/>
            <w:gridSpan w:val="2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10200" w:type="dxa"/>
            <w:vAlign w:val="bottom"/>
            <w:tcBorders>
              <w:bottom w:val="single" w:sz="8" w:color="auto"/>
            </w:tcBorders>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4"/>
                <w:szCs w:val="14"/>
                <w:color w:val="auto"/>
              </w:rPr>
            </w:pPr>
          </w:p>
        </w:tc>
        <w:tc>
          <w:tcPr>
            <w:tcW w:w="1020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Executive Employment Agreement, dated April 1, 2007, between the Registrant and Yuichi Iwaki, M.D., Ph.D. (incorporated by reference to</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Exhibit 10.1 of the Registrant’s Current Report on Form 8-K (File No. 001-33185) filed April 4, 2007).</w:t>
              </w:r>
            </w:hyperlink>
          </w:p>
        </w:tc>
        <w:tc>
          <w:tcPr>
            <w:tcW w:w="20" w:type="dxa"/>
            <w:vAlign w:val="bottom"/>
            <w:tcBorders>
              <w:bottom w:val="single" w:sz="8" w:color="0000EE"/>
            </w:tcBorders>
          </w:tcPr>
          <w:p>
            <w:pPr>
              <w:spacing w:after="0"/>
              <w:rPr>
                <w:sz w:val="17"/>
                <w:szCs w:val="17"/>
                <w:color w:val="auto"/>
              </w:rPr>
            </w:pPr>
          </w:p>
        </w:tc>
        <w:tc>
          <w:tcPr>
            <w:tcW w:w="27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2"/>
                <w:szCs w:val="22"/>
                <w:color w:val="auto"/>
              </w:rPr>
            </w:pPr>
          </w:p>
        </w:tc>
        <w:tc>
          <w:tcPr>
            <w:tcW w:w="9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Form of First Amendment to Employment Agreement, dated December 31, 2010, between the Registrant and Yuichi Iwaki, M.D., Ph.D.</w:t>
              </w:r>
            </w:hyperlink>
          </w:p>
        </w:tc>
        <w:tc>
          <w:tcPr>
            <w:tcW w:w="3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(incorporated by reference to Exhibit 10.1 of the Registrant’s Current Report on Form 8-K (File No. 001-33185) filed January 4, 2011).</w:t>
              </w:r>
            </w:hyperlink>
          </w:p>
        </w:tc>
        <w:tc>
          <w:tcPr>
            <w:tcW w:w="20" w:type="dxa"/>
            <w:vAlign w:val="bottom"/>
            <w:tcBorders>
              <w:bottom w:val="single" w:sz="8" w:color="0000EE"/>
            </w:tcBorders>
          </w:tcPr>
          <w:p>
            <w:pPr>
              <w:spacing w:after="0"/>
              <w:rPr>
                <w:sz w:val="17"/>
                <w:szCs w:val="17"/>
                <w:color w:val="auto"/>
              </w:rPr>
            </w:pPr>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2"/>
                <w:szCs w:val="22"/>
                <w:color w:val="auto"/>
              </w:rPr>
            </w:pPr>
          </w:p>
        </w:tc>
        <w:tc>
          <w:tcPr>
            <w:tcW w:w="99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Severance Protection Agreement, dated July 14, 2014, between the Registrant and Dr. Yuichi Iwaki (incorporated by reference to Exhibit</w:t>
              </w:r>
            </w:hyperlink>
          </w:p>
        </w:tc>
        <w:tc>
          <w:tcPr>
            <w:tcW w:w="26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22"/>
                <w:szCs w:val="22"/>
                <w:color w:val="auto"/>
              </w:rPr>
            </w:pPr>
          </w:p>
        </w:tc>
        <w:tc>
          <w:tcPr>
            <w:tcW w:w="102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Severance Protection Agreement, dated July 14, 2014, between the Registrant and Dr. Kazuko Matsuda (incorporated by reference to Exhibit</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22"/>
                <w:szCs w:val="22"/>
                <w:color w:val="auto"/>
              </w:rPr>
            </w:pPr>
          </w:p>
        </w:tc>
        <w:tc>
          <w:tcPr>
            <w:tcW w:w="100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Severance Protection Agreement, dated July 14, 2014, between the Registrant and Geoffrey O’Brien (incorporated by reference to Exhibit</w:t>
              </w:r>
            </w:hyperlink>
          </w:p>
        </w:tc>
        <w:tc>
          <w:tcPr>
            <w:tcW w:w="2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22"/>
                <w:szCs w:val="22"/>
                <w:color w:val="auto"/>
              </w:rPr>
            </w:pPr>
          </w:p>
        </w:tc>
        <w:tc>
          <w:tcPr>
            <w:tcW w:w="100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Consulting Agreement, dated April 2, 2024, between the Registrant and Geoffrey O’Brien (incorporated by reference to Exhibit 10.1 of the</w:t>
              </w:r>
            </w:hyperlink>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Registrant’s Quarterly Report on Form 10-Q (File No. 001-33185) filed August 8, 2024).</w:t>
              </w:r>
            </w:hyperlink>
          </w:p>
        </w:tc>
        <w:tc>
          <w:tcPr>
            <w:tcW w:w="20" w:type="dxa"/>
            <w:vAlign w:val="bottom"/>
            <w:tcBorders>
              <w:bottom w:val="single" w:sz="8" w:color="0000EE"/>
            </w:tcBorders>
          </w:tcPr>
          <w:p>
            <w:pPr>
              <w:spacing w:after="0"/>
              <w:rPr>
                <w:sz w:val="17"/>
                <w:szCs w:val="17"/>
                <w:color w:val="auto"/>
              </w:rPr>
            </w:pPr>
          </w:p>
        </w:tc>
        <w:tc>
          <w:tcPr>
            <w:tcW w:w="37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24"/>
                <w:szCs w:val="24"/>
                <w:color w:val="auto"/>
              </w:rPr>
            </w:pPr>
          </w:p>
        </w:tc>
        <w:tc>
          <w:tcPr>
            <w:tcW w:w="96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Lease, dated July 20, 2021, between MediciNova, Inc. and the Irvine Company LLC (incorporated by reference to Exhibit 99.1 of the</w:t>
              </w:r>
            </w:hyperlink>
          </w:p>
        </w:tc>
        <w:tc>
          <w:tcPr>
            <w:tcW w:w="5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Registrant’s Current Report on Form 8-K (File No. 001-33185) filed July 23, 2021).</w:t>
              </w:r>
            </w:hyperlink>
          </w:p>
        </w:tc>
        <w:tc>
          <w:tcPr>
            <w:tcW w:w="20" w:type="dxa"/>
            <w:vAlign w:val="bottom"/>
            <w:tcBorders>
              <w:bottom w:val="single" w:sz="8" w:color="0000EE"/>
            </w:tcBorders>
          </w:tcPr>
          <w:p>
            <w:pPr>
              <w:spacing w:after="0"/>
              <w:rPr>
                <w:sz w:val="17"/>
                <w:szCs w:val="17"/>
                <w:color w:val="auto"/>
              </w:rPr>
            </w:pPr>
          </w:p>
        </w:tc>
        <w:tc>
          <w:tcPr>
            <w:tcW w:w="41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Pr>
          <w:p>
            <w:pPr>
              <w:spacing w:after="0"/>
              <w:rPr>
                <w:sz w:val="22"/>
                <w:szCs w:val="22"/>
                <w:color w:val="auto"/>
              </w:rPr>
            </w:pPr>
          </w:p>
        </w:tc>
        <w:tc>
          <w:tcPr>
            <w:tcW w:w="9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Assignment Agreement, dated December 19, 2005, between Genzyme Corporation and Avigen, Inc. (incorporated by reference to Exhibit</w:t>
              </w:r>
            </w:hyperlink>
          </w:p>
        </w:tc>
        <w:tc>
          <w:tcPr>
            <w:tcW w:w="22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58</w:t>
              </w:r>
              <w:r>
                <w:rPr>
                  <w:rFonts w:ascii="Times New Roman" w:cs="Times New Roman" w:eastAsia="Times New Roman" w:hAnsi="Times New Roman"/>
                  <w:sz w:val="18"/>
                  <w:szCs w:val="18"/>
                  <w:color w:val="0000FF"/>
                  <w:w w:val="99"/>
                </w:rPr>
                <w:t xml:space="preserve"> of Avigen, Inc.’s Annual Report on Form 10-K (File No. 000-28272) filed March 16, 2006).</w:t>
              </w:r>
            </w:hyperlink>
          </w:p>
        </w:tc>
        <w:tc>
          <w:tcPr>
            <w:tcW w:w="20" w:type="dxa"/>
            <w:vAlign w:val="bottom"/>
            <w:tcBorders>
              <w:bottom w:val="single" w:sz="8" w:color="0000EE"/>
            </w:tcBorders>
          </w:tcPr>
          <w:p>
            <w:pPr>
              <w:spacing w:after="0"/>
              <w:rPr>
                <w:sz w:val="17"/>
                <w:szCs w:val="17"/>
                <w:color w:val="auto"/>
              </w:rPr>
            </w:pPr>
          </w:p>
        </w:tc>
        <w:tc>
          <w:tcPr>
            <w:tcW w:w="30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spacing w:after="0"/>
              <w:rPr>
                <w:sz w:val="22"/>
                <w:szCs w:val="22"/>
                <w:color w:val="auto"/>
              </w:rPr>
            </w:pPr>
          </w:p>
        </w:tc>
        <w:tc>
          <w:tcPr>
            <w:tcW w:w="101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Securities Purchase Agreement, dated January 11, 2021, between the Company and 3D Opportunity Master Fund (incorporated by reference</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to Exhibit 10.1 of the Registrant’s Current Report on Form 8-K (File No. 001-33185) filed January 12, 2021).</w:t>
              </w:r>
            </w:hyperlink>
          </w:p>
        </w:tc>
        <w:tc>
          <w:tcPr>
            <w:tcW w:w="20" w:type="dxa"/>
            <w:vAlign w:val="bottom"/>
            <w:tcBorders>
              <w:bottom w:val="single" w:sz="8" w:color="0000EE"/>
            </w:tcBorders>
          </w:tcPr>
          <w:p>
            <w:pPr>
              <w:spacing w:after="0"/>
              <w:rPr>
                <w:sz w:val="17"/>
                <w:szCs w:val="17"/>
                <w:color w:val="auto"/>
              </w:rPr>
            </w:pPr>
          </w:p>
        </w:tc>
        <w:tc>
          <w:tcPr>
            <w:tcW w:w="22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80" w:type="dxa"/>
            <w:vAlign w:val="bottom"/>
          </w:tcPr>
          <w:p>
            <w:pPr>
              <w:spacing w:after="0"/>
              <w:rPr>
                <w:sz w:val="17"/>
                <w:szCs w:val="17"/>
                <w:color w:val="auto"/>
              </w:rPr>
            </w:pPr>
          </w:p>
        </w:tc>
        <w:tc>
          <w:tcPr>
            <w:tcW w:w="101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Shareholder Rights Agreement, dated January 11, 2021, between the Company and 3D Opportunity Master Fund (incorporated by reference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to Exhibit 10.2 of the Registrant’s Current Report on Form 8-K (File No. 001-33185) filed January 12, 2021).</w:t>
              </w:r>
            </w:hyperlink>
          </w:p>
        </w:tc>
        <w:tc>
          <w:tcPr>
            <w:tcW w:w="20" w:type="dxa"/>
            <w:vAlign w:val="bottom"/>
            <w:tcBorders>
              <w:bottom w:val="single" w:sz="8" w:color="0000EE"/>
            </w:tcBorders>
          </w:tcPr>
          <w:p>
            <w:pPr>
              <w:spacing w:after="0"/>
              <w:rPr>
                <w:sz w:val="17"/>
                <w:szCs w:val="17"/>
                <w:color w:val="auto"/>
              </w:rPr>
            </w:pPr>
          </w:p>
        </w:tc>
        <w:tc>
          <w:tcPr>
            <w:tcW w:w="22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17"/>
                <w:szCs w:val="17"/>
                <w:color w:val="auto"/>
              </w:rPr>
            </w:pPr>
          </w:p>
        </w:tc>
        <w:tc>
          <w:tcPr>
            <w:tcW w:w="95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Services Agreement, dated August 1, 2021, between MediciNova, Inc. and Signature Analytics LLC (acquired by Citrin Cooperman</w:t>
              </w:r>
            </w:hyperlink>
          </w:p>
        </w:tc>
        <w:tc>
          <w:tcPr>
            <w:tcW w:w="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Advisors LLC) (incorporated by reference to Exhibit 99.1 of the Registrant’s Current Report on Form 8-K (File No. 001-33185) filed August</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20" w:type="dxa"/>
            <w:vAlign w:val="bottom"/>
            <w:gridSpan w:val="2"/>
          </w:tcPr>
          <w:p>
            <w:pPr>
              <w:ind w:left="180"/>
              <w:spacing w:after="0" w:line="196" w:lineRule="exact"/>
              <w:rPr>
                <w:rFonts w:ascii="Times New Roman" w:cs="Times New Roman" w:eastAsia="Times New Roman" w:hAnsi="Times New Roman"/>
                <w:sz w:val="18"/>
                <w:szCs w:val="18"/>
                <w:color w:val="0000FF"/>
                <w:w w:val="96"/>
              </w:rPr>
            </w:pPr>
            <w:hyperlink r:id="rId237">
              <w:r>
                <w:rPr>
                  <w:rFonts w:ascii="Times New Roman" w:cs="Times New Roman" w:eastAsia="Times New Roman" w:hAnsi="Times New Roman"/>
                  <w:sz w:val="18"/>
                  <w:szCs w:val="18"/>
                  <w:color w:val="0000FF"/>
                  <w:w w:val="96"/>
                </w:rPr>
                <w:t>2, 2021).</w:t>
              </w:r>
            </w:hyperlink>
          </w:p>
        </w:tc>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80" w:type="dxa"/>
            <w:vAlign w:val="bottom"/>
          </w:tcPr>
          <w:p>
            <w:pPr>
              <w:spacing w:after="0"/>
              <w:rPr>
                <w:sz w:val="17"/>
                <w:szCs w:val="17"/>
                <w:color w:val="auto"/>
              </w:rPr>
            </w:pPr>
          </w:p>
        </w:tc>
        <w:tc>
          <w:tcPr>
            <w:tcW w:w="100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Standby Equity Purchase Agreement dated as of July 30, 2025 by and between the Company and YA II PN Ltd. (incorporated by reference</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to Exhibit 10.1 to the Registrant's Current Report on Form 8-K (File No. 001-33185) filed August 1, 2025).</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20" w:type="dxa"/>
            <w:vAlign w:val="bottom"/>
            <w:gridSpan w:val="11"/>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80" w:type="dxa"/>
            <w:vAlign w:val="bottom"/>
          </w:tcPr>
          <w:p>
            <w:pPr>
              <w:spacing w:after="0"/>
              <w:rPr>
                <w:sz w:val="24"/>
                <w:szCs w:val="24"/>
                <w:color w:val="auto"/>
              </w:rPr>
            </w:pPr>
          </w:p>
        </w:tc>
        <w:tc>
          <w:tcPr>
            <w:tcW w:w="100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Equity Distribution Agreement by and between the Company and Lucid Capital Markets, LLC, dated December 29, 2025 (incorporated by</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reference to Exhibit 1.1 to the Registrant's Current Report on Form 8-K (File No. 001-33185) filed December 30, 2025).</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80" w:type="dxa"/>
            <w:vAlign w:val="bottom"/>
            <w:tcBorders>
              <w:right w:val="single" w:sz="8" w:color="0000EE"/>
            </w:tcBorders>
            <w:gridSpan w:val="1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24"/>
                <w:szCs w:val="24"/>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MediciNova, Inc. Statement of Company Policy, Trades in the Company’s Securities by Insiders and Confidential Information.</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40" w:right="340" w:hanging="1032"/>
        <w:spacing w:after="0" w:line="282" w:lineRule="auto"/>
        <w:tabs>
          <w:tab w:leader="none" w:pos="1040" w:val="left"/>
        </w:tabs>
        <w:numPr>
          <w:ilvl w:val="0"/>
          <w:numId w:val="47"/>
        </w:numPr>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Subsidiaries of the Registrant (incorporated by reference to Exhibit 21 of the Registrant’s Annual Report on Form 10-K/A (File No. 001-</w:t>
        </w:r>
      </w:hyperlink>
      <w:hyperlink r:id="rId240">
        <w:r>
          <w:rPr>
            <w:rFonts w:ascii="Times New Roman" w:cs="Times New Roman" w:eastAsia="Times New Roman" w:hAnsi="Times New Roman"/>
            <w:sz w:val="18"/>
            <w:szCs w:val="18"/>
            <w:u w:val="single" w:color="auto"/>
            <w:color w:val="0000FF"/>
          </w:rPr>
          <w:t>33185) filed March 28, 2023).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656590</wp:posOffset>
            </wp:positionH>
            <wp:positionV relativeFrom="paragraph">
              <wp:posOffset>-185420</wp:posOffset>
            </wp:positionV>
            <wp:extent cx="62668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626681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-48260</wp:posOffset>
            </wp:positionV>
            <wp:extent cx="13836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23.1</w:t>
            </w:r>
          </w:p>
        </w:tc>
        <w:tc>
          <w:tcPr>
            <w:tcW w:w="43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840" w:type="dxa"/>
            <w:vAlign w:val="bottom"/>
            <w:gridSpan w:val="3"/>
          </w:tcPr>
          <w:p>
            <w:pPr>
              <w:spacing w:after="0"/>
              <w:rPr>
                <w:sz w:val="17"/>
                <w:szCs w:val="17"/>
                <w:color w:val="auto"/>
              </w:rPr>
            </w:pPr>
          </w:p>
        </w:tc>
      </w:tr>
      <w:tr>
        <w:trPr>
          <w:trHeight w:val="263"/>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24.1</w:t>
            </w:r>
          </w:p>
        </w:tc>
        <w:tc>
          <w:tcPr>
            <w:tcW w:w="2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Powers of Attorney (see signature page).</w:t>
            </w:r>
          </w:p>
        </w:tc>
        <w:tc>
          <w:tcPr>
            <w:tcW w:w="20" w:type="dxa"/>
            <w:vAlign w:val="bottom"/>
            <w:tcBorders>
              <w:bottom w:val="single" w:sz="8" w:color="0000EE"/>
            </w:tcBorders>
          </w:tcPr>
          <w:p>
            <w:pPr>
              <w:spacing w:after="0"/>
              <w:rPr>
                <w:sz w:val="22"/>
                <w:szCs w:val="22"/>
                <w:color w:val="auto"/>
              </w:rPr>
            </w:pPr>
          </w:p>
        </w:tc>
        <w:tc>
          <w:tcPr>
            <w:tcW w:w="7240" w:type="dxa"/>
            <w:vAlign w:val="bottom"/>
            <w:gridSpan w:val="4"/>
          </w:tcPr>
          <w:p>
            <w:pPr>
              <w:spacing w:after="0"/>
              <w:rPr>
                <w:sz w:val="22"/>
                <w:szCs w:val="22"/>
                <w:color w:val="auto"/>
              </w:rPr>
            </w:pPr>
          </w:p>
        </w:tc>
      </w:tr>
      <w:tr>
        <w:trPr>
          <w:trHeight w:val="264"/>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31.1</w:t>
            </w:r>
          </w:p>
        </w:tc>
        <w:tc>
          <w:tcPr>
            <w:tcW w:w="9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Rules 13a-14 and 15d-14 promulgated under the Securities Act of 1933.</w:t>
            </w:r>
          </w:p>
        </w:tc>
        <w:tc>
          <w:tcPr>
            <w:tcW w:w="720" w:type="dxa"/>
            <w:vAlign w:val="bottom"/>
          </w:tcPr>
          <w:p>
            <w:pPr>
              <w:spacing w:after="0"/>
              <w:rPr>
                <w:sz w:val="22"/>
                <w:szCs w:val="22"/>
                <w:color w:val="auto"/>
              </w:rPr>
            </w:pPr>
          </w:p>
        </w:tc>
      </w:tr>
      <w:tr>
        <w:trPr>
          <w:trHeight w:val="263"/>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31.2</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Rules 13a-14 and 15d-14 promulgated under the Securities Act of 1933.</w:t>
            </w:r>
          </w:p>
        </w:tc>
      </w:tr>
      <w:tr>
        <w:trPr>
          <w:trHeight w:val="669"/>
        </w:trPr>
        <w:tc>
          <w:tcPr>
            <w:tcW w:w="1040" w:type="dxa"/>
            <w:vAlign w:val="bottom"/>
          </w:tcPr>
          <w:p>
            <w:pPr>
              <w:spacing w:after="0"/>
              <w:rPr>
                <w:sz w:val="24"/>
                <w:szCs w:val="24"/>
                <w:color w:val="auto"/>
              </w:rPr>
            </w:pPr>
          </w:p>
        </w:tc>
        <w:tc>
          <w:tcPr>
            <w:tcW w:w="9420" w:type="dxa"/>
            <w:vAlign w:val="bottom"/>
            <w:tcBorders>
              <w:top w:val="single" w:sz="8" w:color="0000FF"/>
            </w:tcBorders>
            <w:gridSpan w:val="4"/>
          </w:tcPr>
          <w:p>
            <w:pPr>
              <w:ind w:left="450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102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1020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0"/>
                <w:szCs w:val="20"/>
                <w:color w:val="auto"/>
              </w:rPr>
            </w:pPr>
          </w:p>
        </w:tc>
        <w:tc>
          <w:tcPr>
            <w:tcW w:w="9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18 U.S.C. Section 1350, as adopted pursuant to Section 906 of the Sarbanes-</w:t>
            </w:r>
          </w:p>
        </w:tc>
        <w:tc>
          <w:tcPr>
            <w:tcW w:w="4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2"/>
                <w:szCs w:val="22"/>
                <w:color w:val="auto"/>
              </w:rPr>
            </w:pPr>
          </w:p>
        </w:tc>
        <w:tc>
          <w:tcPr>
            <w:tcW w:w="102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22"/>
                <w:szCs w:val="22"/>
                <w:color w:val="auto"/>
              </w:rPr>
            </w:pPr>
          </w:p>
        </w:tc>
        <w:tc>
          <w:tcPr>
            <w:tcW w:w="99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MediciNova, Inc. Recovery of Erroneously Awarded Compensation Policy (incorporated by reference to Exhibit 97.1 of the Registrant’s</w:t>
              </w:r>
            </w:hyperlink>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gridSpan w:val="7"/>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Annual Report on 10-K (File No. 001-33185) filed February 15, 2024).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760" w:type="dxa"/>
            <w:vAlign w:val="bottom"/>
            <w:tcBorders>
              <w:right w:val="single" w:sz="8" w:color="0000EE"/>
            </w:tcBorders>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40" w:right="160" w:hanging="1032"/>
        <w:spacing w:after="0" w:line="261"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MediciNova, Inc. on Form 10-K as of and for the year ended December 31, 2025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18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9030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8" w:lineRule="exact"/>
        <w:rPr>
          <w:sz w:val="20"/>
          <w:szCs w:val="20"/>
          <w:color w:val="auto"/>
        </w:rPr>
      </w:pPr>
    </w:p>
    <w:p>
      <w:pPr>
        <w:ind w:right="3940" w:firstLine="8"/>
        <w:spacing w:after="0" w:line="282" w:lineRule="auto"/>
        <w:tabs>
          <w:tab w:leader="none" w:pos="1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grant of confidential treatment by the SEC. * Indicates management contract or compensatory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EDICINOVA</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 Delaware Corporation</w:t>
      </w:r>
    </w:p>
    <w:p>
      <w:pPr>
        <w:sectPr>
          <w:pgSz w:w="11900" w:h="16838" w:orient="portrait"/>
          <w:cols w:equalWidth="0" w:num="1">
            <w:col w:w="11240"/>
          </w:cols>
          <w:pgMar w:left="320" w:top="1413" w:right="3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10, 2026</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24765</wp:posOffset>
            </wp:positionV>
            <wp:extent cx="2837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5560" w:space="720"/>
            <w:col w:w="1420" w:space="720"/>
            <w:col w:w="2820"/>
          </w:cols>
          <w:pgMar w:left="320" w:top="1413" w:right="339" w:bottom="1440" w:gutter="0" w:footer="0" w:header="0"/>
          <w:type w:val="continuous"/>
        </w:sectPr>
      </w:pPr>
    </w:p>
    <w:p>
      <w:pPr>
        <w:jc w:val="center"/>
        <w:ind w:left="676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3"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Yuichi Iwaki his or her true and lawful attorney-in-fact,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or her substitute or substitutes may do or cause to be done by virtue hereof.</w:t>
      </w:r>
    </w:p>
    <w:p>
      <w:pPr>
        <w:spacing w:after="0" w:line="139"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5"/>
                <w:szCs w:val="15"/>
                <w:color w:val="auto"/>
              </w:rPr>
            </w:pPr>
          </w:p>
        </w:tc>
        <w:tc>
          <w:tcPr>
            <w:tcW w:w="50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0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13"/>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Yuichi Iwaki</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of the Board of Directors, President and Chief Executive</w:t>
            </w:r>
          </w:p>
        </w:tc>
        <w:tc>
          <w:tcPr>
            <w:tcW w:w="100" w:type="dxa"/>
            <w:vAlign w:val="bottom"/>
          </w:tcPr>
          <w:p>
            <w:pPr>
              <w:spacing w:after="0"/>
              <w:rPr>
                <w:sz w:val="24"/>
                <w:szCs w:val="24"/>
                <w:color w:val="auto"/>
              </w:rPr>
            </w:pPr>
          </w:p>
        </w:tc>
        <w:tc>
          <w:tcPr>
            <w:tcW w:w="2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10, 2026</w:t>
            </w:r>
          </w:p>
        </w:tc>
        <w:tc>
          <w:tcPr>
            <w:tcW w:w="0" w:type="dxa"/>
            <w:vAlign w:val="bottom"/>
          </w:tcPr>
          <w:p>
            <w:pPr>
              <w:spacing w:after="0"/>
              <w:rPr>
                <w:sz w:val="1"/>
                <w:szCs w:val="1"/>
                <w:color w:val="auto"/>
              </w:rPr>
            </w:pPr>
          </w:p>
        </w:tc>
      </w:tr>
      <w:tr>
        <w:trPr>
          <w:trHeight w:val="45"/>
        </w:trPr>
        <w:tc>
          <w:tcPr>
            <w:tcW w:w="3940" w:type="dxa"/>
            <w:vAlign w:val="bottom"/>
            <w:tcBorders>
              <w:bottom w:val="single" w:sz="8" w:color="auto"/>
            </w:tcBorders>
          </w:tcPr>
          <w:p>
            <w:pPr>
              <w:spacing w:after="0"/>
              <w:rPr>
                <w:sz w:val="3"/>
                <w:szCs w:val="3"/>
                <w:color w:val="auto"/>
              </w:rPr>
            </w:pPr>
          </w:p>
        </w:tc>
        <w:tc>
          <w:tcPr>
            <w:tcW w:w="5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9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Yuichi Iwaki, M.D., Ph.D.</w:t>
            </w:r>
          </w:p>
        </w:tc>
        <w:tc>
          <w:tcPr>
            <w:tcW w:w="5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Jason Kruger</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10, 2026</w:t>
            </w:r>
          </w:p>
        </w:tc>
        <w:tc>
          <w:tcPr>
            <w:tcW w:w="0" w:type="dxa"/>
            <w:vAlign w:val="bottom"/>
          </w:tcPr>
          <w:p>
            <w:pPr>
              <w:spacing w:after="0"/>
              <w:rPr>
                <w:sz w:val="1"/>
                <w:szCs w:val="1"/>
                <w:color w:val="auto"/>
              </w:rPr>
            </w:pPr>
          </w:p>
        </w:tc>
      </w:tr>
      <w:tr>
        <w:trPr>
          <w:trHeight w:val="47"/>
        </w:trPr>
        <w:tc>
          <w:tcPr>
            <w:tcW w:w="3940" w:type="dxa"/>
            <w:vAlign w:val="bottom"/>
            <w:tcBorders>
              <w:bottom w:val="single" w:sz="8" w:color="auto"/>
            </w:tcBorders>
          </w:tcPr>
          <w:p>
            <w:pPr>
              <w:spacing w:after="0"/>
              <w:rPr>
                <w:sz w:val="4"/>
                <w:szCs w:val="4"/>
                <w:color w:val="auto"/>
              </w:rPr>
            </w:pPr>
          </w:p>
        </w:tc>
        <w:tc>
          <w:tcPr>
            <w:tcW w:w="5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Jason Kruger</w:t>
            </w:r>
          </w:p>
        </w:tc>
        <w:tc>
          <w:tcPr>
            <w:tcW w:w="5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Carolyn Beaver</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10, 2026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Carolyn Beaver</w:t>
            </w:r>
          </w:p>
        </w:tc>
        <w:tc>
          <w:tcPr>
            <w:tcW w:w="1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Nicole Lemerond</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10, 2026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Nicole Lemerond</w:t>
            </w:r>
          </w:p>
        </w:tc>
        <w:tc>
          <w:tcPr>
            <w:tcW w:w="1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Kazuko Matsuda</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10, 2026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Kazuko Matsuda</w:t>
            </w:r>
          </w:p>
        </w:tc>
        <w:tc>
          <w:tcPr>
            <w:tcW w:w="1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Hideki Nagao</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10, 2026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Hideki Nagao</w:t>
            </w:r>
          </w:p>
        </w:tc>
        <w:tc>
          <w:tcPr>
            <w:tcW w:w="1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Trades in the Company’s Securities by Insiders (Company Personnel, Board Members and designated Consultants,</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Advisors and Contractors to the Company) and Confidential Information</w:t>
      </w:r>
    </w:p>
    <w:p>
      <w:pPr>
        <w:spacing w:after="0" w:line="381" w:lineRule="exact"/>
        <w:rPr>
          <w:sz w:val="20"/>
          <w:szCs w:val="20"/>
          <w:color w:val="auto"/>
        </w:rPr>
      </w:pPr>
    </w:p>
    <w:p>
      <w:pPr>
        <w:ind w:left="1460" w:hanging="759"/>
        <w:spacing w:after="0"/>
        <w:tabs>
          <w:tab w:leader="none" w:pos="14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1" w:lineRule="exact"/>
        <w:rPr>
          <w:sz w:val="20"/>
          <w:szCs w:val="20"/>
          <w:color w:val="auto"/>
        </w:rPr>
      </w:pPr>
    </w:p>
    <w:p>
      <w:pPr>
        <w:ind w:right="320" w:firstLine="469"/>
        <w:spacing w:after="0" w:line="250" w:lineRule="auto"/>
        <w:rPr>
          <w:sz w:val="20"/>
          <w:szCs w:val="20"/>
          <w:color w:val="auto"/>
        </w:rPr>
      </w:pPr>
      <w:r>
        <w:rPr>
          <w:rFonts w:ascii="Times New Roman" w:cs="Times New Roman" w:eastAsia="Times New Roman" w:hAnsi="Times New Roman"/>
          <w:sz w:val="20"/>
          <w:szCs w:val="20"/>
          <w:color w:val="auto"/>
        </w:rPr>
        <w:t xml:space="preserve">Both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and Congress are concerned about maintaining the fairness of the U.S. securities markets, and the SEC, together with the U.S. Attorney’s Office, pursues insider trading violations vigorously. Cases have been prosecuted successfully against trading by employees through foreign accounts, trading by family members and friends and trading involving only a small number of shares.</w:t>
      </w:r>
    </w:p>
    <w:p>
      <w:pPr>
        <w:spacing w:after="0" w:line="193" w:lineRule="exact"/>
        <w:rPr>
          <w:sz w:val="20"/>
          <w:szCs w:val="20"/>
          <w:color w:val="auto"/>
        </w:rPr>
      </w:pPr>
    </w:p>
    <w:p>
      <w:pPr>
        <w:ind w:right="520" w:firstLine="469"/>
        <w:spacing w:after="0" w:line="246" w:lineRule="auto"/>
        <w:rPr>
          <w:sz w:val="20"/>
          <w:szCs w:val="20"/>
          <w:color w:val="auto"/>
        </w:rPr>
      </w:pPr>
      <w:r>
        <w:rPr>
          <w:rFonts w:ascii="Times New Roman" w:cs="Times New Roman" w:eastAsia="Times New Roman" w:hAnsi="Times New Roman"/>
          <w:sz w:val="20"/>
          <w:szCs w:val="20"/>
          <w:color w:val="auto"/>
        </w:rPr>
        <w:t>Federal and state securities laws prohibit the purchase or sale of a company’s securities by persons who are aware of material information that is not generally known or available to the public. These laws prohibit persons who are aware of such material non-public information from disclosing it to others who may trade. The securities laws require publicly-traded companies to take reasonable steps to prevent insider trading by company personnel. Companies and their controlling persons are subject to liability if they fail to take reasonable steps to prevent insider trading by company personnel.</w:t>
      </w:r>
    </w:p>
    <w:p>
      <w:pPr>
        <w:spacing w:after="0" w:line="194" w:lineRule="exact"/>
        <w:rPr>
          <w:sz w:val="20"/>
          <w:szCs w:val="20"/>
          <w:color w:val="auto"/>
        </w:rPr>
      </w:pPr>
    </w:p>
    <w:p>
      <w:pPr>
        <w:ind w:right="300" w:firstLine="469"/>
        <w:spacing w:after="0" w:line="244" w:lineRule="auto"/>
        <w:rPr>
          <w:sz w:val="20"/>
          <w:szCs w:val="20"/>
          <w:color w:val="auto"/>
        </w:rPr>
      </w:pPr>
      <w:r>
        <w:rPr>
          <w:rFonts w:ascii="Times New Roman" w:cs="Times New Roman" w:eastAsia="Times New Roman" w:hAnsi="Times New Roman"/>
          <w:sz w:val="20"/>
          <w:szCs w:val="20"/>
          <w:color w:val="auto"/>
        </w:rPr>
        <w:t>This Statement of Company Policy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xml:space="preserve">”) is designed to prevent insider trading or allegations of insider trading and to protect the Company’s reputation for integrity and ethical conduct. This Policy applies to all employees of MediciNova,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all members of the Board of Directors of the Company (the “</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and designated consultants,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advisors and contractors to the Company, and they are obligated to understand and comply with this Policy. References to “you” (as well as general references to directors, officers, employees, consultants, advisors and contractors of the Company) should also be understood to include members of your immediate family, persons with whom you share a household, persons who are your economic dependents and any other individuals or entities whose transactions in securities you direct, control (including, for example, a trust or a venture or other investment fund, if you direct or control transactions for the entity).</w:t>
      </w:r>
    </w:p>
    <w:p>
      <w:pPr>
        <w:spacing w:after="0" w:line="199" w:lineRule="exact"/>
        <w:rPr>
          <w:sz w:val="20"/>
          <w:szCs w:val="20"/>
          <w:color w:val="auto"/>
        </w:rPr>
      </w:pPr>
    </w:p>
    <w:p>
      <w:pPr>
        <w:ind w:right="320" w:firstLine="469"/>
        <w:spacing w:after="0" w:line="269" w:lineRule="auto"/>
        <w:rPr>
          <w:sz w:val="20"/>
          <w:szCs w:val="20"/>
          <w:color w:val="auto"/>
        </w:rPr>
      </w:pPr>
      <w:r>
        <w:rPr>
          <w:rFonts w:ascii="Times New Roman" w:cs="Times New Roman" w:eastAsia="Times New Roman" w:hAnsi="Times New Roman"/>
          <w:sz w:val="20"/>
          <w:szCs w:val="20"/>
          <w:color w:val="auto"/>
        </w:rPr>
        <w:t xml:space="preserve">Individuals affecting transactions in Japan also need to abide by the laws set out in the Financial Instruments and Exchange Law (the </w:t>
      </w:r>
      <w:r>
        <w:rPr>
          <w:rFonts w:ascii="Times New Roman" w:cs="Times New Roman" w:eastAsia="Times New Roman" w:hAnsi="Times New Roman"/>
          <w:sz w:val="20"/>
          <w:szCs w:val="20"/>
          <w:b w:val="1"/>
          <w:bCs w:val="1"/>
          <w:color w:val="auto"/>
        </w:rPr>
        <w:t>“FIEL”</w:t>
      </w:r>
      <w:r>
        <w:rPr>
          <w:rFonts w:ascii="Times New Roman" w:cs="Times New Roman" w:eastAsia="Times New Roman" w:hAnsi="Times New Roman"/>
          <w:sz w:val="20"/>
          <w:szCs w:val="20"/>
          <w:color w:val="auto"/>
        </w:rPr>
        <w:t>) and the rules and regulations set out in the Rules of the Japanese Securities Market.</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has appointed the CFO, or his or her designee, as its current Insider Trading Compliance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Please direct your questions as to any matters discussed in this Policy to the </w:t>
      </w:r>
      <w:r>
        <w:rPr>
          <w:rFonts w:ascii="Times New Roman" w:cs="Times New Roman" w:eastAsia="Times New Roman" w:hAnsi="Times New Roman"/>
          <w:sz w:val="20"/>
          <w:szCs w:val="20"/>
          <w:b w:val="1"/>
          <w:bCs w:val="1"/>
          <w:color w:val="auto"/>
        </w:rPr>
        <w:t>COMPLIANCE</w:t>
      </w:r>
    </w:p>
    <w:p>
      <w:pPr>
        <w:spacing w:after="0"/>
        <w:rPr>
          <w:sz w:val="20"/>
          <w:szCs w:val="20"/>
          <w:color w:val="auto"/>
        </w:rPr>
      </w:pPr>
      <w:r>
        <w:rPr>
          <w:rFonts w:ascii="Times New Roman" w:cs="Times New Roman" w:eastAsia="Times New Roman" w:hAnsi="Times New Roman"/>
          <w:sz w:val="20"/>
          <w:szCs w:val="20"/>
          <w:b w:val="1"/>
          <w:bCs w:val="1"/>
          <w:color w:val="auto"/>
        </w:rPr>
        <w:t>OFFICER</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left="1460" w:hanging="759"/>
        <w:spacing w:after="0"/>
        <w:tabs>
          <w:tab w:leader="none" w:pos="14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Consequences.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consequences of insider trading violations can be substantial, with civil and criminal penalties potentially including,</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Insider trading violations by individuals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820" w:hanging="370"/>
        <w:spacing w:after="0"/>
        <w:tabs>
          <w:tab w:leader="none" w:pos="18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Damages in a private lawsuit;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627380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27" w:right="339" w:bottom="1440" w:gutter="0" w:footer="0" w:header="0"/>
        </w:sectPr>
      </w:pPr>
    </w:p>
    <w:bookmarkStart w:id="97" w:name="page98"/>
    <w:bookmarkEnd w:id="97"/>
    <w:p>
      <w:pPr>
        <w:ind w:left="1860" w:hanging="370"/>
        <w:spacing w:after="0"/>
        <w:tabs>
          <w:tab w:leader="none" w:pos="18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Disgorging any profits made or losses avoided;</w:t>
      </w:r>
    </w:p>
    <w:p>
      <w:pPr>
        <w:spacing w:after="0" w:line="28"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Imprisonment of up to twenty years; </w:t>
      </w:r>
      <w:r>
        <w:rPr>
          <w:rFonts w:ascii="Times New Roman" w:cs="Times New Roman" w:eastAsia="Times New Roman" w:hAnsi="Times New Roman"/>
          <w:sz w:val="17"/>
          <w:szCs w:val="17"/>
          <w:color w:val="auto"/>
        </w:rPr>
        <w:t>A bar against serving as an officer or director of a public company;</w:t>
      </w:r>
    </w:p>
    <w:p>
      <w:pPr>
        <w:spacing w:after="0" w:line="6"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up to three times the profit gained or loss avoided;</w:t>
      </w:r>
    </w:p>
    <w:p>
      <w:pPr>
        <w:ind w:left="1860" w:hanging="370"/>
        <w:spacing w:after="0"/>
        <w:tabs>
          <w:tab w:leader="none" w:pos="18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injunction against future violations; and</w:t>
      </w:r>
    </w:p>
    <w:p>
      <w:pPr>
        <w:spacing w:after="0" w:line="207"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fine of up to $5 million.</w:t>
      </w:r>
    </w:p>
    <w:p>
      <w:pPr>
        <w:spacing w:after="0" w:line="67"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Japanese law there is a penalty of up to five years in prison and a fine of up to JPY 5 million.</w:t>
      </w:r>
    </w:p>
    <w:p>
      <w:pPr>
        <w:spacing w:after="0" w:line="225" w:lineRule="exact"/>
        <w:rPr>
          <w:sz w:val="20"/>
          <w:szCs w:val="20"/>
          <w:color w:val="auto"/>
        </w:rPr>
      </w:pPr>
    </w:p>
    <w:p>
      <w:pPr>
        <w:ind w:right="280" w:firstLine="801"/>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Liabilities if the Company fails to take appropriate steps to prevent insider trading. (Further, civil penalties can extend personal liability to the Company’s directors, officers and other supervisory personnel as “controlling persons”.):</w:t>
      </w:r>
    </w:p>
    <w:p>
      <w:pPr>
        <w:spacing w:after="0" w:line="250" w:lineRule="exact"/>
        <w:rPr>
          <w:sz w:val="20"/>
          <w:szCs w:val="20"/>
          <w:color w:val="auto"/>
        </w:rPr>
      </w:pPr>
    </w:p>
    <w:p>
      <w:pPr>
        <w:ind w:left="1840" w:hanging="350"/>
        <w:spacing w:after="0"/>
        <w:tabs>
          <w:tab w:leader="none" w:pos="18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the greater of $2.479 million or three times the profit gained or loss avoided; and</w:t>
      </w:r>
    </w:p>
    <w:p>
      <w:pPr>
        <w:spacing w:after="0" w:line="229"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penalty of up to $25 million.</w:t>
      </w:r>
    </w:p>
    <w:p>
      <w:pPr>
        <w:spacing w:after="0" w:line="229"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Japanese law there is a maximum fine of JPY 300 million.</w:t>
      </w:r>
    </w:p>
    <w:p>
      <w:pPr>
        <w:spacing w:after="0" w:line="229" w:lineRule="exact"/>
        <w:rPr>
          <w:sz w:val="20"/>
          <w:szCs w:val="20"/>
          <w:color w:val="auto"/>
        </w:rPr>
      </w:pPr>
    </w:p>
    <w:p>
      <w:pPr>
        <w:ind w:left="40" w:right="120" w:firstLine="469"/>
        <w:spacing w:after="0" w:line="249" w:lineRule="auto"/>
        <w:rPr>
          <w:sz w:val="20"/>
          <w:szCs w:val="20"/>
          <w:color w:val="auto"/>
        </w:rPr>
      </w:pPr>
      <w:r>
        <w:rPr>
          <w:rFonts w:ascii="Times New Roman" w:cs="Times New Roman" w:eastAsia="Times New Roman" w:hAnsi="Times New Roman"/>
          <w:sz w:val="20"/>
          <w:szCs w:val="20"/>
          <w:color w:val="auto"/>
        </w:rPr>
        <w:t>Company-imposed sanctions, including dismissal for cause, could result if an individual violates the insider trading policy, whether or not this individual's actions also violate the law. It is not necessary for the Company to wait for the filing or conclusion of any civil or criminal action against you before taking disciplinary action. In addition, Company may give stop transfer and other instructions to Company’s transfer agent to enforce compliance with this Policy.</w:t>
      </w:r>
    </w:p>
    <w:p>
      <w:pPr>
        <w:spacing w:after="0" w:line="144" w:lineRule="exact"/>
        <w:rPr>
          <w:sz w:val="20"/>
          <w:szCs w:val="20"/>
          <w:color w:val="auto"/>
        </w:rPr>
      </w:pPr>
    </w:p>
    <w:p>
      <w:pPr>
        <w:ind w:left="1500" w:hanging="759"/>
        <w:spacing w:after="0"/>
        <w:tabs>
          <w:tab w:leader="none" w:pos="15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w:t>
      </w:r>
    </w:p>
    <w:p>
      <w:pPr>
        <w:spacing w:after="0" w:line="211" w:lineRule="exact"/>
        <w:rPr>
          <w:sz w:val="20"/>
          <w:szCs w:val="20"/>
          <w:color w:val="auto"/>
        </w:rPr>
      </w:pPr>
    </w:p>
    <w:p>
      <w:pPr>
        <w:ind w:left="40" w:right="60" w:firstLine="469"/>
        <w:spacing w:after="0" w:line="246" w:lineRule="auto"/>
        <w:rPr>
          <w:sz w:val="20"/>
          <w:szCs w:val="20"/>
          <w:color w:val="auto"/>
        </w:rPr>
      </w:pPr>
      <w:r>
        <w:rPr>
          <w:rFonts w:ascii="Times New Roman" w:cs="Times New Roman" w:eastAsia="Times New Roman" w:hAnsi="Times New Roman"/>
          <w:sz w:val="20"/>
          <w:szCs w:val="20"/>
          <w:color w:val="auto"/>
        </w:rPr>
        <w:t>Except as provided in the section 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b w:val="1"/>
          <w:bCs w:val="1"/>
          <w:color w:val="auto"/>
        </w:rPr>
        <w:t>you may not, directly or indirectly through others,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engage in any transaction involving the Company’s securities while aware of material non-public information</w:t>
      </w:r>
      <w:r>
        <w:rPr>
          <w:rFonts w:ascii="Times New Roman" w:cs="Times New Roman" w:eastAsia="Times New Roman" w:hAnsi="Times New Roman"/>
          <w:sz w:val="20"/>
          <w:szCs w:val="20"/>
          <w:color w:val="auto"/>
        </w:rPr>
        <w:t>. If you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non-public information (often referred to as “</w:t>
      </w:r>
      <w:r>
        <w:rPr>
          <w:rFonts w:ascii="Times New Roman" w:cs="Times New Roman" w:eastAsia="Times New Roman" w:hAnsi="Times New Roman"/>
          <w:sz w:val="20"/>
          <w:szCs w:val="20"/>
          <w:b w:val="1"/>
          <w:bCs w:val="1"/>
          <w:color w:val="auto"/>
        </w:rPr>
        <w:t>insider information</w:t>
      </w:r>
      <w:r>
        <w:rPr>
          <w:rFonts w:ascii="Times New Roman" w:cs="Times New Roman" w:eastAsia="Times New Roman" w:hAnsi="Times New Roman"/>
          <w:sz w:val="20"/>
          <w:szCs w:val="20"/>
          <w:color w:val="auto"/>
        </w:rPr>
        <w:t>”) relating to the Company, it is our policy that neither you nor any related person may buy or sell securities of the Company or engage in any other action to take advantage of, or pass on to others, that information. Even the appearance of an improper transaction must be avoided to prevent possible insider information violations and to preserve our reputation for adhering to the highest standards of conduct.</w:t>
      </w:r>
    </w:p>
    <w:p>
      <w:pPr>
        <w:spacing w:after="0" w:line="196" w:lineRule="exact"/>
        <w:rPr>
          <w:sz w:val="20"/>
          <w:szCs w:val="20"/>
          <w:color w:val="auto"/>
        </w:rPr>
      </w:pPr>
    </w:p>
    <w:p>
      <w:pPr>
        <w:ind w:left="40" w:right="120" w:firstLine="469"/>
        <w:spacing w:after="0" w:line="259" w:lineRule="auto"/>
        <w:rPr>
          <w:sz w:val="20"/>
          <w:szCs w:val="20"/>
          <w:color w:val="auto"/>
        </w:rPr>
      </w:pPr>
      <w:r>
        <w:rPr>
          <w:rFonts w:ascii="Times New Roman" w:cs="Times New Roman" w:eastAsia="Times New Roman" w:hAnsi="Times New Roman"/>
          <w:sz w:val="19"/>
          <w:szCs w:val="19"/>
          <w:color w:val="auto"/>
        </w:rPr>
        <w:t>Similarly, this policy also applies to trading in the securities of any other company if you became aware of material non-public information about that company in the course of your relationship with the Company (except if the transactions are similar to those presented in the section titled “</w:t>
      </w:r>
      <w:r>
        <w:rPr>
          <w:rFonts w:ascii="Times New Roman" w:cs="Times New Roman" w:eastAsia="Times New Roman" w:hAnsi="Times New Roman"/>
          <w:sz w:val="19"/>
          <w:szCs w:val="19"/>
          <w:b w:val="1"/>
          <w:bCs w:val="1"/>
          <w:color w:val="auto"/>
        </w:rPr>
        <w:t>Limited Exceptions</w:t>
      </w:r>
      <w:r>
        <w:rPr>
          <w:rFonts w:ascii="Times New Roman" w:cs="Times New Roman" w:eastAsia="Times New Roman" w:hAnsi="Times New Roman"/>
          <w:sz w:val="19"/>
          <w:szCs w:val="19"/>
          <w:color w:val="auto"/>
        </w:rPr>
        <w:t>” below). For example, you may be aware of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the Company’s securities, if that information is material to the Company). “</w:t>
      </w:r>
      <w:r>
        <w:rPr>
          <w:rFonts w:ascii="Times New Roman" w:cs="Times New Roman" w:eastAsia="Times New Roman" w:hAnsi="Times New Roman"/>
          <w:sz w:val="19"/>
          <w:szCs w:val="19"/>
          <w:b w:val="1"/>
          <w:bCs w:val="1"/>
          <w:color w:val="auto"/>
        </w:rPr>
        <w:t>Materiality</w:t>
      </w:r>
      <w:r>
        <w:rPr>
          <w:rFonts w:ascii="Times New Roman" w:cs="Times New Roman" w:eastAsia="Times New Roman" w:hAnsi="Times New Roman"/>
          <w:sz w:val="19"/>
          <w:szCs w:val="19"/>
          <w:color w:val="auto"/>
        </w:rPr>
        <w:t>” is company-specific — information that is not material to the Company may be material to another company.</w:t>
      </w:r>
    </w:p>
    <w:p>
      <w:pPr>
        <w:spacing w:after="0" w:line="186" w:lineRule="exact"/>
        <w:rPr>
          <w:sz w:val="20"/>
          <w:szCs w:val="20"/>
          <w:color w:val="auto"/>
        </w:rPr>
      </w:pPr>
    </w:p>
    <w:p>
      <w:pPr>
        <w:ind w:left="40" w:firstLine="469"/>
        <w:spacing w:after="0" w:line="249" w:lineRule="auto"/>
        <w:rPr>
          <w:sz w:val="20"/>
          <w:szCs w:val="20"/>
          <w:color w:val="auto"/>
        </w:rPr>
      </w:pPr>
      <w:r>
        <w:rPr>
          <w:rFonts w:ascii="Times New Roman" w:cs="Times New Roman" w:eastAsia="Times New Roman" w:hAnsi="Times New Roman"/>
          <w:sz w:val="20"/>
          <w:szCs w:val="20"/>
          <w:color w:val="auto"/>
        </w:rPr>
        <w:t>Material information is any information that a reasonable investor would consider important in deciding whether to buy, hold or sell securities of the Company. Material information includes any information that reasonably could affect the price of the stock. Either positive or negative information may be material and material information may be about the Company or about a company with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604520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60" w:top="1332" w:right="6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color w:val="auto"/>
        </w:rPr>
        <w:t>we do business.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 xml:space="preserve">Examples: </w:t>
      </w:r>
      <w:r>
        <w:rPr>
          <w:rFonts w:ascii="Times New Roman" w:cs="Times New Roman" w:eastAsia="Times New Roman" w:hAnsi="Times New Roman"/>
          <w:sz w:val="20"/>
          <w:szCs w:val="20"/>
          <w:color w:val="auto"/>
        </w:rPr>
        <w:t>Common examples of information that will frequently be regarded as material are:</w:t>
      </w:r>
    </w:p>
    <w:p>
      <w:pPr>
        <w:spacing w:after="0" w:line="228" w:lineRule="exact"/>
        <w:rPr>
          <w:sz w:val="20"/>
          <w:szCs w:val="20"/>
          <w:color w:val="auto"/>
        </w:rPr>
      </w:pPr>
    </w:p>
    <w:p>
      <w:pPr>
        <w:ind w:left="1280" w:right="340"/>
        <w:spacing w:after="0" w:line="254" w:lineRule="auto"/>
        <w:rPr>
          <w:sz w:val="20"/>
          <w:szCs w:val="20"/>
          <w:color w:val="auto"/>
        </w:rPr>
      </w:pPr>
      <w:r>
        <w:rPr>
          <w:rFonts w:ascii="Times New Roman" w:cs="Times New Roman" w:eastAsia="Times New Roman" w:hAnsi="Times New Roman"/>
          <w:sz w:val="20"/>
          <w:szCs w:val="20"/>
          <w:color w:val="auto"/>
        </w:rPr>
        <w:t>financial results, financial condition, earnings pre-announcements, guidance projections or forecasts (note that information about the results of the Company’s operations for even a portion of a quarter might be material in helping predict the Company’s financial results for the quarter);</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news of a possible merger, acquisition or tender offer;</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news of a significant sale of assets;</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significant new products or delays in new product introduction or development;</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discoveries, or grants or allowances or disallowances of patents;</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changes in dividend policies or the declaration of a stock split or the offering of additional securities;</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changes in management;</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significant legal or regulatory developments, whether actual or threatened;</w:t>
      </w:r>
    </w:p>
    <w:p>
      <w:pPr>
        <w:spacing w:after="0" w:line="13" w:lineRule="exact"/>
        <w:rPr>
          <w:sz w:val="20"/>
          <w:szCs w:val="20"/>
          <w:color w:val="auto"/>
        </w:rPr>
      </w:pPr>
    </w:p>
    <w:p>
      <w:pPr>
        <w:ind w:left="1280"/>
        <w:spacing w:after="0" w:line="242" w:lineRule="auto"/>
        <w:rPr>
          <w:sz w:val="20"/>
          <w:szCs w:val="20"/>
          <w:color w:val="auto"/>
        </w:rPr>
      </w:pPr>
      <w:r>
        <w:rPr>
          <w:rFonts w:ascii="Times New Roman" w:cs="Times New Roman" w:eastAsia="Times New Roman" w:hAnsi="Times New Roman"/>
          <w:sz w:val="20"/>
          <w:szCs w:val="20"/>
          <w:color w:val="auto"/>
        </w:rPr>
        <w:t>a significant cybersecurity incident, such as a data breach, or any other significant disruption, loss, breach or unauthorized access of the Company’s property or assets, whether at the Company’s facilities or through the Company’s technology infrastructure;</w:t>
      </w:r>
    </w:p>
    <w:p>
      <w:pPr>
        <w:ind w:left="720"/>
        <w:spacing w:after="0"/>
        <w:rPr>
          <w:sz w:val="20"/>
          <w:szCs w:val="20"/>
          <w:color w:val="auto"/>
        </w:rPr>
      </w:pPr>
      <w:r>
        <w:rPr>
          <w:rFonts w:ascii="Times New Roman" w:cs="Times New Roman" w:eastAsia="Times New Roman" w:hAnsi="Times New Roman"/>
          <w:sz w:val="20"/>
          <w:szCs w:val="20"/>
          <w:color w:val="auto"/>
        </w:rPr>
        <w:t>plans to raise additional capital through stock sales or otherwise;</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gain or loss of a significant product sale, customer or collaborator;</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impending bankruptcy or financial liquidity problems; and</w:t>
      </w:r>
    </w:p>
    <w:p>
      <w:pPr>
        <w:spacing w:after="0" w:line="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gain or loss of a substantial customer or supplier.</w:t>
      </w:r>
    </w:p>
    <w:p>
      <w:pPr>
        <w:spacing w:after="0" w:line="315" w:lineRule="exact"/>
        <w:rPr>
          <w:sz w:val="20"/>
          <w:szCs w:val="20"/>
          <w:color w:val="auto"/>
        </w:rPr>
      </w:pPr>
    </w:p>
    <w:p>
      <w:pPr>
        <w:ind w:right="400" w:firstLine="469"/>
        <w:spacing w:after="0" w:line="254" w:lineRule="auto"/>
        <w:rPr>
          <w:sz w:val="20"/>
          <w:szCs w:val="20"/>
          <w:color w:val="auto"/>
        </w:rPr>
      </w:pPr>
      <w:r>
        <w:rPr>
          <w:rFonts w:ascii="Times New Roman" w:cs="Times New Roman" w:eastAsia="Times New Roman" w:hAnsi="Times New Roman"/>
          <w:sz w:val="20"/>
          <w:szCs w:val="20"/>
          <w:color w:val="auto"/>
        </w:rPr>
        <w:t>The FIEL lists specific events that are considered to be “material inside information” and also contains a catch all provision for events not specifically mentioned in the law. A non-exhaustive list of facts which could be material information under the FIEL is attached as Exhibit D to this Statement of Company Policy.</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Hindsight</w:t>
      </w:r>
      <w:r>
        <w:rPr>
          <w:rFonts w:ascii="Times New Roman" w:cs="Times New Roman" w:eastAsia="Times New Roman" w:hAnsi="Times New Roman"/>
          <w:sz w:val="20"/>
          <w:szCs w:val="20"/>
          <w:color w:val="auto"/>
        </w:rPr>
        <w:t>. Securities transactions that become the subject of scrutiny will be viewed after-the-fact with the benefit of hindsight.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result, before engaging in any transaction, you should carefully consider how others might view your transaction in hindsight.</w:t>
      </w:r>
    </w:p>
    <w:p>
      <w:pPr>
        <w:spacing w:after="0" w:line="203" w:lineRule="exact"/>
        <w:rPr>
          <w:sz w:val="20"/>
          <w:szCs w:val="20"/>
          <w:color w:val="auto"/>
        </w:rPr>
      </w:pPr>
    </w:p>
    <w:p>
      <w:pPr>
        <w:ind w:right="300" w:firstLine="469"/>
        <w:spacing w:after="0" w:line="273" w:lineRule="auto"/>
        <w:rPr>
          <w:sz w:val="20"/>
          <w:szCs w:val="20"/>
          <w:color w:val="auto"/>
        </w:rPr>
      </w:pPr>
      <w:r>
        <w:rPr>
          <w:rFonts w:ascii="Times New Roman" w:cs="Times New Roman" w:eastAsia="Times New Roman" w:hAnsi="Times New Roman"/>
          <w:sz w:val="20"/>
          <w:szCs w:val="20"/>
          <w:b w:val="1"/>
          <w:bCs w:val="1"/>
          <w:color w:val="auto"/>
        </w:rPr>
        <w:t>Transactions by Family Members</w:t>
      </w:r>
      <w:r>
        <w:rPr>
          <w:rFonts w:ascii="Times New Roman" w:cs="Times New Roman" w:eastAsia="Times New Roman" w:hAnsi="Times New Roman"/>
          <w:sz w:val="20"/>
          <w:szCs w:val="20"/>
          <w:color w:val="auto"/>
        </w:rPr>
        <w:t>. The same restrictions apply to your family members and others living in your household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apply to you. You are responsible for the compliance to this Policy by your immediate family and personal household members.</w:t>
      </w:r>
    </w:p>
    <w:p>
      <w:pPr>
        <w:spacing w:after="0" w:line="165" w:lineRule="exact"/>
        <w:rPr>
          <w:sz w:val="20"/>
          <w:szCs w:val="20"/>
          <w:color w:val="auto"/>
        </w:rPr>
      </w:pPr>
    </w:p>
    <w:p>
      <w:pPr>
        <w:jc w:val="both"/>
        <w:ind w:right="460" w:firstLine="469"/>
        <w:spacing w:after="0" w:line="247" w:lineRule="auto"/>
        <w:rPr>
          <w:sz w:val="20"/>
          <w:szCs w:val="20"/>
          <w:color w:val="auto"/>
        </w:rPr>
      </w:pPr>
      <w:r>
        <w:rPr>
          <w:rFonts w:ascii="Times New Roman" w:cs="Times New Roman" w:eastAsia="Times New Roman" w:hAnsi="Times New Roman"/>
          <w:sz w:val="20"/>
          <w:szCs w:val="20"/>
          <w:b w:val="1"/>
          <w:bCs w:val="1"/>
          <w:color w:val="auto"/>
        </w:rPr>
        <w:t>Do Not Pass Information to Others</w:t>
      </w:r>
      <w:r>
        <w:rPr>
          <w:rFonts w:ascii="Times New Roman" w:cs="Times New Roman" w:eastAsia="Times New Roman" w:hAnsi="Times New Roman"/>
          <w:sz w:val="20"/>
          <w:szCs w:val="20"/>
          <w:color w:val="auto"/>
        </w:rPr>
        <w:t>. Whether the information is proprietary information about the Company or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could have an impact on our stock price, you must not pass the information on to others. You may not advise others to trade on the basis of material non-public information and this practice would violate security laws. Liability in these cases can extend to both the person to whom the insider disclosed inside information, and to you the insider, and would apply whether or not you derive any benefit from another’s actions.</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No Exception for Small Trades</w:t>
      </w:r>
      <w:r>
        <w:rPr>
          <w:rFonts w:ascii="Times New Roman" w:cs="Times New Roman" w:eastAsia="Times New Roman" w:hAnsi="Times New Roman"/>
          <w:sz w:val="20"/>
          <w:szCs w:val="20"/>
          <w:color w:val="auto"/>
        </w:rPr>
        <w:t>. This policy applies regardless of how small the trade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767080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00" w:top="1332" w:right="359" w:bottom="1440" w:gutter="0" w:footer="0" w:header="0"/>
        </w:sectPr>
      </w:pPr>
    </w:p>
    <w:bookmarkStart w:id="99" w:name="page100"/>
    <w:bookmarkEnd w:id="99"/>
    <w:p>
      <w:pPr>
        <w:ind w:right="20" w:firstLine="469"/>
        <w:spacing w:after="0" w:line="250" w:lineRule="auto"/>
        <w:rPr>
          <w:sz w:val="20"/>
          <w:szCs w:val="20"/>
          <w:color w:val="auto"/>
        </w:rPr>
      </w:pPr>
      <w:r>
        <w:rPr>
          <w:rFonts w:ascii="Times New Roman" w:cs="Times New Roman" w:eastAsia="Times New Roman" w:hAnsi="Times New Roman"/>
          <w:sz w:val="20"/>
          <w:szCs w:val="20"/>
          <w:b w:val="1"/>
          <w:bCs w:val="1"/>
          <w:color w:val="auto"/>
        </w:rPr>
        <w:t>Other No Exception Conditions</w:t>
      </w:r>
      <w:r>
        <w:rPr>
          <w:rFonts w:ascii="Times New Roman" w:cs="Times New Roman" w:eastAsia="Times New Roman" w:hAnsi="Times New Roman"/>
          <w:sz w:val="20"/>
          <w:szCs w:val="20"/>
          <w:color w:val="auto"/>
        </w:rPr>
        <w:t>. It does not matter that you have decided to engage in a transaction before becoming aware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non-public information or that the material non-public information did not affect your decision to engage in the transaction. It also does not matter that publicly disclosed information about the Company might, aside from the material non-public information, provide a sufficient basis for engaging in the transaction</w:t>
      </w:r>
    </w:p>
    <w:p>
      <w:pPr>
        <w:spacing w:after="0" w:line="189" w:lineRule="exact"/>
        <w:rPr>
          <w:sz w:val="20"/>
          <w:szCs w:val="20"/>
          <w:color w:val="auto"/>
        </w:rPr>
      </w:pPr>
    </w:p>
    <w:p>
      <w:pPr>
        <w:ind w:right="60" w:firstLine="469"/>
        <w:spacing w:after="0" w:line="244" w:lineRule="auto"/>
        <w:rPr>
          <w:sz w:val="20"/>
          <w:szCs w:val="20"/>
          <w:color w:val="auto"/>
        </w:rPr>
      </w:pPr>
      <w:r>
        <w:rPr>
          <w:rFonts w:ascii="Times New Roman" w:cs="Times New Roman" w:eastAsia="Times New Roman" w:hAnsi="Times New Roman"/>
          <w:sz w:val="20"/>
          <w:szCs w:val="20"/>
          <w:b w:val="1"/>
          <w:bCs w:val="1"/>
          <w:color w:val="auto"/>
        </w:rPr>
        <w:t>When Information is Public</w:t>
      </w:r>
      <w:r>
        <w:rPr>
          <w:rFonts w:ascii="Times New Roman" w:cs="Times New Roman" w:eastAsia="Times New Roman" w:hAnsi="Times New Roman"/>
          <w:sz w:val="20"/>
          <w:szCs w:val="20"/>
          <w:color w:val="auto"/>
        </w:rPr>
        <w:t>. It is also improper for you to enter a trade immediately after the Company has made a 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announcement of material information, including earnings releases. For purposes of the SEC, you must wait until the beginning of the </w:t>
      </w:r>
      <w:r>
        <w:rPr>
          <w:rFonts w:ascii="Times New Roman" w:cs="Times New Roman" w:eastAsia="Times New Roman" w:hAnsi="Times New Roman"/>
          <w:sz w:val="20"/>
          <w:szCs w:val="20"/>
          <w:b w:val="1"/>
          <w:bCs w:val="1"/>
          <w:color w:val="auto"/>
        </w:rPr>
        <w:t xml:space="preserve">second trading day </w:t>
      </w:r>
      <w:r>
        <w:rPr>
          <w:rFonts w:ascii="Times New Roman" w:cs="Times New Roman" w:eastAsia="Times New Roman" w:hAnsi="Times New Roman"/>
          <w:sz w:val="20"/>
          <w:szCs w:val="20"/>
          <w:color w:val="auto"/>
        </w:rPr>
        <w:t>after material information has been released to the public (If, for example, the Company were to make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announcement after the close of the trading day on a Monday afternoon, you should not trade in the Company’s securities until the beginning of the trading day on Wednesday). However, depending upon the form of the announcement and the nature of the information, it is possible that information may not be fully absorbed by the marketplace until later. Any questions as to whether information is non-public should be directed to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The term “trading day” means a day on which national stock exchanges are open for trading.</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the purpose of the FIEL, material inside information will be deemed to have been disclosed on the earlier of:</w:t>
      </w:r>
    </w:p>
    <w:p>
      <w:pPr>
        <w:spacing w:after="0" w:line="229" w:lineRule="exact"/>
        <w:rPr>
          <w:sz w:val="20"/>
          <w:szCs w:val="20"/>
          <w:color w:val="auto"/>
        </w:rPr>
      </w:pPr>
    </w:p>
    <w:p>
      <w:pPr>
        <w:ind w:left="1060" w:right="300" w:hanging="359"/>
        <w:spacing w:after="0" w:line="269" w:lineRule="auto"/>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twelve hours having lapsed since the information in question has been made known by the listed company in question to two different newspapers (not by any third party);</w:t>
      </w:r>
    </w:p>
    <w:p>
      <w:pPr>
        <w:spacing w:after="0" w:line="172" w:lineRule="exact"/>
        <w:rPr>
          <w:rFonts w:ascii="Times New Roman" w:cs="Times New Roman" w:eastAsia="Times New Roman" w:hAnsi="Times New Roman"/>
          <w:sz w:val="20"/>
          <w:szCs w:val="20"/>
          <w:color w:val="auto"/>
        </w:rPr>
      </w:pPr>
    </w:p>
    <w:p>
      <w:pPr>
        <w:ind w:left="1040" w:right="1160" w:hanging="339"/>
        <w:spacing w:after="0" w:line="269" w:lineRule="auto"/>
        <w:tabs>
          <w:tab w:leader="none" w:pos="10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publication of the disclosure documents which have to be filed with the local finance bureau by a listed company, as prescribed by the FIEL, such as the annual report or extraordinary report;</w:t>
      </w:r>
    </w:p>
    <w:p>
      <w:pPr>
        <w:spacing w:after="0" w:line="172" w:lineRule="exact"/>
        <w:rPr>
          <w:rFonts w:ascii="Times New Roman" w:cs="Times New Roman" w:eastAsia="Times New Roman" w:hAnsi="Times New Roman"/>
          <w:sz w:val="20"/>
          <w:szCs w:val="20"/>
          <w:color w:val="auto"/>
        </w:rPr>
      </w:pPr>
    </w:p>
    <w:p>
      <w:pPr>
        <w:ind w:left="1080" w:hanging="379"/>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publication of the information through TDnet, Timely Disclosure Network; or</w:t>
      </w:r>
    </w:p>
    <w:p>
      <w:pPr>
        <w:spacing w:after="0" w:line="229" w:lineRule="exact"/>
        <w:rPr>
          <w:rFonts w:ascii="Times New Roman" w:cs="Times New Roman" w:eastAsia="Times New Roman" w:hAnsi="Times New Roman"/>
          <w:sz w:val="20"/>
          <w:szCs w:val="20"/>
          <w:color w:val="auto"/>
        </w:rPr>
      </w:pPr>
    </w:p>
    <w:p>
      <w:pPr>
        <w:ind w:left="1080" w:hanging="379"/>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document of the tender offer bid has been made public.</w:t>
      </w:r>
    </w:p>
    <w:p>
      <w:pPr>
        <w:spacing w:after="0" w:line="229" w:lineRule="exact"/>
        <w:rPr>
          <w:sz w:val="20"/>
          <w:szCs w:val="20"/>
          <w:color w:val="auto"/>
        </w:rPr>
      </w:pPr>
    </w:p>
    <w:p>
      <w:pPr>
        <w:ind w:right="160" w:firstLine="469"/>
        <w:spacing w:after="0" w:line="269" w:lineRule="auto"/>
        <w:rPr>
          <w:sz w:val="20"/>
          <w:szCs w:val="20"/>
          <w:color w:val="auto"/>
        </w:rPr>
      </w:pPr>
      <w:r>
        <w:rPr>
          <w:rFonts w:ascii="Times New Roman" w:cs="Times New Roman" w:eastAsia="Times New Roman" w:hAnsi="Times New Roman"/>
          <w:sz w:val="20"/>
          <w:szCs w:val="20"/>
          <w:color w:val="auto"/>
        </w:rPr>
        <w:t>We impose certain “trading blackouts” to ensure that the Company’s stockholders and the investing public will be afforded the time to receive the information and act upon it. These are discussed below under “Trading Blackouts.”</w:t>
      </w:r>
    </w:p>
    <w:p>
      <w:pPr>
        <w:spacing w:after="0" w:line="169" w:lineRule="exact"/>
        <w:rPr>
          <w:sz w:val="20"/>
          <w:szCs w:val="20"/>
          <w:color w:val="auto"/>
        </w:rPr>
      </w:pPr>
    </w:p>
    <w:p>
      <w:pPr>
        <w:ind w:firstLine="469"/>
        <w:spacing w:after="0" w:line="245" w:lineRule="auto"/>
        <w:rPr>
          <w:sz w:val="20"/>
          <w:szCs w:val="20"/>
          <w:color w:val="auto"/>
        </w:rPr>
      </w:pPr>
      <w:r>
        <w:rPr>
          <w:rFonts w:ascii="Times New Roman" w:cs="Times New Roman" w:eastAsia="Times New Roman" w:hAnsi="Times New Roman"/>
          <w:sz w:val="20"/>
          <w:szCs w:val="20"/>
          <w:b w:val="1"/>
          <w:bCs w:val="1"/>
          <w:color w:val="auto"/>
        </w:rPr>
        <w:t>Pre-Approval of Trades</w:t>
      </w:r>
      <w:r>
        <w:rPr>
          <w:rFonts w:ascii="Times New Roman" w:cs="Times New Roman" w:eastAsia="Times New Roman" w:hAnsi="Times New Roman"/>
          <w:sz w:val="20"/>
          <w:szCs w:val="20"/>
          <w:color w:val="auto"/>
        </w:rPr>
        <w:t>. To provide assistance in preventing inadvertent violations and avoiding even the appearance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improper transaction (which could result, for example, if an employee engages in a trade while unaware of a pending major development), all members of the Board of Directors, officers and certain employees in a position to have access to material non-public information are subject to pre-approval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of all transactions in Company stock (acquisitions, dispositions, transfers, etc.). Pre-approval provided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must be in writing and will be subject to a two week expiration, after which it must be renewed by the applicant in order to continue to be valid. See Exhibit B for a listing of those persons designated for this pre-approval requirement.</w:t>
      </w:r>
    </w:p>
    <w:p>
      <w:pPr>
        <w:spacing w:after="0" w:line="197" w:lineRule="exact"/>
        <w:rPr>
          <w:sz w:val="20"/>
          <w:szCs w:val="20"/>
          <w:color w:val="auto"/>
        </w:rPr>
      </w:pPr>
    </w:p>
    <w:p>
      <w:pPr>
        <w:ind w:right="160" w:firstLine="469"/>
        <w:spacing w:after="0" w:line="244" w:lineRule="auto"/>
        <w:rPr>
          <w:sz w:val="20"/>
          <w:szCs w:val="20"/>
          <w:color w:val="auto"/>
        </w:rPr>
      </w:pPr>
      <w:r>
        <w:rPr>
          <w:rFonts w:ascii="Times New Roman" w:cs="Times New Roman" w:eastAsia="Times New Roman" w:hAnsi="Times New Roman"/>
          <w:sz w:val="20"/>
          <w:szCs w:val="20"/>
          <w:color w:val="auto"/>
        </w:rPr>
        <w:t xml:space="preserve">Pre-approval does not relieve anyone of their responsibility under government rules or under this Policy. You, whether subject to pre-approval or not, are responsible for adherence to this Policy, including, but not limited to: not trading on insider information; not trading during trading blackout periods; not trading for two days after earnings announcements; and not trading in securities on a short-term basis. Even if you are normally not subject to pre-approval are required to have pre-approval by the </w:t>
      </w:r>
      <w:r>
        <w:rPr>
          <w:rFonts w:ascii="Times New Roman" w:cs="Times New Roman" w:eastAsia="Times New Roman" w:hAnsi="Times New Roman"/>
          <w:sz w:val="20"/>
          <w:szCs w:val="20"/>
          <w:b w:val="1"/>
          <w:bCs w:val="1"/>
          <w:color w:val="auto"/>
        </w:rPr>
        <w:t>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OFFICER </w:t>
      </w:r>
      <w:r>
        <w:rPr>
          <w:rFonts w:ascii="Times New Roman" w:cs="Times New Roman" w:eastAsia="Times New Roman" w:hAnsi="Times New Roman"/>
          <w:sz w:val="20"/>
          <w:szCs w:val="20"/>
          <w:color w:val="auto"/>
        </w:rPr>
        <w:t>for the sale of stock purchased in the open market that has been owned less than six months. (This rule does not apply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however to stock purchased upon the exercise of an employee stock option or an employee stock purchase plan.) If you are in doubt whether pre-approval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617220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328" w:right="619"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20"/>
          <w:szCs w:val="20"/>
          <w:color w:val="auto"/>
        </w:rPr>
        <w:t xml:space="preserve">you should inquire with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or obtain pre-approval as a cautionary measure.</w:t>
      </w:r>
    </w:p>
    <w:p>
      <w:pPr>
        <w:spacing w:after="0" w:line="184" w:lineRule="exact"/>
        <w:rPr>
          <w:sz w:val="20"/>
          <w:szCs w:val="20"/>
          <w:color w:val="auto"/>
        </w:rPr>
      </w:pPr>
    </w:p>
    <w:p>
      <w:pPr>
        <w:ind w:left="1500" w:hanging="759"/>
        <w:spacing w:after="0"/>
        <w:tabs>
          <w:tab w:leader="none" w:pos="150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 and Officer Filings.</w:t>
      </w:r>
    </w:p>
    <w:p>
      <w:pPr>
        <w:spacing w:after="0" w:line="215" w:lineRule="exact"/>
        <w:rPr>
          <w:sz w:val="20"/>
          <w:szCs w:val="20"/>
          <w:color w:val="auto"/>
        </w:rPr>
      </w:pPr>
    </w:p>
    <w:p>
      <w:pPr>
        <w:jc w:val="both"/>
        <w:ind w:left="40" w:right="60" w:firstLine="469"/>
        <w:spacing w:after="0" w:line="233" w:lineRule="auto"/>
        <w:rPr>
          <w:sz w:val="20"/>
          <w:szCs w:val="20"/>
          <w:color w:val="auto"/>
        </w:rPr>
      </w:pPr>
      <w:r>
        <w:rPr>
          <w:rFonts w:ascii="Times New Roman" w:cs="Times New Roman" w:eastAsia="Times New Roman" w:hAnsi="Times New Roman"/>
          <w:sz w:val="20"/>
          <w:szCs w:val="20"/>
          <w:color w:val="auto"/>
        </w:rPr>
        <w:t>The SEC requires of all Company Directors and Section 16 officers of the Company (i.e. all persons listed on Exhibit C of this Policy) the initial reporting (on Form 3) and the reporting of subsequent changes (on Form 4) of ownership of the Company’s stock, including the granting or exercising of stock options. (Form 4 must be filed before the end of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color w:val="auto"/>
        </w:rPr>
        <w:t xml:space="preserve"> business day following a change of securities ownership.)</w:t>
      </w:r>
    </w:p>
    <w:p>
      <w:pPr>
        <w:spacing w:after="0" w:line="201" w:lineRule="exact"/>
        <w:rPr>
          <w:sz w:val="20"/>
          <w:szCs w:val="20"/>
          <w:color w:val="auto"/>
        </w:rPr>
      </w:pPr>
    </w:p>
    <w:p>
      <w:pPr>
        <w:ind w:left="40" w:firstLine="469"/>
        <w:spacing w:after="0" w:line="245" w:lineRule="auto"/>
        <w:rPr>
          <w:sz w:val="20"/>
          <w:szCs w:val="20"/>
          <w:color w:val="auto"/>
        </w:rPr>
      </w:pPr>
      <w:r>
        <w:rPr>
          <w:rFonts w:ascii="Times New Roman" w:cs="Times New Roman" w:eastAsia="Times New Roman" w:hAnsi="Times New Roman"/>
          <w:sz w:val="20"/>
          <w:szCs w:val="20"/>
          <w:color w:val="auto"/>
        </w:rPr>
        <w:t>In addition to SEC reporting requirements, in the event of a sale transaction of the Company’s stock by a director or executive officer, the Financial Services Agency (“</w:t>
      </w:r>
      <w:r>
        <w:rPr>
          <w:rFonts w:ascii="Times New Roman" w:cs="Times New Roman" w:eastAsia="Times New Roman" w:hAnsi="Times New Roman"/>
          <w:sz w:val="20"/>
          <w:szCs w:val="20"/>
          <w:b w:val="1"/>
          <w:bCs w:val="1"/>
          <w:color w:val="auto"/>
        </w:rPr>
        <w:t>FSA</w:t>
      </w:r>
      <w:r>
        <w:rPr>
          <w:rFonts w:ascii="Times New Roman" w:cs="Times New Roman" w:eastAsia="Times New Roman" w:hAnsi="Times New Roman"/>
          <w:sz w:val="20"/>
          <w:szCs w:val="20"/>
          <w:color w:val="auto"/>
        </w:rPr>
        <w:t>”), a Japan government organization which oversees securities and exchange in Japan, requires such individual to file a sales report (“</w:t>
      </w:r>
      <w:r>
        <w:rPr>
          <w:rFonts w:ascii="Times New Roman" w:cs="Times New Roman" w:eastAsia="Times New Roman" w:hAnsi="Times New Roman"/>
          <w:sz w:val="20"/>
          <w:szCs w:val="20"/>
          <w:b w:val="1"/>
          <w:bCs w:val="1"/>
          <w:color w:val="auto"/>
        </w:rPr>
        <w:t>Sales Report by Officers or Principal Shareholders</w:t>
      </w:r>
      <w:r>
        <w:rPr>
          <w:rFonts w:ascii="Times New Roman" w:cs="Times New Roman" w:eastAsia="Times New Roman" w:hAnsi="Times New Roman"/>
          <w:sz w:val="20"/>
          <w:szCs w:val="20"/>
          <w:color w:val="auto"/>
        </w:rPr>
        <w:t>”) with the FSA by the fifteenth day of the immediately succeeding the month in which the sale took place. Such report must be submitted through the broker/dealer if the sale was affected through a broker/dealer, and by the individual if the sale was not affected through a broker/dealer; provided, however, that submission of the above report is not required in the following cases:</w:t>
      </w:r>
    </w:p>
    <w:p>
      <w:pPr>
        <w:spacing w:after="0" w:line="198" w:lineRule="exact"/>
        <w:rPr>
          <w:sz w:val="20"/>
          <w:szCs w:val="20"/>
          <w:color w:val="auto"/>
        </w:rPr>
      </w:pPr>
    </w:p>
    <w:p>
      <w:pPr>
        <w:ind w:left="1500" w:hanging="759"/>
        <w:spacing w:after="0"/>
        <w:tabs>
          <w:tab w:leader="none" w:pos="15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sales of only fractional shares or odd lot shares;</w:t>
      </w:r>
    </w:p>
    <w:p>
      <w:pPr>
        <w:spacing w:after="0" w:line="229" w:lineRule="exact"/>
        <w:rPr>
          <w:rFonts w:ascii="Times New Roman" w:cs="Times New Roman" w:eastAsia="Times New Roman" w:hAnsi="Times New Roman"/>
          <w:sz w:val="20"/>
          <w:szCs w:val="20"/>
          <w:color w:val="auto"/>
        </w:rPr>
      </w:pPr>
    </w:p>
    <w:p>
      <w:pPr>
        <w:ind w:right="680" w:firstLine="741"/>
        <w:spacing w:after="0" w:line="269" w:lineRule="auto"/>
        <w:tabs>
          <w:tab w:leader="none" w:pos="126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stock by a stockholding plan (limited to the case where the contribution amount at one time is less than 1 million yen);</w:t>
      </w:r>
    </w:p>
    <w:p>
      <w:pPr>
        <w:spacing w:after="0" w:line="172" w:lineRule="exact"/>
        <w:rPr>
          <w:rFonts w:ascii="Times New Roman" w:cs="Times New Roman" w:eastAsia="Times New Roman" w:hAnsi="Times New Roman"/>
          <w:sz w:val="20"/>
          <w:szCs w:val="20"/>
          <w:color w:val="auto"/>
        </w:rPr>
      </w:pPr>
    </w:p>
    <w:p>
      <w:pPr>
        <w:ind w:right="180" w:firstLine="741"/>
        <w:spacing w:after="0" w:line="269" w:lineRule="auto"/>
        <w:tabs>
          <w:tab w:leader="none" w:pos="127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where the purchase was made under an accumulative investment agreement through a securities company (limited to cases where the contribution amount at one time is less than 1 million yen);</w:t>
      </w:r>
    </w:p>
    <w:p>
      <w:pPr>
        <w:spacing w:after="0" w:line="172" w:lineRule="exact"/>
        <w:rPr>
          <w:rFonts w:ascii="Times New Roman" w:cs="Times New Roman" w:eastAsia="Times New Roman" w:hAnsi="Times New Roman"/>
          <w:sz w:val="20"/>
          <w:szCs w:val="20"/>
          <w:color w:val="auto"/>
        </w:rPr>
      </w:pPr>
    </w:p>
    <w:p>
      <w:pPr>
        <w:ind w:left="1240" w:hanging="499"/>
        <w:spacing w:after="0"/>
        <w:tabs>
          <w:tab w:leader="none" w:pos="12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where futures transactions of a group of different items of stock were conducted on a stock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exchange;</w:t>
      </w:r>
    </w:p>
    <w:p>
      <w:pPr>
        <w:spacing w:after="0" w:line="32" w:lineRule="exact"/>
        <w:rPr>
          <w:sz w:val="20"/>
          <w:szCs w:val="20"/>
          <w:color w:val="auto"/>
        </w:rPr>
      </w:pPr>
    </w:p>
    <w:p>
      <w:pPr>
        <w:ind w:left="1280" w:hanging="539"/>
        <w:spacing w:after="0"/>
        <w:tabs>
          <w:tab w:leader="none" w:pos="12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stabilization transaction prescribed in Article 159, Paragraph 3 of the FIEL is conducted;</w:t>
      </w:r>
    </w:p>
    <w:p>
      <w:pPr>
        <w:spacing w:after="0" w:line="229" w:lineRule="exact"/>
        <w:rPr>
          <w:rFonts w:ascii="Times New Roman" w:cs="Times New Roman" w:eastAsia="Times New Roman" w:hAnsi="Times New Roman"/>
          <w:sz w:val="20"/>
          <w:szCs w:val="20"/>
          <w:color w:val="auto"/>
        </w:rPr>
      </w:pPr>
    </w:p>
    <w:p>
      <w:pPr>
        <w:ind w:right="720" w:firstLine="741"/>
        <w:spacing w:after="0" w:line="269" w:lineRule="auto"/>
        <w:tabs>
          <w:tab w:leader="none" w:pos="125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sale-and-repurchase of bonds (excluding stock options) with a predetermined repurchase price (limited to the case where the transaction is conducted only for the purpose of its own funding); or</w:t>
      </w:r>
    </w:p>
    <w:p>
      <w:pPr>
        <w:spacing w:after="0" w:line="172" w:lineRule="exact"/>
        <w:rPr>
          <w:rFonts w:ascii="Times New Roman" w:cs="Times New Roman" w:eastAsia="Times New Roman" w:hAnsi="Times New Roman"/>
          <w:sz w:val="20"/>
          <w:szCs w:val="20"/>
          <w:color w:val="auto"/>
        </w:rPr>
      </w:pPr>
    </w:p>
    <w:p>
      <w:pPr>
        <w:ind w:right="680" w:firstLine="741"/>
        <w:spacing w:after="0" w:line="269" w:lineRule="auto"/>
        <w:tabs>
          <w:tab w:leader="none" w:pos="125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shares are newly acquired by the exercise of stock options, equity warrants, or stock purchase warrants which have already been obtained.</w:t>
      </w:r>
    </w:p>
    <w:p>
      <w:pPr>
        <w:spacing w:after="0" w:line="169" w:lineRule="exact"/>
        <w:rPr>
          <w:sz w:val="20"/>
          <w:szCs w:val="20"/>
          <w:color w:val="auto"/>
        </w:rPr>
      </w:pPr>
    </w:p>
    <w:p>
      <w:pPr>
        <w:ind w:left="40" w:right="80" w:firstLine="469"/>
        <w:spacing w:after="0" w:line="246" w:lineRule="auto"/>
        <w:rPr>
          <w:sz w:val="20"/>
          <w:szCs w:val="20"/>
          <w:color w:val="auto"/>
        </w:rPr>
      </w:pPr>
      <w:r>
        <w:rPr>
          <w:rFonts w:ascii="Times New Roman" w:cs="Times New Roman" w:eastAsia="Times New Roman" w:hAnsi="Times New Roman"/>
          <w:sz w:val="20"/>
          <w:szCs w:val="20"/>
          <w:b w:val="1"/>
          <w:bCs w:val="1"/>
          <w:color w:val="auto"/>
        </w:rPr>
        <w:t>Trading Blackouts</w:t>
      </w:r>
      <w:r>
        <w:rPr>
          <w:rFonts w:ascii="Times New Roman" w:cs="Times New Roman" w:eastAsia="Times New Roman" w:hAnsi="Times New Roman"/>
          <w:sz w:val="20"/>
          <w:szCs w:val="20"/>
          <w:color w:val="auto"/>
        </w:rPr>
        <w:t>. From time to time, the Company may require that members of the Board of Directors, officers, selected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employees and others suspend trading because of material events known to the Company and not yet disclosed to the public. In that event, these persons are advised not to engage in any transaction involving the purchase or sale of the Company’s securities during that period and should not disclose to others the fact that they have been suspended from trading. The failure of the </w:t>
      </w:r>
      <w:r>
        <w:rPr>
          <w:rFonts w:ascii="Times New Roman" w:cs="Times New Roman" w:eastAsia="Times New Roman" w:hAnsi="Times New Roman"/>
          <w:sz w:val="20"/>
          <w:szCs w:val="20"/>
          <w:b w:val="1"/>
          <w:bCs w:val="1"/>
          <w:color w:val="auto"/>
        </w:rPr>
        <w:t>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OFFICER </w:t>
      </w:r>
      <w:r>
        <w:rPr>
          <w:rFonts w:ascii="Times New Roman" w:cs="Times New Roman" w:eastAsia="Times New Roman" w:hAnsi="Times New Roman"/>
          <w:sz w:val="20"/>
          <w:szCs w:val="20"/>
          <w:color w:val="auto"/>
        </w:rPr>
        <w:t>to designate a person as being subject to a specific blackout does not relieve that person of the obligation to suspend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while aware of material non-public information.</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In addition, the Company will also require the following mandatory trading blackouts:</w:t>
      </w:r>
    </w:p>
    <w:p>
      <w:pPr>
        <w:spacing w:after="0" w:line="225" w:lineRule="exact"/>
        <w:rPr>
          <w:sz w:val="20"/>
          <w:szCs w:val="20"/>
          <w:color w:val="auto"/>
        </w:rPr>
      </w:pPr>
    </w:p>
    <w:p>
      <w:pPr>
        <w:ind w:left="1100" w:right="100" w:hanging="359"/>
        <w:spacing w:after="0" w:line="273" w:lineRule="auto"/>
        <w:tabs>
          <w:tab w:leader="none" w:pos="11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Quarterly Earnings Trading Blackouts </w:t>
      </w:r>
      <w:r>
        <w:rPr>
          <w:rFonts w:ascii="Times New Roman" w:cs="Times New Roman" w:eastAsia="Times New Roman" w:hAnsi="Times New Roman"/>
          <w:sz w:val="20"/>
          <w:szCs w:val="20"/>
          <w:color w:val="auto"/>
        </w:rPr>
        <w:t>– All members of the Board of Directors, officers, certain employees and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designated insiders (See Exhibit A) in a position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598170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560" w:top="1328" w:right="679" w:bottom="1440" w:gutter="0" w:footer="0" w:header="0"/>
        </w:sectPr>
      </w:pPr>
    </w:p>
    <w:bookmarkStart w:id="101" w:name="page102"/>
    <w:bookmarkEnd w:id="101"/>
    <w:p>
      <w:pPr>
        <w:ind w:left="1060" w:right="300"/>
        <w:spacing w:after="0" w:line="233" w:lineRule="auto"/>
        <w:rPr>
          <w:sz w:val="20"/>
          <w:szCs w:val="20"/>
          <w:color w:val="auto"/>
        </w:rPr>
      </w:pPr>
      <w:r>
        <w:rPr>
          <w:rFonts w:ascii="Times New Roman" w:cs="Times New Roman" w:eastAsia="Times New Roman" w:hAnsi="Times New Roman"/>
          <w:sz w:val="20"/>
          <w:szCs w:val="20"/>
          <w:color w:val="auto"/>
        </w:rPr>
        <w:t>access to material non-public information will be subject to a stock trading blackout period beginning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the last month of a fiscal quarter until the beginning of the second trading day following the date earnings for that quarter are disclosed both in the U.S. and Japan (and for disclosure in Japan, in accordance with the section “When Information is Public”).</w:t>
      </w:r>
    </w:p>
    <w:p>
      <w:pPr>
        <w:spacing w:after="0" w:line="198" w:lineRule="exact"/>
        <w:rPr>
          <w:sz w:val="20"/>
          <w:szCs w:val="20"/>
          <w:color w:val="auto"/>
        </w:rPr>
      </w:pPr>
    </w:p>
    <w:p>
      <w:pPr>
        <w:ind w:left="1060" w:right="140" w:hanging="359"/>
        <w:spacing w:after="0" w:line="268" w:lineRule="auto"/>
        <w:tabs>
          <w:tab w:leader="none" w:pos="106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Trading After Earnings Announcements </w:t>
      </w:r>
      <w:r>
        <w:rPr>
          <w:rFonts w:ascii="Times New Roman" w:cs="Times New Roman" w:eastAsia="Times New Roman" w:hAnsi="Times New Roman"/>
          <w:sz w:val="19"/>
          <w:szCs w:val="19"/>
          <w:color w:val="auto"/>
        </w:rPr>
        <w:t>– If an earnings or earnings guidance announcement is made outside of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regularly scheduled earnings trading blackout period, then all those listed in Exhibit A are restricted from engaging in trading transactions until the beginning of the second trading day following the date the announcement is made both in the U.S. and Japan (and for disclosure in Japan, in accordance with the section “When Information is Public”).</w:t>
      </w:r>
    </w:p>
    <w:p>
      <w:pPr>
        <w:spacing w:after="0" w:line="171" w:lineRule="exact"/>
        <w:rPr>
          <w:rFonts w:ascii="Times New Roman" w:cs="Times New Roman" w:eastAsia="Times New Roman" w:hAnsi="Times New Roman"/>
          <w:sz w:val="19"/>
          <w:szCs w:val="19"/>
          <w:color w:val="auto"/>
        </w:rPr>
      </w:pPr>
    </w:p>
    <w:p>
      <w:pPr>
        <w:ind w:left="1060" w:right="80" w:hanging="359"/>
        <w:spacing w:after="0" w:line="245" w:lineRule="auto"/>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Special Blackout Periods </w:t>
      </w:r>
      <w:r>
        <w:rPr>
          <w:rFonts w:ascii="Times New Roman" w:cs="Times New Roman" w:eastAsia="Times New Roman" w:hAnsi="Times New Roman"/>
          <w:sz w:val="20"/>
          <w:szCs w:val="20"/>
          <w:color w:val="auto"/>
        </w:rPr>
        <w:t>– From time to time, the Company may also prohibit directors, officers, full- and part-time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employees and agents (such as consultants and independent contractors) from engaging in transactions involving the Company’s securities when, in the judgment of the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a significant transaction or business development. Special blackout periods may be declared for any reason.</w:t>
      </w:r>
    </w:p>
    <w:p>
      <w:pPr>
        <w:spacing w:after="0" w:line="197" w:lineRule="exact"/>
        <w:rPr>
          <w:sz w:val="20"/>
          <w:szCs w:val="20"/>
          <w:color w:val="auto"/>
        </w:rPr>
      </w:pPr>
    </w:p>
    <w:p>
      <w:pPr>
        <w:ind w:firstLine="469"/>
        <w:spacing w:after="0" w:line="246" w:lineRule="auto"/>
        <w:rPr>
          <w:sz w:val="20"/>
          <w:szCs w:val="20"/>
          <w:color w:val="auto"/>
        </w:rPr>
      </w:pPr>
      <w:r>
        <w:rPr>
          <w:rFonts w:ascii="Times New Roman" w:cs="Times New Roman" w:eastAsia="Times New Roman" w:hAnsi="Times New Roman"/>
          <w:sz w:val="20"/>
          <w:szCs w:val="20"/>
          <w:color w:val="auto"/>
        </w:rPr>
        <w:t>Of course, no trading should be done at any time that a member of the Board of Directors, officer or employee is actually aware of a major undisclosed corporate development. There are no unconditional “safe harbors” for trades made at particular times, and you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49" w:lineRule="exact"/>
        <w:rPr>
          <w:sz w:val="20"/>
          <w:szCs w:val="20"/>
          <w:color w:val="auto"/>
        </w:rPr>
      </w:pPr>
    </w:p>
    <w:p>
      <w:pPr>
        <w:ind w:left="1460" w:hanging="759"/>
        <w:spacing w:after="0"/>
        <w:tabs>
          <w:tab w:leader="none" w:pos="14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Limited Exceptions</w:t>
      </w:r>
    </w:p>
    <w:p>
      <w:pPr>
        <w:spacing w:after="0" w:line="215" w:lineRule="exact"/>
        <w:rPr>
          <w:sz w:val="20"/>
          <w:szCs w:val="20"/>
          <w:color w:val="auto"/>
        </w:rPr>
      </w:pPr>
    </w:p>
    <w:p>
      <w:pPr>
        <w:ind w:right="20" w:firstLine="469"/>
        <w:spacing w:after="0" w:line="246" w:lineRule="auto"/>
        <w:rPr>
          <w:sz w:val="20"/>
          <w:szCs w:val="20"/>
          <w:color w:val="auto"/>
        </w:rPr>
      </w:pPr>
      <w:r>
        <w:rPr>
          <w:rFonts w:ascii="Times New Roman" w:cs="Times New Roman" w:eastAsia="Times New Roman" w:hAnsi="Times New Roman"/>
          <w:sz w:val="20"/>
          <w:szCs w:val="20"/>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if applicable. You are responsible for complying with applicable law at all times.</w:t>
      </w:r>
    </w:p>
    <w:p>
      <w:pPr>
        <w:spacing w:after="0" w:line="198" w:lineRule="exact"/>
        <w:rPr>
          <w:sz w:val="20"/>
          <w:szCs w:val="20"/>
          <w:color w:val="auto"/>
        </w:rPr>
      </w:pPr>
    </w:p>
    <w:p>
      <w:pPr>
        <w:ind w:left="880" w:hanging="402"/>
        <w:spacing w:after="0"/>
        <w:tabs>
          <w:tab w:leader="none" w:pos="8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Transactions Pursuant to a Trading Plan that Complies with SEC Rules</w:t>
      </w:r>
    </w:p>
    <w:p>
      <w:pPr>
        <w:spacing w:after="0" w:line="229"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9"/>
          <w:szCs w:val="19"/>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w:t>
      </w:r>
    </w:p>
    <w:p>
      <w:pPr>
        <w:spacing w:after="0" w:line="4" w:lineRule="exact"/>
        <w:rPr>
          <w:sz w:val="20"/>
          <w:szCs w:val="20"/>
          <w:color w:val="auto"/>
        </w:rPr>
      </w:pPr>
    </w:p>
    <w:p>
      <w:pPr>
        <w:ind w:right="60" w:firstLine="9"/>
        <w:spacing w:after="0" w:line="246" w:lineRule="auto"/>
        <w:tabs>
          <w:tab w:leader="none" w:pos="34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place any subsequent discretion for determining the amount, price and date of the transaction in another person who is not, at the time of the transaction, aware of material non-public information.</w:t>
      </w:r>
    </w:p>
    <w:p>
      <w:pPr>
        <w:spacing w:after="0" w:line="195" w:lineRule="exact"/>
        <w:rPr>
          <w:sz w:val="20"/>
          <w:szCs w:val="20"/>
          <w:color w:val="auto"/>
        </w:rPr>
      </w:pPr>
    </w:p>
    <w:p>
      <w:pPr>
        <w:jc w:val="both"/>
        <w:ind w:right="40" w:firstLine="469"/>
        <w:spacing w:after="0" w:line="254" w:lineRule="auto"/>
        <w:rPr>
          <w:sz w:val="20"/>
          <w:szCs w:val="20"/>
          <w:color w:val="auto"/>
        </w:rPr>
      </w:pPr>
      <w:r>
        <w:rPr>
          <w:rFonts w:ascii="Times New Roman" w:cs="Times New Roman" w:eastAsia="Times New Roman" w:hAnsi="Times New Roman"/>
          <w:sz w:val="20"/>
          <w:szCs w:val="20"/>
          <w:color w:val="auto"/>
        </w:rPr>
        <w:t xml:space="preserve">Transactions made pursuant to a written trading plan that (i) complies with the affirmative defense set forth in Rule 10b5-1, (ii) complies with the requirements set forth in Exhibit E hereto and (iii) is approved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are not subject to the restrictions in this Policy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601345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00" w:top="1344" w:right="699" w:bottom="1440" w:gutter="0" w:footer="0" w:header="0"/>
        </w:sectPr>
      </w:pPr>
    </w:p>
    <w:bookmarkStart w:id="102" w:name="page103"/>
    <w:bookmarkEnd w:id="102"/>
    <w:p>
      <w:pPr>
        <w:ind w:right="80"/>
        <w:spacing w:after="0" w:line="249" w:lineRule="auto"/>
        <w:rPr>
          <w:sz w:val="20"/>
          <w:szCs w:val="20"/>
          <w:color w:val="auto"/>
        </w:rPr>
      </w:pPr>
      <w:r>
        <w:rPr>
          <w:rFonts w:ascii="Times New Roman" w:cs="Times New Roman" w:eastAsia="Times New Roman" w:hAnsi="Times New Roman"/>
          <w:sz w:val="20"/>
          <w:szCs w:val="20"/>
          <w:color w:val="auto"/>
        </w:rPr>
        <w:t xml:space="preserve">trades made while aware of material non-public information or to the pre-clearance procedures or blackout periods established under this Policy. In approving a trading plan,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may, in furtherance of the objectives expressed in this Policy, impose criteria in addition to those set forth in Rule 10b5-1. You should therefore confer with the </w:t>
      </w:r>
      <w:r>
        <w:rPr>
          <w:rFonts w:ascii="Times New Roman" w:cs="Times New Roman" w:eastAsia="Times New Roman" w:hAnsi="Times New Roman"/>
          <w:sz w:val="20"/>
          <w:szCs w:val="20"/>
          <w:b w:val="1"/>
          <w:bCs w:val="1"/>
          <w:color w:val="auto"/>
        </w:rPr>
        <w:t>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OFFICER </w:t>
      </w:r>
      <w:r>
        <w:rPr>
          <w:rFonts w:ascii="Times New Roman" w:cs="Times New Roman" w:eastAsia="Times New Roman" w:hAnsi="Times New Roman"/>
          <w:sz w:val="20"/>
          <w:szCs w:val="20"/>
          <w:color w:val="auto"/>
        </w:rPr>
        <w:t>prior to entering into any trading plan.</w:t>
      </w:r>
    </w:p>
    <w:p>
      <w:pPr>
        <w:spacing w:after="0" w:line="193" w:lineRule="exact"/>
        <w:rPr>
          <w:sz w:val="20"/>
          <w:szCs w:val="20"/>
          <w:color w:val="auto"/>
        </w:rPr>
      </w:pPr>
    </w:p>
    <w:p>
      <w:pPr>
        <w:ind w:right="120" w:firstLine="469"/>
        <w:spacing w:after="0" w:line="249" w:lineRule="auto"/>
        <w:rPr>
          <w:sz w:val="20"/>
          <w:szCs w:val="20"/>
          <w:color w:val="auto"/>
        </w:rPr>
      </w:pPr>
      <w:r>
        <w:rPr>
          <w:rFonts w:ascii="Times New Roman" w:cs="Times New Roman" w:eastAsia="Times New Roman" w:hAnsi="Times New Roman"/>
          <w:sz w:val="20"/>
          <w:szCs w:val="20"/>
          <w:color w:val="auto"/>
        </w:rPr>
        <w:t>The SEC rules regarding trading plans are complex, and you must comply with them completely for your trading plan to be effective. The description provided above is only a summary, and the Company strongly advises that you consult with your personal legal advisor if you intend to adopt a trading plan. While trading plans are subject to the Company’s review and approval, you are ultimately responsible for compliance with Rule 10b5-1 and this Policy.</w:t>
      </w:r>
    </w:p>
    <w:p>
      <w:pPr>
        <w:spacing w:after="0" w:line="189" w:lineRule="exact"/>
        <w:rPr>
          <w:sz w:val="20"/>
          <w:szCs w:val="20"/>
          <w:color w:val="auto"/>
        </w:rPr>
      </w:pPr>
    </w:p>
    <w:p>
      <w:pPr>
        <w:ind w:right="40" w:firstLine="469"/>
        <w:spacing w:after="0" w:line="276"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COMPLIANCE OFFICER</w:t>
      </w:r>
      <w:r>
        <w:rPr>
          <w:rFonts w:ascii="Times New Roman" w:cs="Times New Roman" w:eastAsia="Times New Roman" w:hAnsi="Times New Roman"/>
          <w:sz w:val="19"/>
          <w:szCs w:val="19"/>
          <w:color w:val="auto"/>
        </w:rPr>
        <w:t xml:space="preserve"> must keep a copy of each adopted trading plan. The Company may publicly disclose information regarding trading plans that you may enter (including but not limited to the information required by Regulation S-K Item 408), and you, or the Company on your behalf, will identify any Rule 10b5-1 transactions as such on Forms 4 and 5, if applicable.</w:t>
      </w:r>
    </w:p>
    <w:p>
      <w:pPr>
        <w:spacing w:after="0" w:line="168" w:lineRule="exact"/>
        <w:rPr>
          <w:sz w:val="20"/>
          <w:szCs w:val="20"/>
          <w:color w:val="auto"/>
        </w:rPr>
      </w:pPr>
    </w:p>
    <w:p>
      <w:pPr>
        <w:ind w:left="880" w:hanging="402"/>
        <w:spacing w:after="0"/>
        <w:tabs>
          <w:tab w:leader="none" w:pos="8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Receipt and Vesting of Stock Options, Restricted Stock Units, Restricted Stock and Stock Appreciation Rights</w:t>
      </w:r>
    </w:p>
    <w:p>
      <w:pPr>
        <w:spacing w:after="0" w:line="229" w:lineRule="exact"/>
        <w:rPr>
          <w:sz w:val="20"/>
          <w:szCs w:val="20"/>
          <w:color w:val="auto"/>
        </w:rPr>
      </w:pPr>
    </w:p>
    <w:p>
      <w:pPr>
        <w:ind w:firstLine="469"/>
        <w:spacing w:after="0" w:line="245"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grant or award of stock options, restricted stock units, restricted stock or stock appreciation rights issued or offered by the Company. The trading restrictions under this Policy also do not apply to the vesting, cancellation or forfeiture of stock options, restricted stock units, restricted stock or stock appreciation rights in accordance with applicable plans and agreements. The trading restrictions do apply, however, to any subsequent sales of any such securities or the common stock underlying such securities and any other market sale for the purpose of generating the cash needed to pay withholding taxes related to the settlement of restricted stock units or stock option exercises.</w:t>
      </w:r>
    </w:p>
    <w:p>
      <w:pPr>
        <w:spacing w:after="0" w:line="198" w:lineRule="exact"/>
        <w:rPr>
          <w:sz w:val="20"/>
          <w:szCs w:val="20"/>
          <w:color w:val="auto"/>
        </w:rPr>
      </w:pPr>
    </w:p>
    <w:p>
      <w:pPr>
        <w:ind w:left="880" w:hanging="402"/>
        <w:spacing w:after="0"/>
        <w:tabs>
          <w:tab w:leader="none" w:pos="8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or Cashless Net Exercise of Stock Options</w:t>
      </w:r>
    </w:p>
    <w:p>
      <w:pPr>
        <w:spacing w:after="0" w:line="229" w:lineRule="exact"/>
        <w:rPr>
          <w:sz w:val="20"/>
          <w:szCs w:val="20"/>
          <w:color w:val="auto"/>
        </w:rPr>
      </w:pPr>
    </w:p>
    <w:p>
      <w:pPr>
        <w:ind w:right="100" w:firstLine="469"/>
        <w:spacing w:after="0" w:line="259" w:lineRule="auto"/>
        <w:rPr>
          <w:sz w:val="20"/>
          <w:szCs w:val="20"/>
          <w:color w:val="auto"/>
        </w:rPr>
      </w:pPr>
      <w:r>
        <w:rPr>
          <w:rFonts w:ascii="Times New Roman" w:cs="Times New Roman" w:eastAsia="Times New Roman" w:hAnsi="Times New Roman"/>
          <w:sz w:val="19"/>
          <w:szCs w:val="19"/>
          <w:color w:val="auto"/>
        </w:rPr>
        <w:t>The trading restrictions under this Policy do not apply to the exercise of stock options for cash under the Company’s stock option plans. Likewise, the trading restrictions under this Policy do not apply to the exercise of stock options in a stock for stock exercise with the Company or an election to have the Company withhold securities to cover tax obligations in connection with an option exercise. However, the trading restrictions under this Policy do apply to (i) the sale of any securities issued upon the exercise of a stock option, (ii) a cashless exercise of a stock option through a broker, because this involves selling a portion of the underlying shares to cover the costs of exercise, and (iii) any other market sale for the purpose of generating the cash needed to pay the exercise price of an option or to pay withholding taxes related to the settlement of restricted stock units or stock option exercises.</w:t>
      </w:r>
    </w:p>
    <w:p>
      <w:pPr>
        <w:spacing w:after="0" w:line="186" w:lineRule="exact"/>
        <w:rPr>
          <w:sz w:val="20"/>
          <w:szCs w:val="20"/>
          <w:color w:val="auto"/>
        </w:rPr>
      </w:pPr>
    </w:p>
    <w:p>
      <w:pPr>
        <w:ind w:left="880" w:hanging="402"/>
        <w:spacing w:after="0"/>
        <w:tabs>
          <w:tab w:leader="none" w:pos="8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Splits, Stock Dividends and Similar Transactions</w:t>
      </w:r>
    </w:p>
    <w:p>
      <w:pPr>
        <w:spacing w:after="0" w:line="229" w:lineRule="exact"/>
        <w:rPr>
          <w:sz w:val="20"/>
          <w:szCs w:val="20"/>
          <w:color w:val="auto"/>
        </w:rPr>
      </w:pPr>
    </w:p>
    <w:p>
      <w:pPr>
        <w:ind w:right="80" w:firstLine="469"/>
        <w:spacing w:after="0" w:line="26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73" w:lineRule="exact"/>
        <w:rPr>
          <w:sz w:val="20"/>
          <w:szCs w:val="20"/>
          <w:color w:val="auto"/>
        </w:rPr>
      </w:pPr>
    </w:p>
    <w:p>
      <w:pPr>
        <w:ind w:left="880" w:hanging="402"/>
        <w:spacing w:after="0"/>
        <w:tabs>
          <w:tab w:leader="none" w:pos="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Bona Fide Gifts and Inheritance</w:t>
      </w:r>
    </w:p>
    <w:p>
      <w:pPr>
        <w:spacing w:after="0" w:line="229" w:lineRule="exact"/>
        <w:rPr>
          <w:sz w:val="20"/>
          <w:szCs w:val="20"/>
          <w:color w:val="auto"/>
        </w:rPr>
      </w:pPr>
    </w:p>
    <w:p>
      <w:pPr>
        <w:ind w:right="40" w:firstLine="469"/>
        <w:spacing w:after="0" w:line="24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bona fide gifts involving the Company’s securities or transfers by will or the laws of descent and distribution. However, (i) if you have reason to believe that the recipient intends to sell the Company’s securities while you are aware of material nonpublic information or, (ii) if (A) you are subject to the trading restrictions specified above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612775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00" w:top="1332" w:right="699" w:bottom="1440" w:gutter="0" w:footer="0" w:header="0"/>
        </w:sectPr>
      </w:pPr>
    </w:p>
    <w:bookmarkStart w:id="103" w:name="page104"/>
    <w:bookmarkEnd w:id="103"/>
    <w:p>
      <w:pPr>
        <w:ind w:right="500"/>
        <w:spacing w:after="0" w:line="254" w:lineRule="auto"/>
        <w:rPr>
          <w:sz w:val="20"/>
          <w:szCs w:val="20"/>
          <w:color w:val="auto"/>
        </w:rPr>
      </w:pPr>
      <w:r>
        <w:rPr>
          <w:rFonts w:ascii="Times New Roman" w:cs="Times New Roman" w:eastAsia="Times New Roman" w:hAnsi="Times New Roman"/>
          <w:sz w:val="20"/>
          <w:szCs w:val="20"/>
          <w:color w:val="auto"/>
        </w:rPr>
        <w:t>heading “Trading Blackout Periods,” and (B) you have reason to believe that the recipient intends to sell the Company securities during a blackout period, then the trading restrictions apply. In other words, you cannot use a gift to conduct a transaction that otherwise would be prohibited under this Policy.</w:t>
      </w:r>
    </w:p>
    <w:p>
      <w:pPr>
        <w:spacing w:after="0" w:line="188" w:lineRule="exact"/>
        <w:rPr>
          <w:sz w:val="20"/>
          <w:szCs w:val="20"/>
          <w:color w:val="auto"/>
        </w:rPr>
      </w:pPr>
    </w:p>
    <w:p>
      <w:pPr>
        <w:ind w:right="220" w:firstLine="469"/>
        <w:spacing w:after="0" w:line="269" w:lineRule="auto"/>
        <w:rPr>
          <w:sz w:val="20"/>
          <w:szCs w:val="20"/>
          <w:color w:val="auto"/>
        </w:rPr>
      </w:pPr>
      <w:r>
        <w:rPr>
          <w:rFonts w:ascii="Times New Roman" w:cs="Times New Roman" w:eastAsia="Times New Roman" w:hAnsi="Times New Roman"/>
          <w:sz w:val="20"/>
          <w:szCs w:val="20"/>
          <w:color w:val="auto"/>
        </w:rPr>
        <w:t>In addition, the trading restrictions under this Policy apply to any gifted or inherited securities if the recipient, for example, an immediate family member, is subject to this Policy.</w:t>
      </w:r>
    </w:p>
    <w:p>
      <w:pPr>
        <w:spacing w:after="0" w:line="173" w:lineRule="exact"/>
        <w:rPr>
          <w:sz w:val="20"/>
          <w:szCs w:val="20"/>
          <w:color w:val="auto"/>
        </w:rPr>
      </w:pPr>
    </w:p>
    <w:p>
      <w:pPr>
        <w:ind w:left="880" w:hanging="402"/>
        <w:spacing w:after="0"/>
        <w:tabs>
          <w:tab w:leader="none" w:pos="8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Form of Ownership</w:t>
      </w:r>
    </w:p>
    <w:p>
      <w:pPr>
        <w:spacing w:after="0" w:line="229" w:lineRule="exact"/>
        <w:rPr>
          <w:sz w:val="20"/>
          <w:szCs w:val="20"/>
          <w:color w:val="auto"/>
        </w:rPr>
      </w:pPr>
    </w:p>
    <w:p>
      <w:pPr>
        <w:ind w:right="420" w:firstLine="469"/>
        <w:spacing w:after="0" w:line="254" w:lineRule="auto"/>
        <w:rPr>
          <w:sz w:val="20"/>
          <w:szCs w:val="20"/>
          <w:color w:val="auto"/>
        </w:rPr>
      </w:pPr>
      <w:r>
        <w:rPr>
          <w:rFonts w:ascii="Times New Roman" w:cs="Times New Roman" w:eastAsia="Times New Roman" w:hAnsi="Times New Roman"/>
          <w:sz w:val="20"/>
          <w:szCs w:val="20"/>
          <w:color w:val="auto"/>
        </w:rPr>
        <w:t>Transactions that involve merely a change in the form in which you own securities are not subject to the trading restrictions under this Policy. For example, you may transfer shares to an inter vivos trust of which you are the sole beneficiary during your lifetime.</w:t>
      </w:r>
    </w:p>
    <w:p>
      <w:pPr>
        <w:spacing w:after="0" w:line="188" w:lineRule="exact"/>
        <w:rPr>
          <w:sz w:val="20"/>
          <w:szCs w:val="20"/>
          <w:color w:val="auto"/>
        </w:rPr>
      </w:pPr>
    </w:p>
    <w:p>
      <w:pPr>
        <w:ind w:left="880" w:hanging="402"/>
        <w:spacing w:after="0"/>
        <w:tabs>
          <w:tab w:leader="none" w:pos="8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Exceptions</w:t>
      </w:r>
    </w:p>
    <w:p>
      <w:pPr>
        <w:spacing w:after="0" w:line="225" w:lineRule="exact"/>
        <w:rPr>
          <w:sz w:val="20"/>
          <w:szCs w:val="20"/>
          <w:color w:val="auto"/>
        </w:rPr>
      </w:pPr>
    </w:p>
    <w:p>
      <w:pPr>
        <w:ind w:right="200" w:firstLine="469"/>
        <w:spacing w:after="0" w:line="273" w:lineRule="auto"/>
        <w:rPr>
          <w:sz w:val="20"/>
          <w:szCs w:val="20"/>
          <w:color w:val="auto"/>
        </w:rPr>
      </w:pPr>
      <w:r>
        <w:rPr>
          <w:rFonts w:ascii="Times New Roman" w:cs="Times New Roman" w:eastAsia="Times New Roman" w:hAnsi="Times New Roman"/>
          <w:sz w:val="20"/>
          <w:szCs w:val="20"/>
          <w:color w:val="auto"/>
        </w:rPr>
        <w:t xml:space="preserve">Any other exception from this Policy must be approved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in consultation with the Board of Directors or an independent committee of the Board of Directors.</w:t>
      </w:r>
    </w:p>
    <w:p>
      <w:pPr>
        <w:spacing w:after="0" w:line="120" w:lineRule="exact"/>
        <w:rPr>
          <w:sz w:val="20"/>
          <w:szCs w:val="20"/>
          <w:color w:val="auto"/>
        </w:rPr>
      </w:pPr>
    </w:p>
    <w:p>
      <w:pPr>
        <w:ind w:left="1460" w:hanging="759"/>
        <w:spacing w:after="0"/>
        <w:tabs>
          <w:tab w:leader="none" w:pos="14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Prohibited Transactions.</w:t>
      </w:r>
    </w:p>
    <w:p>
      <w:pPr>
        <w:spacing w:after="0" w:line="215" w:lineRule="exact"/>
        <w:rPr>
          <w:sz w:val="20"/>
          <w:szCs w:val="20"/>
          <w:color w:val="auto"/>
        </w:rPr>
      </w:pPr>
    </w:p>
    <w:p>
      <w:pPr>
        <w:ind w:right="260" w:firstLine="469"/>
        <w:spacing w:after="0" w:line="266" w:lineRule="auto"/>
        <w:rPr>
          <w:sz w:val="20"/>
          <w:szCs w:val="20"/>
          <w:color w:val="auto"/>
        </w:rPr>
      </w:pPr>
      <w:r>
        <w:rPr>
          <w:rFonts w:ascii="Times New Roman" w:cs="Times New Roman" w:eastAsia="Times New Roman" w:hAnsi="Times New Roman"/>
          <w:sz w:val="19"/>
          <w:szCs w:val="19"/>
          <w:color w:val="auto"/>
        </w:rPr>
        <w:t>The Company believes it is improper and inappropriate for any Company personnel to engage in short-term or speculative transactions involving Company stock. We believe that this trading can reflect badly on the Company and that Company personnel should not engage in any types of transactions that are a form of short-term “betting” for or against the Company. Accordingly, it is the Company’s policy that you should not engage in any of the following activities with respect to securities of the Company:</w:t>
      </w:r>
    </w:p>
    <w:p>
      <w:pPr>
        <w:spacing w:after="0" w:line="175" w:lineRule="exact"/>
        <w:rPr>
          <w:sz w:val="20"/>
          <w:szCs w:val="20"/>
          <w:color w:val="auto"/>
        </w:rPr>
      </w:pPr>
    </w:p>
    <w:p>
      <w:pPr>
        <w:ind w:left="1060" w:right="20" w:hanging="359"/>
        <w:spacing w:after="0" w:line="261" w:lineRule="auto"/>
        <w:tabs>
          <w:tab w:leader="none" w:pos="106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Trading in securities on a short-term basis </w:t>
      </w:r>
      <w:r>
        <w:rPr>
          <w:rFonts w:ascii="Times New Roman" w:cs="Times New Roman" w:eastAsia="Times New Roman" w:hAnsi="Times New Roman"/>
          <w:sz w:val="19"/>
          <w:szCs w:val="19"/>
          <w:color w:val="auto"/>
        </w:rPr>
        <w:t>— As a general rule, any Company stock purchased in the open market (i.e.,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not including stock purchased upon exercise of an employee stock option or an employee stock purchase plan) should be held for a minimum of six months and ideally longer. The top executives and members of the Board of Directors of the Company are already subject to the SEC’s “short-swing” profit rule, which penalizes sales and purchases inside of any six-month period. If you wish to sell Company stock that was purchased in the open market and that has been owned less than six months, you must obtain prior written approval from the </w:t>
      </w:r>
      <w:r>
        <w:rPr>
          <w:rFonts w:ascii="Times New Roman" w:cs="Times New Roman" w:eastAsia="Times New Roman" w:hAnsi="Times New Roman"/>
          <w:sz w:val="19"/>
          <w:szCs w:val="19"/>
          <w:b w:val="1"/>
          <w:bCs w:val="1"/>
          <w:color w:val="auto"/>
        </w:rPr>
        <w:t>COMPLIANCE OFFICER.</w:t>
      </w:r>
    </w:p>
    <w:p>
      <w:pPr>
        <w:sectPr>
          <w:pgSz w:w="11900" w:h="16838" w:orient="portrait"/>
          <w:cols w:equalWidth="0" w:num="1">
            <w:col w:w="10680"/>
          </w:cols>
          <w:pgMar w:left="600" w:top="1332" w:right="619" w:bottom="1440" w:gutter="0" w:footer="0" w:header="0"/>
        </w:sectPr>
      </w:pPr>
    </w:p>
    <w:p>
      <w:pPr>
        <w:spacing w:after="0" w:line="181" w:lineRule="exact"/>
        <w:rPr>
          <w:sz w:val="20"/>
          <w:szCs w:val="20"/>
          <w:color w:val="auto"/>
        </w:rPr>
      </w:pPr>
    </w:p>
    <w:p>
      <w:pPr>
        <w:jc w:val="both"/>
        <w:ind w:left="1060" w:hanging="359"/>
        <w:spacing w:after="0" w:line="256" w:lineRule="auto"/>
        <w:tabs>
          <w:tab w:leader="none" w:pos="10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Purchases of Company stock on margin </w:t>
      </w:r>
      <w:r>
        <w:rPr>
          <w:rFonts w:ascii="Times New Roman" w:cs="Times New Roman" w:eastAsia="Times New Roman" w:hAnsi="Times New Roman"/>
          <w:sz w:val="20"/>
          <w:szCs w:val="20"/>
          <w:color w:val="auto"/>
        </w:rPr>
        <w:t>order to buy Company stock (other than Company’s stock plans).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hanging="91"/>
        <w:spacing w:after="0" w:line="269" w:lineRule="auto"/>
        <w:rPr>
          <w:sz w:val="20"/>
          <w:szCs w:val="20"/>
          <w:color w:val="auto"/>
        </w:rPr>
      </w:pPr>
      <w:r>
        <w:rPr>
          <w:rFonts w:ascii="Times New Roman" w:cs="Times New Roman" w:eastAsia="Times New Roman" w:hAnsi="Times New Roman"/>
          <w:sz w:val="20"/>
          <w:szCs w:val="20"/>
          <w:color w:val="auto"/>
        </w:rPr>
        <w:t>— This involves borrowing from a brokerage firm, bank or other entity in in connection with a so-called “cashless” exercise of options under the</w:t>
      </w:r>
    </w:p>
    <w:p>
      <w:pPr>
        <w:spacing w:after="0" w:line="398" w:lineRule="exact"/>
        <w:rPr>
          <w:sz w:val="20"/>
          <w:szCs w:val="20"/>
          <w:color w:val="auto"/>
        </w:rPr>
      </w:pPr>
    </w:p>
    <w:p>
      <w:pPr>
        <w:sectPr>
          <w:pgSz w:w="11900" w:h="16838" w:orient="portrait"/>
          <w:cols w:equalWidth="0" w:num="2">
            <w:col w:w="4520" w:space="100"/>
            <w:col w:w="6060"/>
          </w:cols>
          <w:pgMar w:left="600" w:top="1332" w:right="619" w:bottom="1440" w:gutter="0" w:footer="0" w:header="0"/>
          <w:type w:val="continuous"/>
        </w:sectPr>
      </w:pPr>
    </w:p>
    <w:p>
      <w:pPr>
        <w:ind w:left="1060" w:right="260" w:hanging="359"/>
        <w:spacing w:after="0" w:line="273" w:lineRule="auto"/>
        <w:tabs>
          <w:tab w:leader="none" w:pos="10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Short sales of Company stock </w:t>
      </w:r>
      <w:r>
        <w:rPr>
          <w:rFonts w:ascii="Times New Roman" w:cs="Times New Roman" w:eastAsia="Times New Roman" w:hAnsi="Times New Roman"/>
          <w:sz w:val="20"/>
          <w:szCs w:val="20"/>
          <w:color w:val="auto"/>
        </w:rPr>
        <w:t>— This involves selling Company stock that you do not own in the expectation that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price of the stock will fall, or as part of an arbitrage transaction.</w:t>
      </w:r>
    </w:p>
    <w:p>
      <w:pPr>
        <w:spacing w:after="0" w:line="165" w:lineRule="exact"/>
        <w:rPr>
          <w:rFonts w:ascii="Times New Roman" w:cs="Times New Roman" w:eastAsia="Times New Roman" w:hAnsi="Times New Roman"/>
          <w:sz w:val="20"/>
          <w:szCs w:val="20"/>
          <w:color w:val="auto"/>
        </w:rPr>
      </w:pPr>
    </w:p>
    <w:p>
      <w:pPr>
        <w:ind w:left="1060" w:hanging="359"/>
        <w:spacing w:after="0" w:line="273" w:lineRule="auto"/>
        <w:tabs>
          <w:tab w:leader="none" w:pos="10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Buying or selling puts or calls on Company stock </w:t>
      </w:r>
      <w:r>
        <w:rPr>
          <w:rFonts w:ascii="Times New Roman" w:cs="Times New Roman" w:eastAsia="Times New Roman" w:hAnsi="Times New Roman"/>
          <w:sz w:val="20"/>
          <w:szCs w:val="20"/>
          <w:color w:val="auto"/>
        </w:rPr>
        <w:t>— This includes options trading on any of the stock exchanges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futures exchanges.</w:t>
      </w:r>
    </w:p>
    <w:p>
      <w:pPr>
        <w:spacing w:after="0" w:line="336" w:lineRule="exact"/>
        <w:rPr>
          <w:sz w:val="20"/>
          <w:szCs w:val="20"/>
          <w:color w:val="auto"/>
        </w:rPr>
      </w:pPr>
    </w:p>
    <w:p>
      <w:pPr>
        <w:ind w:left="1460" w:hanging="759"/>
        <w:spacing w:after="0"/>
        <w:tabs>
          <w:tab w:leader="none" w:pos="14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 and Communications with the Media.</w:t>
      </w:r>
    </w:p>
    <w:p>
      <w:pPr>
        <w:spacing w:after="0" w:line="215" w:lineRule="exact"/>
        <w:rPr>
          <w:sz w:val="20"/>
          <w:szCs w:val="20"/>
          <w:color w:val="auto"/>
        </w:rPr>
      </w:pPr>
    </w:p>
    <w:p>
      <w:pPr>
        <w:ind w:right="240" w:firstLine="469"/>
        <w:spacing w:after="0" w:line="254" w:lineRule="auto"/>
        <w:rPr>
          <w:sz w:val="20"/>
          <w:szCs w:val="20"/>
          <w:color w:val="auto"/>
        </w:rPr>
      </w:pPr>
      <w:r>
        <w:rPr>
          <w:rFonts w:ascii="Times New Roman" w:cs="Times New Roman" w:eastAsia="Times New Roman" w:hAnsi="Times New Roman"/>
          <w:sz w:val="20"/>
          <w:szCs w:val="20"/>
          <w:color w:val="auto"/>
        </w:rPr>
        <w:t>Unauthorized disclosure of internal information relating to the Company (including information regarding new products, the Company’s suppliers or customers) could cause competitive harm to the Company and in some cases could result in liability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738505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332" w:right="619" w:bottom="1440" w:gutter="0" w:footer="0" w:header="0"/>
          <w:type w:val="continuous"/>
        </w:sectPr>
      </w:pPr>
    </w:p>
    <w:bookmarkStart w:id="104" w:name="page105"/>
    <w:bookmarkEnd w:id="104"/>
    <w:p>
      <w:pPr>
        <w:ind w:right="80" w:firstLine="469"/>
        <w:spacing w:after="0" w:line="256" w:lineRule="auto"/>
        <w:rPr>
          <w:sz w:val="20"/>
          <w:szCs w:val="20"/>
          <w:color w:val="auto"/>
        </w:rPr>
      </w:pPr>
      <w:r>
        <w:rPr>
          <w:rFonts w:ascii="Times New Roman" w:cs="Times New Roman" w:eastAsia="Times New Roman" w:hAnsi="Times New Roman"/>
          <w:sz w:val="20"/>
          <w:szCs w:val="20"/>
          <w:b w:val="1"/>
          <w:bCs w:val="1"/>
          <w:color w:val="auto"/>
        </w:rPr>
        <w:t>Unauthorized disclosure</w:t>
      </w:r>
      <w:r>
        <w:rPr>
          <w:rFonts w:ascii="Times New Roman" w:cs="Times New Roman" w:eastAsia="Times New Roman" w:hAnsi="Times New Roman"/>
          <w:sz w:val="20"/>
          <w:szCs w:val="20"/>
          <w:color w:val="auto"/>
        </w:rPr>
        <w:t>. You should not disclose internal information about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anyone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outside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required in the performance of regular duties for the Company. In this regard, you are prohibited from posting internal information about the Company on the internet (bulletin board, blog chat room, etc.).</w:t>
      </w:r>
    </w:p>
    <w:p>
      <w:pPr>
        <w:spacing w:after="0" w:line="182" w:lineRule="exact"/>
        <w:rPr>
          <w:sz w:val="20"/>
          <w:szCs w:val="20"/>
          <w:color w:val="auto"/>
        </w:rPr>
      </w:pPr>
    </w:p>
    <w:p>
      <w:pPr>
        <w:ind w:right="160" w:firstLine="469"/>
        <w:spacing w:after="0" w:line="250" w:lineRule="auto"/>
        <w:rPr>
          <w:sz w:val="20"/>
          <w:szCs w:val="20"/>
          <w:color w:val="auto"/>
        </w:rPr>
      </w:pPr>
      <w:r>
        <w:rPr>
          <w:rFonts w:ascii="Times New Roman" w:cs="Times New Roman" w:eastAsia="Times New Roman" w:hAnsi="Times New Roman"/>
          <w:sz w:val="20"/>
          <w:szCs w:val="20"/>
          <w:b w:val="1"/>
          <w:bCs w:val="1"/>
          <w:color w:val="auto"/>
        </w:rPr>
        <w:t>Communications with the media, securities analysts and investors</w:t>
      </w:r>
      <w:r>
        <w:rPr>
          <w:rFonts w:ascii="Times New Roman" w:cs="Times New Roman" w:eastAsia="Times New Roman" w:hAnsi="Times New Roman"/>
          <w:sz w:val="20"/>
          <w:szCs w:val="20"/>
          <w:color w:val="auto"/>
        </w:rPr>
        <w:t>. Communications on behalf of the Company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media, securities analysts and investors must be made only by specifically designated representatives of the Company. Unless you have been expressly authorized to make such communications, if you receive any inquiry relating to the Company from the media, a securities analyst or an investor, you should refer the inquiry to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580" w:firstLine="46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Safeguarding confidential information. </w:t>
      </w:r>
      <w:r>
        <w:rPr>
          <w:rFonts w:ascii="Times New Roman" w:cs="Times New Roman" w:eastAsia="Times New Roman" w:hAnsi="Times New Roman"/>
          <w:sz w:val="20"/>
          <w:szCs w:val="20"/>
          <w:color w:val="auto"/>
        </w:rPr>
        <w:t>Care must be taken to safeguard the confidentiality of internal information.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example, sensitive documents should not be left lying on desks, and visitors should not be left unattended in offices containing internal company documents.</w:t>
      </w:r>
    </w:p>
    <w:p>
      <w:pPr>
        <w:spacing w:after="0" w:line="182"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20"/>
          <w:szCs w:val="20"/>
          <w:b w:val="1"/>
          <w:bCs w:val="1"/>
          <w:color w:val="auto"/>
        </w:rPr>
        <w:t>Rumors</w:t>
      </w:r>
      <w:r>
        <w:rPr>
          <w:rFonts w:ascii="Times New Roman" w:cs="Times New Roman" w:eastAsia="Times New Roman" w:hAnsi="Times New Roman"/>
          <w:sz w:val="20"/>
          <w:szCs w:val="20"/>
          <w:color w:val="auto"/>
        </w:rPr>
        <w:t>. Rumors concerning the business and affairs of the Company may circulate from time to time. Our general policy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comment upon rumors. You should also refrain from commenting upon or responding to rumors and should refer any requests for comments or responses to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608330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00" w:top="1328" w:right="639" w:bottom="1440" w:gutter="0" w:footer="0" w:header="0"/>
        </w:sectPr>
      </w:pPr>
    </w:p>
    <w:bookmarkStart w:id="105" w:name="page106"/>
    <w:bookmarkEnd w:id="105"/>
    <w:p>
      <w:pPr>
        <w:spacing w:after="0" w:line="73" w:lineRule="exact"/>
        <w:rPr>
          <w:sz w:val="20"/>
          <w:szCs w:val="20"/>
          <w:color w:val="auto"/>
        </w:rPr>
      </w:pPr>
    </w:p>
    <w:p>
      <w:pPr>
        <w:ind w:left="1700" w:hanging="759"/>
        <w:spacing w:after="0"/>
        <w:tabs>
          <w:tab w:leader="none" w:pos="170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Assistance.</w:t>
      </w:r>
    </w:p>
    <w:p>
      <w:pPr>
        <w:spacing w:after="0" w:line="215" w:lineRule="exact"/>
        <w:rPr>
          <w:sz w:val="20"/>
          <w:szCs w:val="20"/>
          <w:color w:val="auto"/>
        </w:rPr>
      </w:pPr>
    </w:p>
    <w:p>
      <w:pPr>
        <w:ind w:left="240" w:right="320" w:firstLine="469"/>
        <w:spacing w:after="0" w:line="269" w:lineRule="auto"/>
        <w:rPr>
          <w:sz w:val="20"/>
          <w:szCs w:val="20"/>
          <w:color w:val="auto"/>
        </w:rPr>
      </w:pPr>
      <w:r>
        <w:rPr>
          <w:rFonts w:ascii="Times New Roman" w:cs="Times New Roman" w:eastAsia="Times New Roman" w:hAnsi="Times New Roman"/>
          <w:sz w:val="20"/>
          <w:szCs w:val="20"/>
          <w:color w:val="auto"/>
        </w:rPr>
        <w:t xml:space="preserve">As previously stated, any person who has any questions about specific transactions may obtain additional guidance from the </w:t>
      </w:r>
      <w:r>
        <w:rPr>
          <w:rFonts w:ascii="Times New Roman" w:cs="Times New Roman" w:eastAsia="Times New Roman" w:hAnsi="Times New Roman"/>
          <w:sz w:val="20"/>
          <w:szCs w:val="20"/>
          <w:b w:val="1"/>
          <w:bCs w:val="1"/>
          <w:color w:val="auto"/>
        </w:rPr>
        <w:t>COMPLIANCE OFFICER.</w:t>
      </w:r>
    </w:p>
    <w:p>
      <w:pPr>
        <w:spacing w:after="0" w:line="173" w:lineRule="exact"/>
        <w:rPr>
          <w:sz w:val="20"/>
          <w:szCs w:val="20"/>
          <w:color w:val="auto"/>
        </w:rPr>
      </w:pPr>
    </w:p>
    <w:p>
      <w:pPr>
        <w:ind w:left="240" w:right="300" w:firstLine="469"/>
        <w:spacing w:after="0" w:line="269" w:lineRule="auto"/>
        <w:rPr>
          <w:sz w:val="20"/>
          <w:szCs w:val="20"/>
          <w:color w:val="auto"/>
        </w:rPr>
      </w:pPr>
      <w:r>
        <w:rPr>
          <w:rFonts w:ascii="Times New Roman" w:cs="Times New Roman" w:eastAsia="Times New Roman" w:hAnsi="Times New Roman"/>
          <w:sz w:val="20"/>
          <w:szCs w:val="20"/>
          <w:color w:val="auto"/>
        </w:rPr>
        <w:t>Remember however that the ultimate responsibility for adhering to this Policy and avoiding improper transactions rests with you. In this regard, it is imperative that you use your best judgment.</w:t>
      </w:r>
    </w:p>
    <w:p>
      <w:pPr>
        <w:spacing w:after="0" w:line="340" w:lineRule="exact"/>
        <w:rPr>
          <w:sz w:val="20"/>
          <w:szCs w:val="20"/>
          <w:color w:val="auto"/>
        </w:rPr>
      </w:pPr>
    </w:p>
    <w:p>
      <w:pPr>
        <w:ind w:left="1700" w:hanging="759"/>
        <w:spacing w:after="0"/>
        <w:tabs>
          <w:tab w:leader="none" w:pos="17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w:t>
      </w:r>
    </w:p>
    <w:p>
      <w:pPr>
        <w:spacing w:after="0" w:line="215" w:lineRule="exact"/>
        <w:rPr>
          <w:sz w:val="20"/>
          <w:szCs w:val="20"/>
          <w:color w:val="auto"/>
        </w:rPr>
      </w:pPr>
    </w:p>
    <w:p>
      <w:pPr>
        <w:ind w:left="240" w:firstLine="281"/>
        <w:spacing w:after="0" w:line="249" w:lineRule="auto"/>
        <w:rPr>
          <w:sz w:val="20"/>
          <w:szCs w:val="20"/>
          <w:color w:val="auto"/>
        </w:rPr>
      </w:pPr>
      <w:r>
        <w:rPr>
          <w:rFonts w:ascii="Times New Roman" w:cs="Times New Roman" w:eastAsia="Times New Roman" w:hAnsi="Times New Roman"/>
          <w:sz w:val="20"/>
          <w:szCs w:val="20"/>
          <w:color w:val="auto"/>
        </w:rPr>
        <w:t>The Company is committed to continuously reviewing and updating this Policy and any other Company policies and procedures. The Company therefore reserves the right to amend, alter or terminate this Policy at any time and for any reason, subject to applicable law. A current copy of the Company’s policies regarding insider trading may be obtained by contacting the COMPLIANCE OFFICER.</w:t>
      </w:r>
    </w:p>
    <w:p>
      <w:pPr>
        <w:spacing w:after="0" w:line="130" w:lineRule="exact"/>
        <w:rPr>
          <w:sz w:val="20"/>
          <w:szCs w:val="20"/>
          <w:color w:val="auto"/>
        </w:rPr>
      </w:pPr>
    </w:p>
    <w:p>
      <w:pPr>
        <w:ind w:left="1700" w:hanging="759"/>
        <w:spacing w:after="0"/>
        <w:tabs>
          <w:tab w:leader="none" w:pos="17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Acknowledgements.</w:t>
      </w:r>
    </w:p>
    <w:p>
      <w:pPr>
        <w:spacing w:after="0" w:line="215" w:lineRule="exact"/>
        <w:rPr>
          <w:sz w:val="20"/>
          <w:szCs w:val="20"/>
          <w:color w:val="auto"/>
        </w:rPr>
      </w:pPr>
    </w:p>
    <w:p>
      <w:pPr>
        <w:ind w:left="240" w:right="40" w:firstLine="469"/>
        <w:spacing w:after="0" w:line="245" w:lineRule="auto"/>
        <w:rPr>
          <w:sz w:val="20"/>
          <w:szCs w:val="20"/>
          <w:color w:val="auto"/>
        </w:rPr>
      </w:pPr>
      <w:r>
        <w:rPr>
          <w:rFonts w:ascii="Times New Roman" w:cs="Times New Roman" w:eastAsia="Times New Roman" w:hAnsi="Times New Roman"/>
          <w:sz w:val="20"/>
          <w:szCs w:val="20"/>
          <w:color w:val="auto"/>
        </w:rPr>
        <w:t>All employees and members of the Board of Directors will be required to acknowledge their understanding of, and an intent to comply with, this Statement of Company Policy by signing the attached acknowledgement. In addition, this Statement of Company Policy will be given to each person designated as an insider by the Company and the Company will request that the designated consultant, advisor or contractor to the Company acknowledge their understanding of, and an intent to comply with, this Statement of Company Policy by signing the attached acknowledgement.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DOCPROPERTY"SWDocID" GDSVF&amp;H\10028406.4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507365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1440" w:right="67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Designated Insiders Subject to Blackout Periods, last updated</w:t>
      </w:r>
    </w:p>
    <w:p>
      <w:pPr>
        <w:spacing w:after="0" w:line="200" w:lineRule="exact"/>
        <w:rPr>
          <w:sz w:val="20"/>
          <w:szCs w:val="20"/>
          <w:color w:val="auto"/>
        </w:rPr>
      </w:pPr>
    </w:p>
    <w:p>
      <w:pPr>
        <w:spacing w:after="0" w:line="258" w:lineRule="exact"/>
        <w:rPr>
          <w:sz w:val="20"/>
          <w:szCs w:val="20"/>
          <w:color w:val="auto"/>
        </w:rPr>
      </w:pPr>
    </w:p>
    <w:p>
      <w:pPr>
        <w:ind w:left="380" w:hanging="369"/>
        <w:spacing w:after="0"/>
        <w:tabs>
          <w:tab w:leader="none" w:pos="38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full-time employees, part-time employees and interns of MediciNova, Inc. and its subsidiaries</w:t>
      </w:r>
    </w:p>
    <w:p>
      <w:pPr>
        <w:spacing w:after="0" w:line="33" w:lineRule="exact"/>
        <w:rPr>
          <w:rFonts w:ascii="Times New Roman" w:cs="Times New Roman" w:eastAsia="Times New Roman" w:hAnsi="Times New Roman"/>
          <w:sz w:val="19"/>
          <w:szCs w:val="19"/>
          <w:color w:val="auto"/>
        </w:rPr>
      </w:pPr>
    </w:p>
    <w:p>
      <w:pPr>
        <w:ind w:left="380" w:hanging="369"/>
        <w:spacing w:after="0"/>
        <w:tabs>
          <w:tab w:leader="none" w:pos="3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MediciNova’s Board of Directors</w:t>
      </w:r>
    </w:p>
    <w:p>
      <w:pPr>
        <w:ind w:left="380" w:hanging="369"/>
        <w:spacing w:after="0"/>
        <w:tabs>
          <w:tab w:leader="none" w:pos="3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Signature Analytics, San Diego LLC</w:t>
      </w:r>
    </w:p>
    <w:p>
      <w:pPr>
        <w:ind w:left="380" w:hanging="369"/>
        <w:spacing w:after="0"/>
        <w:tabs>
          <w:tab w:leader="none" w:pos="3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Anderson Mori &amp; Tomotsune</w:t>
      </w:r>
    </w:p>
    <w:p>
      <w:pPr>
        <w:ind w:left="380" w:hanging="369"/>
        <w:spacing w:after="0"/>
        <w:tabs>
          <w:tab w:leader="none" w:pos="3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Gunderson Dettmer Stough Villeneuve Franklin &amp; Hachigian,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1" w:right="1440"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List of All Designated Insiders Subject to Pre-Approval Procedures</w:t>
      </w:r>
    </w:p>
    <w:p>
      <w:pPr>
        <w:spacing w:after="0" w:line="200" w:lineRule="exact"/>
        <w:rPr>
          <w:sz w:val="20"/>
          <w:szCs w:val="20"/>
          <w:color w:val="auto"/>
        </w:rPr>
      </w:pPr>
    </w:p>
    <w:p>
      <w:pPr>
        <w:spacing w:after="0" w:line="258" w:lineRule="exact"/>
        <w:rPr>
          <w:sz w:val="20"/>
          <w:szCs w:val="20"/>
          <w:color w:val="auto"/>
        </w:rPr>
      </w:pPr>
    </w:p>
    <w:p>
      <w:pPr>
        <w:ind w:left="380" w:hanging="369"/>
        <w:spacing w:after="0"/>
        <w:tabs>
          <w:tab w:leader="none" w:pos="38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full-time employees, part-time employees and interns of MediciNova, Inc. and its subsidiaries</w:t>
      </w:r>
    </w:p>
    <w:p>
      <w:pPr>
        <w:spacing w:after="0" w:line="33" w:lineRule="exact"/>
        <w:rPr>
          <w:rFonts w:ascii="Times New Roman" w:cs="Times New Roman" w:eastAsia="Times New Roman" w:hAnsi="Times New Roman"/>
          <w:sz w:val="19"/>
          <w:szCs w:val="19"/>
          <w:color w:val="auto"/>
        </w:rPr>
      </w:pPr>
    </w:p>
    <w:p>
      <w:pPr>
        <w:ind w:left="380" w:hanging="369"/>
        <w:spacing w:after="0"/>
        <w:tabs>
          <w:tab w:leader="none" w:pos="3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MediciNova’s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1" w:right="1440" w:bottom="1440" w:gutter="0" w:footer="0" w:header="0"/>
        </w:sectPr>
      </w:pPr>
    </w:p>
    <w:bookmarkStart w:id="108" w:name="page109"/>
    <w:bookmarkEnd w:id="108"/>
    <w:p>
      <w:pPr>
        <w:jc w:val="center"/>
        <w:ind w:right="-1092"/>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00" w:lineRule="exact"/>
        <w:rPr>
          <w:sz w:val="20"/>
          <w:szCs w:val="20"/>
          <w:color w:val="auto"/>
        </w:rPr>
      </w:pPr>
    </w:p>
    <w:p>
      <w:pPr>
        <w:spacing w:after="0" w:line="222"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21"/>
          <w:szCs w:val="21"/>
          <w:b w:val="1"/>
          <w:bCs w:val="1"/>
          <w:color w:val="auto"/>
        </w:rPr>
        <w:t>Individuals Subject to Section 16 Reporting and Liability Provisions</w:t>
      </w:r>
    </w:p>
    <w:p>
      <w:pPr>
        <w:spacing w:after="0" w:line="200" w:lineRule="exact"/>
        <w:rPr>
          <w:sz w:val="20"/>
          <w:szCs w:val="20"/>
          <w:color w:val="auto"/>
        </w:rPr>
      </w:pPr>
    </w:p>
    <w:p>
      <w:pPr>
        <w:spacing w:after="0" w:line="261" w:lineRule="exact"/>
        <w:rPr>
          <w:sz w:val="20"/>
          <w:szCs w:val="20"/>
          <w:color w:val="auto"/>
        </w:rPr>
      </w:pPr>
    </w:p>
    <w:p>
      <w:pPr>
        <w:ind w:left="372"/>
        <w:spacing w:after="0"/>
        <w:tabs>
          <w:tab w:leader="none" w:pos="732"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Directors</w:t>
      </w:r>
    </w:p>
    <w:p>
      <w:pPr>
        <w:spacing w:after="0" w:line="170" w:lineRule="exact"/>
        <w:rPr>
          <w:sz w:val="20"/>
          <w:szCs w:val="20"/>
          <w:color w:val="auto"/>
        </w:rPr>
      </w:pPr>
    </w:p>
    <w:p>
      <w:pPr>
        <w:ind w:left="972"/>
        <w:spacing w:after="0"/>
        <w:tabs>
          <w:tab w:leader="none" w:pos="5552"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19685</wp:posOffset>
            </wp:positionV>
            <wp:extent cx="64890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32" w:hanging="432"/>
        <w:spacing w:after="0"/>
        <w:tabs>
          <w:tab w:leader="none" w:pos="432"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Officers (including officers who are also directors)</w:t>
      </w:r>
    </w:p>
    <w:p>
      <w:pPr>
        <w:spacing w:after="0" w:line="170" w:lineRule="exact"/>
        <w:rPr>
          <w:sz w:val="20"/>
          <w:szCs w:val="20"/>
          <w:color w:val="auto"/>
        </w:rPr>
      </w:pPr>
    </w:p>
    <w:p>
      <w:pPr>
        <w:ind w:left="972"/>
        <w:spacing w:after="0"/>
        <w:tabs>
          <w:tab w:leader="none" w:pos="5592"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2158365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19685</wp:posOffset>
            </wp:positionV>
            <wp:extent cx="64890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ectPr>
          <w:pgSz w:w="11900" w:h="16838" w:orient="portrait"/>
          <w:cols w:equalWidth="0" w:num="1">
            <w:col w:w="10131"/>
          </w:cols>
          <w:pgMar w:left="328" w:top="1391" w:right="1440" w:bottom="1440" w:gutter="0" w:footer="0" w:header="0"/>
        </w:sectPr>
      </w:pPr>
    </w:p>
    <w:bookmarkStart w:id="109" w:name="page110"/>
    <w:bookmarkEnd w:id="109"/>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 of Company Policy EXHIBIT D</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Material Facts Concerning Businesses of Listed Companies, Etc. per FIEL</w:t>
      </w:r>
    </w:p>
    <w:p>
      <w:pPr>
        <w:spacing w:after="0" w:line="310" w:lineRule="exact"/>
        <w:rPr>
          <w:sz w:val="20"/>
          <w:szCs w:val="20"/>
          <w:color w:val="auto"/>
        </w:rPr>
      </w:pPr>
    </w:p>
    <w:p>
      <w:pPr>
        <w:ind w:left="980" w:hanging="748"/>
        <w:spacing w:after="0"/>
        <w:tabs>
          <w:tab w:leader="none" w:pos="9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Determined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158115</wp:posOffset>
            </wp:positionV>
            <wp:extent cx="6920230" cy="57372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6920230" cy="5737225"/>
                    </a:xfrm>
                    <a:prstGeom prst="rect">
                      <a:avLst/>
                    </a:prstGeom>
                    <a:noFill/>
                  </pic:spPr>
                </pic:pic>
              </a:graphicData>
            </a:graphic>
          </wp:anchor>
        </w:drawing>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59"/>
        </w:trPr>
        <w:tc>
          <w:tcPr>
            <w:tcW w:w="5940" w:type="dxa"/>
            <w:vAlign w:val="bottom"/>
            <w:tcBorders>
              <w:top w:val="single" w:sz="8" w:color="auto"/>
            </w:tcBorders>
          </w:tcPr>
          <w:p>
            <w:pPr>
              <w:ind w:left="2260"/>
              <w:spacing w:after="0"/>
              <w:rPr>
                <w:sz w:val="20"/>
                <w:szCs w:val="20"/>
                <w:color w:val="auto"/>
              </w:rPr>
            </w:pPr>
            <w:r>
              <w:rPr>
                <w:rFonts w:ascii="Times New Roman" w:cs="Times New Roman" w:eastAsia="Times New Roman" w:hAnsi="Times New Roman"/>
                <w:sz w:val="20"/>
                <w:szCs w:val="20"/>
                <w:color w:val="auto"/>
              </w:rPr>
              <w:t>Listed Companies</w:t>
            </w:r>
          </w:p>
        </w:tc>
        <w:tc>
          <w:tcPr>
            <w:tcW w:w="49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Subsidiaries of Listed Companies</w:t>
            </w:r>
          </w:p>
        </w:tc>
      </w:tr>
    </w:tbl>
    <w:p>
      <w:pPr>
        <w:ind w:left="200" w:right="5300" w:firstLine="1"/>
        <w:spacing w:after="0" w:line="246" w:lineRule="auto"/>
        <w:tabs>
          <w:tab w:leader="none" w:pos="59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shares (including preferred shares), equity warrants and stock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20" w:type="dxa"/>
            <w:vAlign w:val="bottom"/>
          </w:tcPr>
          <w:p>
            <w:pPr>
              <w:spacing w:after="0"/>
              <w:rPr>
                <w:sz w:val="23"/>
                <w:szCs w:val="23"/>
                <w:color w:val="auto"/>
              </w:rPr>
            </w:pP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w:t>
            </w:r>
          </w:p>
        </w:tc>
        <w:tc>
          <w:tcPr>
            <w:tcW w:w="5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Reduction of capital</w:t>
            </w:r>
          </w:p>
        </w:tc>
        <w:tc>
          <w:tcPr>
            <w:tcW w:w="440" w:type="dxa"/>
            <w:vAlign w:val="bottom"/>
            <w:tcBorders>
              <w:top w:val="single" w:sz="8" w:color="auto"/>
            </w:tcBorders>
          </w:tcPr>
          <w:p>
            <w:pPr>
              <w:spacing w:after="0"/>
              <w:rPr>
                <w:sz w:val="23"/>
                <w:szCs w:val="23"/>
                <w:color w:val="auto"/>
              </w:rPr>
            </w:pPr>
          </w:p>
        </w:tc>
        <w:tc>
          <w:tcPr>
            <w:tcW w:w="47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2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Reduction of capital reserve or profit reserve</w:t>
            </w:r>
          </w:p>
        </w:tc>
        <w:tc>
          <w:tcPr>
            <w:tcW w:w="4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2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4.</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Purchase of treasury stock</w:t>
            </w:r>
          </w:p>
        </w:tc>
        <w:tc>
          <w:tcPr>
            <w:tcW w:w="4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2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5.</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Disposal of treasury stock</w:t>
            </w:r>
          </w:p>
        </w:tc>
        <w:tc>
          <w:tcPr>
            <w:tcW w:w="4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2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6.</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Stock split</w:t>
            </w:r>
          </w:p>
        </w:tc>
        <w:tc>
          <w:tcPr>
            <w:tcW w:w="4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2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7.</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Increase or decrease in dividends (including interim dividends)</w:t>
            </w:r>
          </w:p>
        </w:tc>
        <w:tc>
          <w:tcPr>
            <w:tcW w:w="4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120" w:type="dxa"/>
            <w:vAlign w:val="bottom"/>
            <w:vMerge w:val="restart"/>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Exchange of stocks</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w:t>
            </w: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Exchange of stocks</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2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Transfer of stocks</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w:t>
            </w: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Transfer of stocks</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2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Merger</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3.</w:t>
            </w: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Merger</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2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11.</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Corporate split</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4.</w:t>
            </w: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Corporate split</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2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12.</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Transfer of the whole or any part of operations or business</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5.</w:t>
            </w: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Transfer of the whole or any part of operations or business</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120" w:type="dxa"/>
            <w:vAlign w:val="bottom"/>
            <w:vMerge w:val="restart"/>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0" w:type="dxa"/>
            <w:vAlign w:val="bottom"/>
            <w:vMerge w:val="continue"/>
          </w:tcPr>
          <w:p>
            <w:pPr>
              <w:spacing w:after="0"/>
              <w:rPr>
                <w:sz w:val="17"/>
                <w:szCs w:val="17"/>
                <w:color w:val="auto"/>
              </w:rPr>
            </w:pPr>
          </w:p>
        </w:tc>
        <w:tc>
          <w:tcPr>
            <w:tcW w:w="4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13.</w:t>
            </w:r>
          </w:p>
        </w:tc>
        <w:tc>
          <w:tcPr>
            <w:tcW w:w="532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Dissolution (excluding dissolution by merger)</w:t>
            </w:r>
          </w:p>
        </w:tc>
        <w:tc>
          <w:tcPr>
            <w:tcW w:w="440" w:type="dxa"/>
            <w:vAlign w:val="bottom"/>
          </w:tcPr>
          <w:p>
            <w:pPr>
              <w:ind w:left="260"/>
              <w:spacing w:after="0" w:line="200" w:lineRule="exact"/>
              <w:rPr>
                <w:sz w:val="20"/>
                <w:szCs w:val="20"/>
                <w:color w:val="auto"/>
              </w:rPr>
            </w:pPr>
            <w:r>
              <w:rPr>
                <w:rFonts w:ascii="Times New Roman" w:cs="Times New Roman" w:eastAsia="Times New Roman" w:hAnsi="Times New Roman"/>
                <w:sz w:val="20"/>
                <w:szCs w:val="20"/>
                <w:color w:val="auto"/>
              </w:rPr>
              <w:t>6.</w:t>
            </w:r>
          </w:p>
        </w:tc>
        <w:tc>
          <w:tcPr>
            <w:tcW w:w="474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Dissolution (excluding dissolution by</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5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merger)</w:t>
            </w:r>
          </w:p>
        </w:tc>
        <w:tc>
          <w:tcPr>
            <w:tcW w:w="0" w:type="dxa"/>
            <w:vAlign w:val="bottom"/>
          </w:tcPr>
          <w:p>
            <w:pPr>
              <w:spacing w:after="0"/>
              <w:rPr>
                <w:sz w:val="1"/>
                <w:szCs w:val="1"/>
                <w:color w:val="auto"/>
              </w:rPr>
            </w:pPr>
          </w:p>
        </w:tc>
      </w:tr>
      <w:tr>
        <w:trPr>
          <w:trHeight w:val="252"/>
        </w:trPr>
        <w:tc>
          <w:tcPr>
            <w:tcW w:w="120" w:type="dxa"/>
            <w:vAlign w:val="bottom"/>
          </w:tcPr>
          <w:p>
            <w:pPr>
              <w:spacing w:after="0"/>
              <w:rPr>
                <w:sz w:val="21"/>
                <w:szCs w:val="21"/>
                <w:color w:val="auto"/>
              </w:rPr>
            </w:pP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14.</w:t>
            </w:r>
          </w:p>
        </w:tc>
        <w:tc>
          <w:tcPr>
            <w:tcW w:w="5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Corporatization of new products or new technologies</w:t>
            </w:r>
          </w:p>
        </w:tc>
        <w:tc>
          <w:tcPr>
            <w:tcW w:w="4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7.</w:t>
            </w: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Corporatization of new products or new technologies</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120" w:type="dxa"/>
            <w:vAlign w:val="bottom"/>
            <w:vMerge w:val="restart"/>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15.</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Formation or cancellation of a business alliance</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8.</w:t>
            </w: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Formation or cancellation of a business alliance</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0" w:type="dxa"/>
            <w:vAlign w:val="bottom"/>
            <w:vMerge w:val="restart"/>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spacing w:after="0"/>
              <w:rPr>
                <w:sz w:val="16"/>
                <w:szCs w:val="16"/>
                <w:color w:val="auto"/>
              </w:rPr>
            </w:pP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0" w:type="dxa"/>
            <w:vAlign w:val="bottom"/>
            <w:vMerge w:val="continue"/>
          </w:tcPr>
          <w:p>
            <w:pPr>
              <w:spacing w:after="0"/>
              <w:rPr>
                <w:sz w:val="17"/>
                <w:szCs w:val="17"/>
                <w:color w:val="auto"/>
              </w:rPr>
            </w:pPr>
          </w:p>
        </w:tc>
        <w:tc>
          <w:tcPr>
            <w:tcW w:w="4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16.</w:t>
            </w:r>
          </w:p>
        </w:tc>
        <w:tc>
          <w:tcPr>
            <w:tcW w:w="532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Assignment or acquisition of stocks or interests or operations</w:t>
            </w:r>
          </w:p>
        </w:tc>
        <w:tc>
          <w:tcPr>
            <w:tcW w:w="440" w:type="dxa"/>
            <w:vAlign w:val="bottom"/>
          </w:tcPr>
          <w:p>
            <w:pPr>
              <w:ind w:left="260"/>
              <w:spacing w:after="0" w:line="200" w:lineRule="exact"/>
              <w:rPr>
                <w:sz w:val="20"/>
                <w:szCs w:val="20"/>
                <w:color w:val="auto"/>
              </w:rPr>
            </w:pPr>
            <w:r>
              <w:rPr>
                <w:rFonts w:ascii="Times New Roman" w:cs="Times New Roman" w:eastAsia="Times New Roman" w:hAnsi="Times New Roman"/>
                <w:sz w:val="20"/>
                <w:szCs w:val="20"/>
                <w:color w:val="auto"/>
              </w:rPr>
              <w:t>9.</w:t>
            </w:r>
          </w:p>
        </w:tc>
        <w:tc>
          <w:tcPr>
            <w:tcW w:w="474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Assignment or acquisition of shares or interests which</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which involves change in subsidiary</w:t>
            </w:r>
          </w:p>
        </w:tc>
        <w:tc>
          <w:tcPr>
            <w:tcW w:w="5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involves change in sub- subsidiary</w:t>
            </w:r>
          </w:p>
        </w:tc>
        <w:tc>
          <w:tcPr>
            <w:tcW w:w="0" w:type="dxa"/>
            <w:vAlign w:val="bottom"/>
          </w:tcPr>
          <w:p>
            <w:pPr>
              <w:spacing w:after="0"/>
              <w:rPr>
                <w:sz w:val="1"/>
                <w:szCs w:val="1"/>
                <w:color w:val="auto"/>
              </w:rPr>
            </w:pPr>
          </w:p>
        </w:tc>
      </w:tr>
      <w:tr>
        <w:trPr>
          <w:trHeight w:val="210"/>
        </w:trPr>
        <w:tc>
          <w:tcPr>
            <w:tcW w:w="120" w:type="dxa"/>
            <w:vAlign w:val="bottom"/>
            <w:vMerge w:val="restart"/>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2"/>
          </w:tcPr>
          <w:p>
            <w:pPr>
              <w:spacing w:after="0"/>
              <w:rPr>
                <w:sz w:val="18"/>
                <w:szCs w:val="18"/>
                <w:color w:val="auto"/>
              </w:rPr>
            </w:pPr>
          </w:p>
        </w:tc>
        <w:tc>
          <w:tcPr>
            <w:tcW w:w="2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20" w:type="dxa"/>
            <w:vAlign w:val="bottom"/>
            <w:vMerge w:val="continue"/>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17.</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Assignment or purchase of fixed assets</w:t>
            </w:r>
          </w:p>
        </w:tc>
        <w:tc>
          <w:tcPr>
            <w:tcW w:w="5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10. Assignment or acquisition of fixed assets</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20"/>
        </w:trPr>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tbl>
      <w:tblPr>
        <w:tblLayout w:type="fixed"/>
        <w:tblInd w:w="130" w:type="dxa"/>
        <w:tblCellMar>
          <w:top w:w="0" w:type="dxa"/>
          <w:left w:w="0" w:type="dxa"/>
          <w:bottom w:w="0" w:type="dxa"/>
          <w:right w:w="0" w:type="dxa"/>
        </w:tblCellMar>
      </w:tblPr>
      <w:tr>
        <w:trPr>
          <w:trHeight w:val="223"/>
        </w:trPr>
        <w:tc>
          <w:tcPr>
            <w:tcW w:w="400" w:type="dxa"/>
            <w:vAlign w:val="bottom"/>
            <w:tcBorders>
              <w:top w:val="single" w:sz="8" w:color="auto"/>
              <w:left w:val="single" w:sz="8" w:color="auto"/>
            </w:tcBorders>
          </w:tcPr>
          <w:p>
            <w:pPr>
              <w:ind w:left="80"/>
              <w:spacing w:after="0" w:line="224" w:lineRule="exact"/>
              <w:rPr>
                <w:sz w:val="20"/>
                <w:szCs w:val="20"/>
                <w:color w:val="auto"/>
              </w:rPr>
            </w:pPr>
            <w:r>
              <w:rPr>
                <w:rFonts w:ascii="Times New Roman" w:cs="Times New Roman" w:eastAsia="Times New Roman" w:hAnsi="Times New Roman"/>
                <w:sz w:val="20"/>
                <w:szCs w:val="20"/>
                <w:color w:val="auto"/>
              </w:rPr>
              <w:t>18.</w:t>
            </w:r>
          </w:p>
        </w:tc>
        <w:tc>
          <w:tcPr>
            <w:tcW w:w="5560" w:type="dxa"/>
            <w:vAlign w:val="bottom"/>
            <w:tcBorders>
              <w:top w:val="single" w:sz="8" w:color="auto"/>
              <w:right w:val="single" w:sz="8" w:color="auto"/>
            </w:tcBorders>
          </w:tcPr>
          <w:p>
            <w:pPr>
              <w:ind w:left="80"/>
              <w:spacing w:after="0" w:line="224" w:lineRule="exact"/>
              <w:rPr>
                <w:sz w:val="20"/>
                <w:szCs w:val="20"/>
                <w:color w:val="auto"/>
              </w:rPr>
            </w:pPr>
            <w:r>
              <w:rPr>
                <w:rFonts w:ascii="Times New Roman" w:cs="Times New Roman" w:eastAsia="Times New Roman" w:hAnsi="Times New Roman"/>
                <w:sz w:val="20"/>
                <w:szCs w:val="20"/>
                <w:color w:val="auto"/>
              </w:rPr>
              <w:t>Suspension or abolition of the whole or any part of operations or</w:t>
            </w:r>
          </w:p>
        </w:tc>
        <w:tc>
          <w:tcPr>
            <w:tcW w:w="300" w:type="dxa"/>
            <w:vAlign w:val="bottom"/>
            <w:tcBorders>
              <w:top w:val="single" w:sz="8" w:color="auto"/>
            </w:tcBorders>
          </w:tcPr>
          <w:p>
            <w:pPr>
              <w:ind w:left="20"/>
              <w:spacing w:after="0" w:line="224" w:lineRule="exact"/>
              <w:rPr>
                <w:sz w:val="20"/>
                <w:szCs w:val="20"/>
                <w:color w:val="auto"/>
              </w:rPr>
            </w:pPr>
            <w:r>
              <w:rPr>
                <w:rFonts w:ascii="Times New Roman" w:cs="Times New Roman" w:eastAsia="Times New Roman" w:hAnsi="Times New Roman"/>
                <w:sz w:val="20"/>
                <w:szCs w:val="20"/>
                <w:color w:val="auto"/>
              </w:rPr>
              <w:t>11.</w:t>
            </w:r>
          </w:p>
        </w:tc>
        <w:tc>
          <w:tcPr>
            <w:tcW w:w="4660" w:type="dxa"/>
            <w:vAlign w:val="bottom"/>
            <w:tcBorders>
              <w:top w:val="single" w:sz="8" w:color="auto"/>
              <w:right w:val="single" w:sz="8" w:color="auto"/>
            </w:tcBorders>
          </w:tcPr>
          <w:p>
            <w:pPr>
              <w:ind w:left="20"/>
              <w:spacing w:after="0" w:line="224" w:lineRule="exact"/>
              <w:rPr>
                <w:sz w:val="20"/>
                <w:szCs w:val="20"/>
                <w:color w:val="auto"/>
              </w:rPr>
            </w:pPr>
            <w:r>
              <w:rPr>
                <w:rFonts w:ascii="Times New Roman" w:cs="Times New Roman" w:eastAsia="Times New Roman" w:hAnsi="Times New Roman"/>
                <w:sz w:val="20"/>
                <w:szCs w:val="20"/>
                <w:color w:val="auto"/>
              </w:rPr>
              <w:t>Suspension or abolition of operation or business</w:t>
            </w:r>
          </w:p>
        </w:tc>
      </w:tr>
      <w:tr>
        <w:trPr>
          <w:trHeight w:val="258"/>
        </w:trPr>
        <w:tc>
          <w:tcPr>
            <w:tcW w:w="59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business</w:t>
            </w:r>
          </w:p>
        </w:tc>
        <w:tc>
          <w:tcPr>
            <w:tcW w:w="300" w:type="dxa"/>
            <w:vAlign w:val="bottom"/>
          </w:tcPr>
          <w:p>
            <w:pPr>
              <w:spacing w:after="0"/>
              <w:rPr>
                <w:sz w:val="22"/>
                <w:szCs w:val="22"/>
                <w:color w:val="auto"/>
              </w:rPr>
            </w:pPr>
          </w:p>
        </w:tc>
        <w:tc>
          <w:tcPr>
            <w:tcW w:w="4660" w:type="dxa"/>
            <w:vAlign w:val="bottom"/>
            <w:tcBorders>
              <w:right w:val="single" w:sz="8" w:color="auto"/>
            </w:tcBorders>
          </w:tcPr>
          <w:p>
            <w:pPr>
              <w:spacing w:after="0"/>
              <w:rPr>
                <w:sz w:val="22"/>
                <w:szCs w:val="22"/>
                <w:color w:val="auto"/>
              </w:rPr>
            </w:pPr>
          </w:p>
        </w:tc>
      </w:tr>
      <w:tr>
        <w:trPr>
          <w:trHeight w:val="180"/>
        </w:trPr>
        <w:tc>
          <w:tcPr>
            <w:tcW w:w="400" w:type="dxa"/>
            <w:vAlign w:val="bottom"/>
            <w:tcBorders>
              <w:left w:val="single" w:sz="8" w:color="auto"/>
              <w:bottom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60" w:type="dxa"/>
            <w:vAlign w:val="bottom"/>
            <w:tcBorders>
              <w:bottom w:val="single" w:sz="8" w:color="auto"/>
              <w:right w:val="single" w:sz="8" w:color="auto"/>
            </w:tcBorders>
          </w:tcPr>
          <w:p>
            <w:pPr>
              <w:spacing w:after="0"/>
              <w:rPr>
                <w:sz w:val="15"/>
                <w:szCs w:val="15"/>
                <w:color w:val="auto"/>
              </w:rPr>
            </w:pPr>
          </w:p>
        </w:tc>
      </w:tr>
      <w:tr>
        <w:trPr>
          <w:trHeight w:val="258"/>
        </w:trPr>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19.</w:t>
            </w:r>
          </w:p>
        </w:tc>
        <w:tc>
          <w:tcPr>
            <w:tcW w:w="5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Application for delisting of stocks from a stock exchange</w:t>
            </w:r>
          </w:p>
        </w:tc>
        <w:tc>
          <w:tcPr>
            <w:tcW w:w="300" w:type="dxa"/>
            <w:vAlign w:val="bottom"/>
          </w:tcPr>
          <w:p>
            <w:pPr>
              <w:spacing w:after="0"/>
              <w:rPr>
                <w:sz w:val="22"/>
                <w:szCs w:val="22"/>
                <w:color w:val="auto"/>
              </w:rPr>
            </w:pPr>
          </w:p>
        </w:tc>
        <w:tc>
          <w:tcPr>
            <w:tcW w:w="4660" w:type="dxa"/>
            <w:vAlign w:val="bottom"/>
            <w:tcBorders>
              <w:right w:val="single" w:sz="8" w:color="auto"/>
            </w:tcBorders>
          </w:tcPr>
          <w:p>
            <w:pPr>
              <w:spacing w:after="0"/>
              <w:rPr>
                <w:sz w:val="22"/>
                <w:szCs w:val="22"/>
                <w:color w:val="auto"/>
              </w:rPr>
            </w:pPr>
          </w:p>
        </w:tc>
      </w:tr>
      <w:tr>
        <w:trPr>
          <w:trHeight w:val="400"/>
        </w:trPr>
        <w:tc>
          <w:tcPr>
            <w:tcW w:w="400" w:type="dxa"/>
            <w:vAlign w:val="bottom"/>
            <w:tcBorders>
              <w:bottom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60" w:type="dxa"/>
            <w:vAlign w:val="bottom"/>
            <w:tcBorders>
              <w:bottom w:val="single" w:sz="8" w:color="auto"/>
              <w:right w:val="single" w:sz="8" w:color="auto"/>
            </w:tcBorders>
          </w:tcPr>
          <w:p>
            <w:pPr>
              <w:spacing w:after="0"/>
              <w:rPr>
                <w:sz w:val="24"/>
                <w:szCs w:val="24"/>
                <w:color w:val="auto"/>
              </w:rPr>
            </w:pPr>
          </w:p>
        </w:tc>
      </w:tr>
      <w:tr>
        <w:trPr>
          <w:trHeight w:val="200"/>
        </w:trPr>
        <w:tc>
          <w:tcPr>
            <w:tcW w:w="4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20.</w:t>
            </w:r>
          </w:p>
        </w:tc>
        <w:tc>
          <w:tcPr>
            <w:tcW w:w="556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Application for cancellation of registration of stocks with the</w:t>
            </w:r>
          </w:p>
        </w:tc>
        <w:tc>
          <w:tcPr>
            <w:tcW w:w="300" w:type="dxa"/>
            <w:vAlign w:val="bottom"/>
          </w:tcPr>
          <w:p>
            <w:pPr>
              <w:spacing w:after="0"/>
              <w:rPr>
                <w:sz w:val="17"/>
                <w:szCs w:val="17"/>
                <w:color w:val="auto"/>
              </w:rPr>
            </w:pPr>
          </w:p>
        </w:tc>
        <w:tc>
          <w:tcPr>
            <w:tcW w:w="4660" w:type="dxa"/>
            <w:vAlign w:val="bottom"/>
            <w:tcBorders>
              <w:right w:val="single" w:sz="8" w:color="auto"/>
            </w:tcBorders>
          </w:tcPr>
          <w:p>
            <w:pPr>
              <w:spacing w:after="0"/>
              <w:rPr>
                <w:sz w:val="17"/>
                <w:szCs w:val="17"/>
                <w:color w:val="auto"/>
              </w:rPr>
            </w:pPr>
          </w:p>
        </w:tc>
      </w:tr>
      <w:tr>
        <w:trPr>
          <w:trHeight w:val="258"/>
        </w:trPr>
        <w:tc>
          <w:tcPr>
            <w:tcW w:w="59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Japan Securities Dealers Association</w:t>
            </w:r>
          </w:p>
        </w:tc>
        <w:tc>
          <w:tcPr>
            <w:tcW w:w="300" w:type="dxa"/>
            <w:vAlign w:val="bottom"/>
          </w:tcPr>
          <w:p>
            <w:pPr>
              <w:spacing w:after="0"/>
              <w:rPr>
                <w:sz w:val="22"/>
                <w:szCs w:val="22"/>
                <w:color w:val="auto"/>
              </w:rPr>
            </w:pPr>
          </w:p>
        </w:tc>
        <w:tc>
          <w:tcPr>
            <w:tcW w:w="4660" w:type="dxa"/>
            <w:vAlign w:val="bottom"/>
            <w:tcBorders>
              <w:right w:val="single" w:sz="8" w:color="auto"/>
            </w:tcBorders>
          </w:tcPr>
          <w:p>
            <w:pPr>
              <w:spacing w:after="0"/>
              <w:rPr>
                <w:sz w:val="22"/>
                <w:szCs w:val="22"/>
                <w:color w:val="auto"/>
              </w:rPr>
            </w:pPr>
          </w:p>
        </w:tc>
      </w:tr>
      <w:tr>
        <w:trPr>
          <w:trHeight w:val="197"/>
        </w:trPr>
        <w:tc>
          <w:tcPr>
            <w:tcW w:w="400" w:type="dxa"/>
            <w:vAlign w:val="bottom"/>
            <w:tcBorders>
              <w:bottom w:val="single" w:sz="8" w:color="auto"/>
            </w:tcBorders>
          </w:tcPr>
          <w:p>
            <w:pPr>
              <w:spacing w:after="0"/>
              <w:rPr>
                <w:sz w:val="17"/>
                <w:szCs w:val="17"/>
                <w:color w:val="auto"/>
              </w:rPr>
            </w:pPr>
          </w:p>
        </w:tc>
        <w:tc>
          <w:tcPr>
            <w:tcW w:w="556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60" w:type="dxa"/>
            <w:vAlign w:val="bottom"/>
            <w:tcBorders>
              <w:bottom w:val="single" w:sz="8" w:color="auto"/>
              <w:right w:val="single" w:sz="8" w:color="auto"/>
            </w:tcBorders>
          </w:tcPr>
          <w:p>
            <w:pPr>
              <w:spacing w:after="0"/>
              <w:rPr>
                <w:sz w:val="17"/>
                <w:szCs w:val="17"/>
                <w:color w:val="auto"/>
              </w:rPr>
            </w:pPr>
          </w:p>
        </w:tc>
      </w:tr>
      <w:tr>
        <w:trPr>
          <w:trHeight w:val="200"/>
        </w:trPr>
        <w:tc>
          <w:tcPr>
            <w:tcW w:w="4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21.</w:t>
            </w:r>
          </w:p>
        </w:tc>
        <w:tc>
          <w:tcPr>
            <w:tcW w:w="556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Petition for bankruptcy, institution of company rehabilitation</w:t>
            </w:r>
          </w:p>
        </w:tc>
        <w:tc>
          <w:tcPr>
            <w:tcW w:w="30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12.</w:t>
            </w:r>
          </w:p>
        </w:tc>
        <w:tc>
          <w:tcPr>
            <w:tcW w:w="46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Petition for bankruptcy, institution of company</w:t>
            </w:r>
          </w:p>
        </w:tc>
      </w:tr>
      <w:tr>
        <w:trPr>
          <w:trHeight w:val="230"/>
        </w:trPr>
        <w:tc>
          <w:tcPr>
            <w:tcW w:w="59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procedures, or institution of company reorganization procedures</w:t>
            </w:r>
          </w:p>
        </w:tc>
        <w:tc>
          <w:tcPr>
            <w:tcW w:w="49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rehabilitation procedures, or institution of company</w:t>
            </w:r>
          </w:p>
        </w:tc>
      </w:tr>
      <w:tr>
        <w:trPr>
          <w:trHeight w:val="229"/>
        </w:trPr>
        <w:tc>
          <w:tcPr>
            <w:tcW w:w="400" w:type="dxa"/>
            <w:vAlign w:val="bottom"/>
          </w:tcPr>
          <w:p>
            <w:pPr>
              <w:spacing w:after="0"/>
              <w:rPr>
                <w:sz w:val="19"/>
                <w:szCs w:val="19"/>
                <w:color w:val="auto"/>
              </w:rPr>
            </w:pPr>
          </w:p>
        </w:tc>
        <w:tc>
          <w:tcPr>
            <w:tcW w:w="556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reorganization</w:t>
            </w:r>
          </w:p>
        </w:tc>
      </w:tr>
      <w:tr>
        <w:trPr>
          <w:trHeight w:val="252"/>
        </w:trPr>
        <w:tc>
          <w:tcPr>
            <w:tcW w:w="400" w:type="dxa"/>
            <w:vAlign w:val="bottom"/>
            <w:tcBorders>
              <w:bottom w:val="single" w:sz="8" w:color="auto"/>
            </w:tcBorders>
          </w:tcPr>
          <w:p>
            <w:pPr>
              <w:spacing w:after="0"/>
              <w:rPr>
                <w:sz w:val="21"/>
                <w:szCs w:val="21"/>
                <w:color w:val="auto"/>
              </w:rPr>
            </w:pPr>
          </w:p>
        </w:tc>
        <w:tc>
          <w:tcPr>
            <w:tcW w:w="5560" w:type="dxa"/>
            <w:vAlign w:val="bottom"/>
            <w:tcBorders>
              <w:bottom w:val="single" w:sz="8" w:color="auto"/>
              <w:right w:val="single" w:sz="8" w:color="auto"/>
            </w:tcBorders>
          </w:tcPr>
          <w:p>
            <w:pPr>
              <w:spacing w:after="0"/>
              <w:rPr>
                <w:sz w:val="21"/>
                <w:szCs w:val="21"/>
                <w:color w:val="auto"/>
              </w:rPr>
            </w:pPr>
          </w:p>
        </w:tc>
        <w:tc>
          <w:tcPr>
            <w:tcW w:w="4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procedures</w:t>
            </w:r>
          </w:p>
        </w:tc>
      </w:tr>
      <w:tr>
        <w:trPr>
          <w:trHeight w:val="200"/>
        </w:trPr>
        <w:tc>
          <w:tcPr>
            <w:tcW w:w="4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22.</w:t>
            </w:r>
          </w:p>
        </w:tc>
        <w:tc>
          <w:tcPr>
            <w:tcW w:w="556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Launch of a new business (including corporatization of sales of</w:t>
            </w:r>
          </w:p>
        </w:tc>
        <w:tc>
          <w:tcPr>
            <w:tcW w:w="30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13.</w:t>
            </w:r>
          </w:p>
        </w:tc>
        <w:tc>
          <w:tcPr>
            <w:tcW w:w="46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Launch of a new business</w:t>
            </w:r>
          </w:p>
        </w:tc>
      </w:tr>
      <w:tr>
        <w:trPr>
          <w:trHeight w:val="258"/>
        </w:trPr>
        <w:tc>
          <w:tcPr>
            <w:tcW w:w="59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new products or provision of new services)</w:t>
            </w:r>
          </w:p>
        </w:tc>
        <w:tc>
          <w:tcPr>
            <w:tcW w:w="300" w:type="dxa"/>
            <w:vAlign w:val="bottom"/>
          </w:tcPr>
          <w:p>
            <w:pPr>
              <w:spacing w:after="0"/>
              <w:rPr>
                <w:sz w:val="22"/>
                <w:szCs w:val="22"/>
                <w:color w:val="auto"/>
              </w:rPr>
            </w:pPr>
          </w:p>
        </w:tc>
        <w:tc>
          <w:tcPr>
            <w:tcW w:w="4660" w:type="dxa"/>
            <w:vAlign w:val="bottom"/>
            <w:tcBorders>
              <w:right w:val="single" w:sz="8" w:color="auto"/>
            </w:tcBorders>
          </w:tcPr>
          <w:p>
            <w:pPr>
              <w:spacing w:after="0"/>
              <w:rPr>
                <w:sz w:val="22"/>
                <w:szCs w:val="22"/>
                <w:color w:val="auto"/>
              </w:rPr>
            </w:pPr>
          </w:p>
        </w:tc>
      </w:tr>
      <w:tr>
        <w:trPr>
          <w:trHeight w:val="413"/>
        </w:trPr>
        <w:tc>
          <w:tcPr>
            <w:tcW w:w="400" w:type="dxa"/>
            <w:vAlign w:val="bottom"/>
            <w:tcBorders>
              <w:bottom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60" w:type="dxa"/>
            <w:vAlign w:val="bottom"/>
            <w:tcBorders>
              <w:bottom w:val="single" w:sz="8" w:color="auto"/>
              <w:right w:val="single" w:sz="8" w:color="auto"/>
            </w:tcBorders>
          </w:tcPr>
          <w:p>
            <w:pPr>
              <w:spacing w:after="0"/>
              <w:rPr>
                <w:sz w:val="24"/>
                <w:szCs w:val="24"/>
                <w:color w:val="auto"/>
              </w:rPr>
            </w:pPr>
          </w:p>
        </w:tc>
      </w:tr>
      <w:tr>
        <w:trPr>
          <w:trHeight w:val="200"/>
        </w:trPr>
        <w:tc>
          <w:tcPr>
            <w:tcW w:w="4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23.</w:t>
            </w:r>
          </w:p>
        </w:tc>
        <w:tc>
          <w:tcPr>
            <w:tcW w:w="556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Request for defensive purchase in order to counter takeover bids</w:t>
            </w:r>
          </w:p>
        </w:tc>
        <w:tc>
          <w:tcPr>
            <w:tcW w:w="300" w:type="dxa"/>
            <w:vAlign w:val="bottom"/>
          </w:tcPr>
          <w:p>
            <w:pPr>
              <w:spacing w:after="0"/>
              <w:rPr>
                <w:sz w:val="17"/>
                <w:szCs w:val="17"/>
                <w:color w:val="auto"/>
              </w:rPr>
            </w:pPr>
          </w:p>
        </w:tc>
        <w:tc>
          <w:tcPr>
            <w:tcW w:w="4660" w:type="dxa"/>
            <w:vAlign w:val="bottom"/>
            <w:tcBorders>
              <w:right w:val="single" w:sz="8" w:color="auto"/>
            </w:tcBorders>
          </w:tcPr>
          <w:p>
            <w:pPr>
              <w:spacing w:after="0"/>
              <w:rPr>
                <w:sz w:val="17"/>
                <w:szCs w:val="17"/>
                <w:color w:val="auto"/>
              </w:rPr>
            </w:pPr>
          </w:p>
        </w:tc>
      </w:tr>
      <w:tr>
        <w:trPr>
          <w:trHeight w:val="258"/>
        </w:trPr>
        <w:tc>
          <w:tcPr>
            <w:tcW w:w="59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or any act similar thereto</w:t>
            </w:r>
          </w:p>
        </w:tc>
        <w:tc>
          <w:tcPr>
            <w:tcW w:w="300" w:type="dxa"/>
            <w:vAlign w:val="bottom"/>
          </w:tcPr>
          <w:p>
            <w:pPr>
              <w:spacing w:after="0"/>
              <w:rPr>
                <w:sz w:val="22"/>
                <w:szCs w:val="22"/>
                <w:color w:val="auto"/>
              </w:rPr>
            </w:pPr>
          </w:p>
        </w:tc>
        <w:tc>
          <w:tcPr>
            <w:tcW w:w="4660" w:type="dxa"/>
            <w:vAlign w:val="bottom"/>
            <w:tcBorders>
              <w:right w:val="single" w:sz="8" w:color="auto"/>
            </w:tcBorders>
          </w:tcPr>
          <w:p>
            <w:pPr>
              <w:spacing w:after="0"/>
              <w:rPr>
                <w:sz w:val="22"/>
                <w:szCs w:val="22"/>
                <w:color w:val="auto"/>
              </w:rPr>
            </w:pPr>
          </w:p>
        </w:tc>
      </w:tr>
      <w:tr>
        <w:trPr>
          <w:trHeight w:val="197"/>
        </w:trPr>
        <w:tc>
          <w:tcPr>
            <w:tcW w:w="400" w:type="dxa"/>
            <w:vAlign w:val="bottom"/>
            <w:tcBorders>
              <w:bottom w:val="single" w:sz="8" w:color="auto"/>
            </w:tcBorders>
          </w:tcPr>
          <w:p>
            <w:pPr>
              <w:spacing w:after="0"/>
              <w:rPr>
                <w:sz w:val="17"/>
                <w:szCs w:val="17"/>
                <w:color w:val="auto"/>
              </w:rPr>
            </w:pPr>
          </w:p>
        </w:tc>
        <w:tc>
          <w:tcPr>
            <w:tcW w:w="556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60" w:type="dxa"/>
            <w:vAlign w:val="bottom"/>
            <w:tcBorders>
              <w:bottom w:val="single" w:sz="8" w:color="auto"/>
              <w:right w:val="single" w:sz="8" w:color="auto"/>
            </w:tcBorders>
          </w:tcPr>
          <w:p>
            <w:pPr>
              <w:spacing w:after="0"/>
              <w:rPr>
                <w:sz w:val="17"/>
                <w:szCs w:val="17"/>
                <w:color w:val="auto"/>
              </w:rPr>
            </w:pPr>
          </w:p>
        </w:tc>
      </w:tr>
      <w:tr>
        <w:trPr>
          <w:trHeight w:val="200"/>
        </w:trPr>
        <w:tc>
          <w:tcPr>
            <w:tcW w:w="4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24.</w:t>
            </w:r>
          </w:p>
        </w:tc>
        <w:tc>
          <w:tcPr>
            <w:tcW w:w="556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Offer pursuant to the provision of Article 74, Paragraph 5 of the</w:t>
            </w:r>
          </w:p>
        </w:tc>
        <w:tc>
          <w:tcPr>
            <w:tcW w:w="30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14.</w:t>
            </w:r>
          </w:p>
        </w:tc>
        <w:tc>
          <w:tcPr>
            <w:tcW w:w="46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Offer pursuant to the provision of Article</w:t>
            </w:r>
          </w:p>
        </w:tc>
      </w:tr>
      <w:tr>
        <w:trPr>
          <w:trHeight w:val="258"/>
        </w:trPr>
        <w:tc>
          <w:tcPr>
            <w:tcW w:w="59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Deposit Insurance Laws</w:t>
            </w:r>
          </w:p>
        </w:tc>
        <w:tc>
          <w:tcPr>
            <w:tcW w:w="49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74, Paragraph 5 of the Deposit Insurance Laws</w:t>
            </w:r>
          </w:p>
        </w:tc>
      </w:tr>
      <w:tr>
        <w:trPr>
          <w:trHeight w:val="210"/>
        </w:trPr>
        <w:tc>
          <w:tcPr>
            <w:tcW w:w="400" w:type="dxa"/>
            <w:vAlign w:val="bottom"/>
            <w:tcBorders>
              <w:bottom w:val="single" w:sz="8" w:color="auto"/>
            </w:tcBorders>
          </w:tcPr>
          <w:p>
            <w:pPr>
              <w:spacing w:after="0"/>
              <w:rPr>
                <w:sz w:val="18"/>
                <w:szCs w:val="18"/>
                <w:color w:val="auto"/>
              </w:rPr>
            </w:pPr>
          </w:p>
        </w:tc>
        <w:tc>
          <w:tcPr>
            <w:tcW w:w="55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18"/>
                <w:szCs w:val="18"/>
                <w:color w:val="auto"/>
              </w:rPr>
            </w:pPr>
          </w:p>
        </w:tc>
      </w:tr>
    </w:tbl>
    <w:p>
      <w:pPr>
        <w:spacing w:after="0" w:line="288" w:lineRule="exact"/>
        <w:rPr>
          <w:sz w:val="20"/>
          <w:szCs w:val="20"/>
          <w:color w:val="auto"/>
        </w:rPr>
      </w:pPr>
    </w:p>
    <w:p>
      <w:pPr>
        <w:ind w:left="980" w:hanging="748"/>
        <w:spacing w:after="0"/>
        <w:tabs>
          <w:tab w:leader="none" w:pos="9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Occurred Facts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0" w:type="dxa"/>
            <w:vAlign w:val="bottom"/>
            <w:tcBorders>
              <w:right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5200" w:type="dxa"/>
            <w:vAlign w:val="bottom"/>
            <w:tcBorders>
              <w:top w:val="single" w:sz="8" w:color="auto"/>
              <w:bottom w:val="single" w:sz="8" w:color="auto"/>
              <w:right w:val="single" w:sz="8" w:color="auto"/>
            </w:tcBorders>
          </w:tcPr>
          <w:p>
            <w:pPr>
              <w:ind w:left="500"/>
              <w:spacing w:after="0" w:line="223" w:lineRule="exact"/>
              <w:rPr>
                <w:sz w:val="20"/>
                <w:szCs w:val="20"/>
                <w:color w:val="auto"/>
              </w:rPr>
            </w:pPr>
            <w:r>
              <w:rPr>
                <w:rFonts w:ascii="Times New Roman" w:cs="Times New Roman" w:eastAsia="Times New Roman" w:hAnsi="Times New Roman"/>
                <w:sz w:val="20"/>
                <w:szCs w:val="20"/>
                <w:color w:val="auto"/>
              </w:rPr>
              <w:t>Listed Companies</w:t>
            </w:r>
          </w:p>
        </w:tc>
        <w:tc>
          <w:tcPr>
            <w:tcW w:w="200" w:type="dxa"/>
            <w:vAlign w:val="bottom"/>
            <w:tcBorders>
              <w:top w:val="single" w:sz="8" w:color="auto"/>
              <w:bottom w:val="single" w:sz="8" w:color="auto"/>
            </w:tcBorders>
          </w:tcPr>
          <w:p>
            <w:pPr>
              <w:spacing w:after="0"/>
              <w:rPr>
                <w:sz w:val="21"/>
                <w:szCs w:val="21"/>
                <w:color w:val="auto"/>
              </w:rPr>
            </w:pPr>
          </w:p>
        </w:tc>
        <w:tc>
          <w:tcPr>
            <w:tcW w:w="5280" w:type="dxa"/>
            <w:vAlign w:val="bottom"/>
            <w:tcBorders>
              <w:top w:val="single" w:sz="8" w:color="auto"/>
              <w:bottom w:val="single" w:sz="8" w:color="auto"/>
              <w:right w:val="single" w:sz="8" w:color="auto"/>
            </w:tcBorders>
          </w:tcPr>
          <w:p>
            <w:pPr>
              <w:ind w:left="240"/>
              <w:spacing w:after="0" w:line="223" w:lineRule="exact"/>
              <w:rPr>
                <w:sz w:val="20"/>
                <w:szCs w:val="20"/>
                <w:color w:val="auto"/>
              </w:rPr>
            </w:pPr>
            <w:r>
              <w:rPr>
                <w:rFonts w:ascii="Times New Roman" w:cs="Times New Roman" w:eastAsia="Times New Roman" w:hAnsi="Times New Roman"/>
                <w:sz w:val="20"/>
                <w:szCs w:val="20"/>
                <w:color w:val="auto"/>
              </w:rPr>
              <w:t>Subsidiaries of Listed Companies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80" w:type="dxa"/>
            <w:vAlign w:val="bottom"/>
            <w:tcBorders>
              <w:right w:val="single" w:sz="8" w:color="auto"/>
            </w:tcBorders>
          </w:tcPr>
          <w:p>
            <w:pPr>
              <w:spacing w:after="0"/>
              <w:rPr>
                <w:sz w:val="15"/>
                <w:szCs w:val="15"/>
                <w:color w:val="auto"/>
              </w:rPr>
            </w:pPr>
          </w:p>
        </w:tc>
        <w:tc>
          <w:tcPr>
            <w:tcW w:w="280" w:type="dxa"/>
            <w:vAlign w:val="bottom"/>
          </w:tcPr>
          <w:p>
            <w:pPr>
              <w:ind w:left="20"/>
              <w:spacing w:after="0" w:line="184" w:lineRule="exact"/>
              <w:rPr>
                <w:sz w:val="20"/>
                <w:szCs w:val="20"/>
                <w:color w:val="auto"/>
              </w:rPr>
            </w:pPr>
            <w:r>
              <w:rPr>
                <w:rFonts w:ascii="Times New Roman" w:cs="Times New Roman" w:eastAsia="Times New Roman" w:hAnsi="Times New Roman"/>
                <w:sz w:val="20"/>
                <w:szCs w:val="20"/>
                <w:color w:val="auto"/>
              </w:rPr>
              <w:t>1.</w:t>
            </w:r>
          </w:p>
        </w:tc>
        <w:tc>
          <w:tcPr>
            <w:tcW w:w="5200" w:type="dxa"/>
            <w:vAlign w:val="bottom"/>
            <w:tcBorders>
              <w:right w:val="single" w:sz="8" w:color="auto"/>
            </w:tcBorders>
          </w:tcPr>
          <w:p>
            <w:pPr>
              <w:ind w:left="140"/>
              <w:spacing w:after="0" w:line="184" w:lineRule="exact"/>
              <w:rPr>
                <w:sz w:val="20"/>
                <w:szCs w:val="20"/>
                <w:color w:val="auto"/>
              </w:rPr>
            </w:pPr>
            <w:r>
              <w:rPr>
                <w:rFonts w:ascii="Times New Roman" w:cs="Times New Roman" w:eastAsia="Times New Roman" w:hAnsi="Times New Roman"/>
                <w:sz w:val="20"/>
                <w:szCs w:val="20"/>
                <w:color w:val="auto"/>
              </w:rPr>
              <w:t>Damage caused by disasters or damage arising in the course</w:t>
            </w:r>
          </w:p>
        </w:tc>
        <w:tc>
          <w:tcPr>
            <w:tcW w:w="200" w:type="dxa"/>
            <w:vAlign w:val="bottom"/>
          </w:tcPr>
          <w:p>
            <w:pPr>
              <w:ind w:left="40"/>
              <w:spacing w:after="0" w:line="184" w:lineRule="exact"/>
              <w:rPr>
                <w:sz w:val="20"/>
                <w:szCs w:val="20"/>
                <w:color w:val="auto"/>
              </w:rPr>
            </w:pPr>
            <w:r>
              <w:rPr>
                <w:rFonts w:ascii="Times New Roman" w:cs="Times New Roman" w:eastAsia="Times New Roman" w:hAnsi="Times New Roman"/>
                <w:sz w:val="20"/>
                <w:szCs w:val="20"/>
                <w:color w:val="auto"/>
                <w:w w:val="93"/>
              </w:rPr>
              <w:t>1.</w:t>
            </w:r>
          </w:p>
        </w:tc>
        <w:tc>
          <w:tcPr>
            <w:tcW w:w="52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20"/>
                <w:szCs w:val="20"/>
                <w:color w:val="auto"/>
              </w:rPr>
              <w:t>Damage caused by disasters or damages arising in the course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8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of performance of business</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performance of business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right w:val="single" w:sz="8" w:color="auto"/>
            </w:tcBorders>
            <w:vMerge w:val="restart"/>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80" w:type="dxa"/>
            <w:vAlign w:val="bottom"/>
            <w:tcBorders>
              <w:right w:val="single" w:sz="8" w:color="auto"/>
            </w:tcBorders>
            <w:vMerge w:val="continue"/>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w:t>
            </w:r>
          </w:p>
        </w:tc>
        <w:tc>
          <w:tcPr>
            <w:tcW w:w="5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Change in principal shareholders</w:t>
            </w:r>
          </w:p>
        </w:tc>
        <w:tc>
          <w:tcPr>
            <w:tcW w:w="200" w:type="dxa"/>
            <w:vAlign w:val="bottom"/>
          </w:tcPr>
          <w:p>
            <w:pPr>
              <w:spacing w:after="0"/>
              <w:rPr>
                <w:sz w:val="21"/>
                <w:szCs w:val="21"/>
                <w:color w:val="auto"/>
              </w:rPr>
            </w:pPr>
          </w:p>
        </w:tc>
        <w:tc>
          <w:tcPr>
            <w:tcW w:w="5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0" w:type="dxa"/>
            <w:vAlign w:val="bottom"/>
            <w:tcBorders>
              <w:right w:val="single" w:sz="8" w:color="auto"/>
            </w:tcBorders>
            <w:vMerge w:val="restart"/>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8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80" w:type="dxa"/>
            <w:vAlign w:val="bottom"/>
            <w:tcBorders>
              <w:right w:val="single" w:sz="8" w:color="auto"/>
            </w:tcBorders>
            <w:vMerge w:val="continue"/>
          </w:tcPr>
          <w:p>
            <w:pPr>
              <w:spacing w:after="0"/>
              <w:rPr>
                <w:sz w:val="17"/>
                <w:szCs w:val="17"/>
                <w:color w:val="auto"/>
              </w:rPr>
            </w:pPr>
          </w:p>
        </w:tc>
        <w:tc>
          <w:tcPr>
            <w:tcW w:w="28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3.</w:t>
            </w:r>
          </w:p>
        </w:tc>
        <w:tc>
          <w:tcPr>
            <w:tcW w:w="5200" w:type="dxa"/>
            <w:vAlign w:val="bottom"/>
            <w:tcBorders>
              <w:right w:val="single" w:sz="8" w:color="auto"/>
            </w:tcBorders>
          </w:tcPr>
          <w:p>
            <w:pPr>
              <w:ind w:left="140"/>
              <w:spacing w:after="0" w:line="200" w:lineRule="exact"/>
              <w:rPr>
                <w:sz w:val="20"/>
                <w:szCs w:val="20"/>
                <w:color w:val="auto"/>
              </w:rPr>
            </w:pPr>
            <w:r>
              <w:rPr>
                <w:rFonts w:ascii="Times New Roman" w:cs="Times New Roman" w:eastAsia="Times New Roman" w:hAnsi="Times New Roman"/>
                <w:sz w:val="20"/>
                <w:szCs w:val="20"/>
                <w:color w:val="auto"/>
              </w:rPr>
              <w:t>Delisting of specified securities or options on specified</w:t>
            </w:r>
          </w:p>
        </w:tc>
        <w:tc>
          <w:tcPr>
            <w:tcW w:w="200" w:type="dxa"/>
            <w:vAlign w:val="bottom"/>
          </w:tcPr>
          <w:p>
            <w:pPr>
              <w:spacing w:after="0"/>
              <w:rPr>
                <w:sz w:val="17"/>
                <w:szCs w:val="17"/>
                <w:color w:val="auto"/>
              </w:rPr>
            </w:pPr>
          </w:p>
        </w:tc>
        <w:tc>
          <w:tcPr>
            <w:tcW w:w="52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securities, or any event of cancellation of registration</w:t>
            </w:r>
          </w:p>
        </w:tc>
        <w:tc>
          <w:tcPr>
            <w:tcW w:w="200" w:type="dxa"/>
            <w:vAlign w:val="bottom"/>
          </w:tcPr>
          <w:p>
            <w:pPr>
              <w:spacing w:after="0"/>
              <w:rPr>
                <w:sz w:val="22"/>
                <w:szCs w:val="22"/>
                <w:color w:val="auto"/>
              </w:rPr>
            </w:pPr>
          </w:p>
        </w:tc>
        <w:tc>
          <w:tcPr>
            <w:tcW w:w="528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180" w:type="dxa"/>
            <w:vAlign w:val="bottom"/>
            <w:tcBorders>
              <w:right w:val="single" w:sz="8" w:color="auto"/>
            </w:tcBorders>
            <w:vMerge w:val="restart"/>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80" w:type="dxa"/>
            <w:vAlign w:val="bottom"/>
            <w:tcBorders>
              <w:right w:val="single" w:sz="8" w:color="auto"/>
            </w:tcBorders>
            <w:vMerge w:val="continue"/>
          </w:tcPr>
          <w:p>
            <w:pPr>
              <w:spacing w:after="0"/>
              <w:rPr>
                <w:sz w:val="17"/>
                <w:szCs w:val="17"/>
                <w:color w:val="auto"/>
              </w:rPr>
            </w:pPr>
          </w:p>
        </w:tc>
        <w:tc>
          <w:tcPr>
            <w:tcW w:w="28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4.</w:t>
            </w:r>
          </w:p>
        </w:tc>
        <w:tc>
          <w:tcPr>
            <w:tcW w:w="5200" w:type="dxa"/>
            <w:vAlign w:val="bottom"/>
            <w:tcBorders>
              <w:right w:val="single" w:sz="8" w:color="auto"/>
            </w:tcBorders>
          </w:tcPr>
          <w:p>
            <w:pPr>
              <w:ind w:left="140"/>
              <w:spacing w:after="0" w:line="200" w:lineRule="exact"/>
              <w:rPr>
                <w:sz w:val="20"/>
                <w:szCs w:val="20"/>
                <w:color w:val="auto"/>
              </w:rPr>
            </w:pPr>
            <w:r>
              <w:rPr>
                <w:rFonts w:ascii="Times New Roman" w:cs="Times New Roman" w:eastAsia="Times New Roman" w:hAnsi="Times New Roman"/>
                <w:sz w:val="20"/>
                <w:szCs w:val="20"/>
                <w:color w:val="auto"/>
              </w:rPr>
              <w:t>Lawsuit concerning a claim regarding property rights or</w:t>
            </w:r>
          </w:p>
        </w:tc>
        <w:tc>
          <w:tcPr>
            <w:tcW w:w="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w w:val="93"/>
              </w:rPr>
              <w:t>2.</w:t>
            </w:r>
          </w:p>
        </w:tc>
        <w:tc>
          <w:tcPr>
            <w:tcW w:w="5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Lawsuit concerning a claim regarding property rights or</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completion of such lawsuit</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completion of such lawsuit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right w:val="single" w:sz="8" w:color="auto"/>
            </w:tcBorders>
            <w:vMerge w:val="restart"/>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0" w:type="dxa"/>
            <w:vAlign w:val="bottom"/>
            <w:tcBorders>
              <w:right w:val="single" w:sz="8" w:color="auto"/>
            </w:tcBorders>
            <w:vMerge w:val="continue"/>
          </w:tcPr>
          <w:p>
            <w:pPr>
              <w:spacing w:after="0"/>
              <w:rPr>
                <w:sz w:val="17"/>
                <w:szCs w:val="17"/>
                <w:color w:val="auto"/>
              </w:rPr>
            </w:pPr>
          </w:p>
        </w:tc>
        <w:tc>
          <w:tcPr>
            <w:tcW w:w="28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5.</w:t>
            </w:r>
          </w:p>
        </w:tc>
        <w:tc>
          <w:tcPr>
            <w:tcW w:w="5200" w:type="dxa"/>
            <w:vAlign w:val="bottom"/>
            <w:tcBorders>
              <w:right w:val="single" w:sz="8" w:color="auto"/>
            </w:tcBorders>
          </w:tcPr>
          <w:p>
            <w:pPr>
              <w:ind w:left="140"/>
              <w:spacing w:after="0" w:line="200" w:lineRule="exact"/>
              <w:rPr>
                <w:sz w:val="20"/>
                <w:szCs w:val="20"/>
                <w:color w:val="auto"/>
              </w:rPr>
            </w:pPr>
            <w:r>
              <w:rPr>
                <w:rFonts w:ascii="Times New Roman" w:cs="Times New Roman" w:eastAsia="Times New Roman" w:hAnsi="Times New Roman"/>
                <w:sz w:val="20"/>
                <w:szCs w:val="20"/>
                <w:color w:val="auto"/>
              </w:rPr>
              <w:t>Petition for provisional injunction or determination of</w:t>
            </w:r>
          </w:p>
        </w:tc>
        <w:tc>
          <w:tcPr>
            <w:tcW w:w="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w w:val="93"/>
              </w:rPr>
              <w:t>3.</w:t>
            </w:r>
          </w:p>
        </w:tc>
        <w:tc>
          <w:tcPr>
            <w:tcW w:w="5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Petition for provisional injunction or determination of such</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such provisional injunction</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provisional injunction</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180" w:type="dxa"/>
            <w:vAlign w:val="bottom"/>
            <w:tcBorders>
              <w:right w:val="single" w:sz="8" w:color="auto"/>
            </w:tcBorders>
            <w:vMerge w:val="restart"/>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80" w:type="dxa"/>
            <w:vAlign w:val="bottom"/>
            <w:tcBorders>
              <w:right w:val="single" w:sz="8" w:color="auto"/>
            </w:tcBorders>
            <w:vMerge w:val="continue"/>
          </w:tcPr>
          <w:p>
            <w:pPr>
              <w:spacing w:after="0"/>
              <w:rPr>
                <w:sz w:val="17"/>
                <w:szCs w:val="17"/>
                <w:color w:val="auto"/>
              </w:rPr>
            </w:pPr>
          </w:p>
        </w:tc>
        <w:tc>
          <w:tcPr>
            <w:tcW w:w="28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6.</w:t>
            </w:r>
          </w:p>
        </w:tc>
        <w:tc>
          <w:tcPr>
            <w:tcW w:w="5200" w:type="dxa"/>
            <w:vAlign w:val="bottom"/>
            <w:tcBorders>
              <w:right w:val="single" w:sz="8" w:color="auto"/>
            </w:tcBorders>
          </w:tcPr>
          <w:p>
            <w:pPr>
              <w:ind w:left="140"/>
              <w:spacing w:after="0" w:line="200" w:lineRule="exact"/>
              <w:rPr>
                <w:sz w:val="20"/>
                <w:szCs w:val="20"/>
                <w:color w:val="auto"/>
              </w:rPr>
            </w:pPr>
            <w:r>
              <w:rPr>
                <w:rFonts w:ascii="Times New Roman" w:cs="Times New Roman" w:eastAsia="Times New Roman" w:hAnsi="Times New Roman"/>
                <w:sz w:val="20"/>
                <w:szCs w:val="20"/>
                <w:color w:val="auto"/>
              </w:rPr>
              <w:t>Disposition by administrative agencies under laws and</w:t>
            </w:r>
          </w:p>
        </w:tc>
        <w:tc>
          <w:tcPr>
            <w:tcW w:w="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w w:val="93"/>
              </w:rPr>
              <w:t>4.</w:t>
            </w:r>
          </w:p>
        </w:tc>
        <w:tc>
          <w:tcPr>
            <w:tcW w:w="5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Disposition by administrative agencies under laws and</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ordinances such as suspension of operation of business</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ordinances such as suspension of operation or business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180" w:type="dxa"/>
            <w:vAlign w:val="bottom"/>
            <w:tcBorders>
              <w:right w:val="single" w:sz="8" w:color="auto"/>
            </w:tcBorders>
            <w:vMerge w:val="restart"/>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80" w:type="dxa"/>
            <w:vAlign w:val="bottom"/>
            <w:tcBorders>
              <w:right w:val="single" w:sz="8" w:color="auto"/>
            </w:tcBorders>
            <w:vMerge w:val="continue"/>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7.</w:t>
            </w:r>
          </w:p>
        </w:tc>
        <w:tc>
          <w:tcPr>
            <w:tcW w:w="5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Change in parent company</w:t>
            </w:r>
          </w:p>
        </w:tc>
        <w:tc>
          <w:tcPr>
            <w:tcW w:w="200" w:type="dxa"/>
            <w:vAlign w:val="bottom"/>
          </w:tcPr>
          <w:p>
            <w:pPr>
              <w:spacing w:after="0"/>
              <w:rPr>
                <w:sz w:val="21"/>
                <w:szCs w:val="21"/>
                <w:color w:val="auto"/>
              </w:rPr>
            </w:pPr>
          </w:p>
        </w:tc>
        <w:tc>
          <w:tcPr>
            <w:tcW w:w="5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0" w:type="dxa"/>
            <w:vAlign w:val="bottom"/>
            <w:tcBorders>
              <w:right w:val="single" w:sz="8" w:color="auto"/>
            </w:tcBorders>
            <w:vMerge w:val="restart"/>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80" w:type="dxa"/>
            <w:vAlign w:val="bottom"/>
            <w:tcBorders>
              <w:bottom w:val="single" w:sz="8" w:color="auto"/>
              <w:right w:val="single" w:sz="8" w:color="auto"/>
            </w:tcBorders>
          </w:tcPr>
          <w:p>
            <w:pPr>
              <w:spacing w:after="0"/>
              <w:rPr>
                <w:sz w:val="15"/>
                <w:szCs w:val="15"/>
                <w:color w:val="auto"/>
              </w:rPr>
            </w:pP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80" w:type="dxa"/>
            <w:vAlign w:val="bottom"/>
            <w:tcBorders>
              <w:right w:val="single" w:sz="8" w:color="auto"/>
            </w:tcBorders>
            <w:vMerge w:val="continue"/>
          </w:tcPr>
          <w:p>
            <w:pPr>
              <w:spacing w:after="0"/>
              <w:rPr>
                <w:sz w:val="17"/>
                <w:szCs w:val="17"/>
                <w:color w:val="auto"/>
              </w:rPr>
            </w:pPr>
          </w:p>
        </w:tc>
        <w:tc>
          <w:tcPr>
            <w:tcW w:w="28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8.</w:t>
            </w:r>
          </w:p>
        </w:tc>
        <w:tc>
          <w:tcPr>
            <w:tcW w:w="5200" w:type="dxa"/>
            <w:vAlign w:val="bottom"/>
            <w:tcBorders>
              <w:right w:val="single" w:sz="8" w:color="auto"/>
            </w:tcBorders>
          </w:tcPr>
          <w:p>
            <w:pPr>
              <w:ind w:left="140"/>
              <w:spacing w:after="0" w:line="200" w:lineRule="exact"/>
              <w:rPr>
                <w:sz w:val="20"/>
                <w:szCs w:val="20"/>
                <w:color w:val="auto"/>
              </w:rPr>
            </w:pPr>
            <w:r>
              <w:rPr>
                <w:rFonts w:ascii="Times New Roman" w:cs="Times New Roman" w:eastAsia="Times New Roman" w:hAnsi="Times New Roman"/>
                <w:sz w:val="20"/>
                <w:szCs w:val="20"/>
                <w:color w:val="auto"/>
              </w:rPr>
              <w:t>Petition for bankruptcy by creditors or any party other than</w:t>
            </w:r>
          </w:p>
        </w:tc>
        <w:tc>
          <w:tcPr>
            <w:tcW w:w="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w w:val="93"/>
              </w:rPr>
              <w:t>5.</w:t>
            </w:r>
          </w:p>
        </w:tc>
        <w:tc>
          <w:tcPr>
            <w:tcW w:w="5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Petition for bankruptcy by creditors or any party other than the</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the relevant listed company</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relevant subsidiary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5"/>
        </w:trPr>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11" w:name="page112"/>
    <w:bookmarkEnd w:id="111"/>
    <w:tbl>
      <w:tblPr>
        <w:tblLayout w:type="fixed"/>
        <w:tblInd w:w="10" w:type="dxa"/>
        <w:tblCellMar>
          <w:top w:w="0" w:type="dxa"/>
          <w:left w:w="0" w:type="dxa"/>
          <w:bottom w:w="0" w:type="dxa"/>
          <w:right w:w="0" w:type="dxa"/>
        </w:tblCellMar>
      </w:tblPr>
      <w:tr>
        <w:trPr>
          <w:trHeight w:val="223"/>
        </w:trPr>
        <w:tc>
          <w:tcPr>
            <w:tcW w:w="400" w:type="dxa"/>
            <w:vAlign w:val="bottom"/>
            <w:tcBorders>
              <w:top w:val="single" w:sz="8" w:color="auto"/>
              <w:left w:val="single" w:sz="8" w:color="auto"/>
            </w:tcBorders>
          </w:tcPr>
          <w:p>
            <w:pPr>
              <w:ind w:left="80"/>
              <w:spacing w:after="0" w:line="224" w:lineRule="exact"/>
              <w:rPr>
                <w:sz w:val="20"/>
                <w:szCs w:val="20"/>
                <w:color w:val="auto"/>
              </w:rPr>
            </w:pPr>
            <w:r>
              <w:rPr>
                <w:rFonts w:ascii="Times New Roman" w:cs="Times New Roman" w:eastAsia="Times New Roman" w:hAnsi="Times New Roman"/>
                <w:sz w:val="20"/>
                <w:szCs w:val="20"/>
                <w:color w:val="auto"/>
              </w:rPr>
              <w:t>9.</w:t>
            </w:r>
          </w:p>
        </w:tc>
        <w:tc>
          <w:tcPr>
            <w:tcW w:w="5140" w:type="dxa"/>
            <w:vAlign w:val="bottom"/>
            <w:tcBorders>
              <w:top w:val="single" w:sz="8" w:color="auto"/>
              <w:right w:val="single" w:sz="8" w:color="auto"/>
            </w:tcBorders>
          </w:tcPr>
          <w:p>
            <w:pPr>
              <w:ind w:left="80"/>
              <w:spacing w:after="0" w:line="224" w:lineRule="exact"/>
              <w:rPr>
                <w:sz w:val="20"/>
                <w:szCs w:val="20"/>
                <w:color w:val="auto"/>
              </w:rPr>
            </w:pPr>
            <w:r>
              <w:rPr>
                <w:rFonts w:ascii="Times New Roman" w:cs="Times New Roman" w:eastAsia="Times New Roman" w:hAnsi="Times New Roman"/>
                <w:sz w:val="20"/>
                <w:szCs w:val="20"/>
                <w:color w:val="auto"/>
              </w:rPr>
              <w:t>Dishonor of drafts or checks or suspension of business by a</w:t>
            </w:r>
          </w:p>
        </w:tc>
        <w:tc>
          <w:tcPr>
            <w:tcW w:w="200" w:type="dxa"/>
            <w:vAlign w:val="bottom"/>
            <w:tcBorders>
              <w:top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w w:val="93"/>
              </w:rPr>
              <w:t>6.</w:t>
            </w:r>
          </w:p>
        </w:tc>
        <w:tc>
          <w:tcPr>
            <w:tcW w:w="5280" w:type="dxa"/>
            <w:vAlign w:val="bottom"/>
            <w:tcBorders>
              <w:top w:val="single" w:sz="8" w:color="auto"/>
              <w:right w:val="single" w:sz="8" w:color="auto"/>
            </w:tcBorders>
          </w:tcPr>
          <w:p>
            <w:pPr>
              <w:ind w:left="20"/>
              <w:spacing w:after="0" w:line="224" w:lineRule="exact"/>
              <w:rPr>
                <w:sz w:val="20"/>
                <w:szCs w:val="20"/>
                <w:color w:val="auto"/>
              </w:rPr>
            </w:pPr>
            <w:r>
              <w:rPr>
                <w:rFonts w:ascii="Times New Roman" w:cs="Times New Roman" w:eastAsia="Times New Roman" w:hAnsi="Times New Roman"/>
                <w:sz w:val="20"/>
                <w:szCs w:val="20"/>
                <w:color w:val="auto"/>
              </w:rPr>
              <w:t>Dishonor of drafts or checks or suspension of business by a</w:t>
            </w:r>
          </w:p>
        </w:tc>
      </w:tr>
      <w:tr>
        <w:trPr>
          <w:trHeight w:val="258"/>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clearing house</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clearing house</w:t>
            </w:r>
          </w:p>
        </w:tc>
      </w:tr>
      <w:tr>
        <w:trPr>
          <w:trHeight w:val="220"/>
        </w:trPr>
        <w:tc>
          <w:tcPr>
            <w:tcW w:w="400" w:type="dxa"/>
            <w:vAlign w:val="bottom"/>
            <w:tcBorders>
              <w:left w:val="single" w:sz="8" w:color="auto"/>
              <w:bottom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80" w:type="dxa"/>
            <w:vAlign w:val="bottom"/>
            <w:tcBorders>
              <w:bottom w:val="single" w:sz="8" w:color="auto"/>
              <w:right w:val="single" w:sz="8" w:color="auto"/>
            </w:tcBorders>
          </w:tcPr>
          <w:p>
            <w:pPr>
              <w:spacing w:after="0"/>
              <w:rPr>
                <w:sz w:val="19"/>
                <w:szCs w:val="19"/>
                <w:color w:val="auto"/>
              </w:rPr>
            </w:pPr>
          </w:p>
        </w:tc>
      </w:tr>
      <w:tr>
        <w:trPr>
          <w:trHeight w:val="218"/>
        </w:trPr>
        <w:tc>
          <w:tcPr>
            <w:tcW w:w="400" w:type="dxa"/>
            <w:vAlign w:val="bottom"/>
          </w:tcPr>
          <w:p>
            <w:pPr>
              <w:ind w:left="80"/>
              <w:spacing w:after="0" w:line="218" w:lineRule="exact"/>
              <w:rPr>
                <w:sz w:val="20"/>
                <w:szCs w:val="20"/>
                <w:color w:val="auto"/>
              </w:rPr>
            </w:pPr>
            <w:r>
              <w:rPr>
                <w:rFonts w:ascii="Times New Roman" w:cs="Times New Roman" w:eastAsia="Times New Roman" w:hAnsi="Times New Roman"/>
                <w:sz w:val="20"/>
                <w:szCs w:val="20"/>
                <w:color w:val="auto"/>
              </w:rPr>
              <w:t>10.</w:t>
            </w:r>
          </w:p>
        </w:tc>
        <w:tc>
          <w:tcPr>
            <w:tcW w:w="5140" w:type="dxa"/>
            <w:vAlign w:val="bottom"/>
            <w:tcBorders>
              <w:right w:val="single" w:sz="8" w:color="auto"/>
            </w:tcBorders>
          </w:tcPr>
          <w:p>
            <w:pPr>
              <w:ind w:left="80"/>
              <w:spacing w:after="0" w:line="218" w:lineRule="exact"/>
              <w:rPr>
                <w:sz w:val="20"/>
                <w:szCs w:val="20"/>
                <w:color w:val="auto"/>
              </w:rPr>
            </w:pPr>
            <w:r>
              <w:rPr>
                <w:rFonts w:ascii="Times New Roman" w:cs="Times New Roman" w:eastAsia="Times New Roman" w:hAnsi="Times New Roman"/>
                <w:sz w:val="20"/>
                <w:szCs w:val="20"/>
                <w:color w:val="auto"/>
              </w:rPr>
              <w:t>Petition for bankruptcy of parent company</w:t>
            </w:r>
          </w:p>
        </w:tc>
        <w:tc>
          <w:tcPr>
            <w:tcW w:w="200" w:type="dxa"/>
            <w:vAlign w:val="bottom"/>
          </w:tcPr>
          <w:p>
            <w:pPr>
              <w:ind w:left="40"/>
              <w:spacing w:after="0" w:line="218" w:lineRule="exact"/>
              <w:rPr>
                <w:sz w:val="20"/>
                <w:szCs w:val="20"/>
                <w:color w:val="auto"/>
              </w:rPr>
            </w:pPr>
            <w:r>
              <w:rPr>
                <w:rFonts w:ascii="Times New Roman" w:cs="Times New Roman" w:eastAsia="Times New Roman" w:hAnsi="Times New Roman"/>
                <w:sz w:val="20"/>
                <w:szCs w:val="20"/>
                <w:color w:val="auto"/>
                <w:w w:val="93"/>
              </w:rPr>
              <w:t>7.</w:t>
            </w:r>
          </w:p>
        </w:tc>
        <w:tc>
          <w:tcPr>
            <w:tcW w:w="5280" w:type="dxa"/>
            <w:vAlign w:val="bottom"/>
            <w:tcBorders>
              <w:right w:val="single" w:sz="8" w:color="auto"/>
            </w:tcBorders>
          </w:tcPr>
          <w:p>
            <w:pPr>
              <w:ind w:left="20"/>
              <w:spacing w:after="0" w:line="218" w:lineRule="exact"/>
              <w:rPr>
                <w:sz w:val="20"/>
                <w:szCs w:val="20"/>
                <w:color w:val="auto"/>
              </w:rPr>
            </w:pPr>
            <w:r>
              <w:rPr>
                <w:rFonts w:ascii="Times New Roman" w:cs="Times New Roman" w:eastAsia="Times New Roman" w:hAnsi="Times New Roman"/>
                <w:sz w:val="20"/>
                <w:szCs w:val="20"/>
                <w:color w:val="auto"/>
              </w:rPr>
              <w:t>Petition for bankruptcy of sub-subsidiary</w:t>
            </w:r>
          </w:p>
        </w:tc>
      </w:tr>
      <w:tr>
        <w:trPr>
          <w:trHeight w:val="170"/>
        </w:trPr>
        <w:tc>
          <w:tcPr>
            <w:tcW w:w="400" w:type="dxa"/>
            <w:vAlign w:val="bottom"/>
            <w:tcBorders>
              <w:bottom w:val="single" w:sz="8" w:color="auto"/>
            </w:tcBorders>
          </w:tcPr>
          <w:p>
            <w:pPr>
              <w:spacing w:after="0"/>
              <w:rPr>
                <w:sz w:val="14"/>
                <w:szCs w:val="14"/>
                <w:color w:val="auto"/>
              </w:rPr>
            </w:pPr>
          </w:p>
        </w:tc>
        <w:tc>
          <w:tcPr>
            <w:tcW w:w="51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80" w:type="dxa"/>
            <w:vAlign w:val="bottom"/>
            <w:tcBorders>
              <w:bottom w:val="single" w:sz="8" w:color="auto"/>
              <w:right w:val="single" w:sz="8" w:color="auto"/>
            </w:tcBorders>
          </w:tcPr>
          <w:p>
            <w:pPr>
              <w:spacing w:after="0"/>
              <w:rPr>
                <w:sz w:val="14"/>
                <w:szCs w:val="14"/>
                <w:color w:val="auto"/>
              </w:rPr>
            </w:pPr>
          </w:p>
        </w:tc>
      </w:tr>
      <w:tr>
        <w:trPr>
          <w:trHeight w:val="200"/>
        </w:trPr>
        <w:tc>
          <w:tcPr>
            <w:tcW w:w="4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11.</w:t>
            </w:r>
          </w:p>
        </w:tc>
        <w:tc>
          <w:tcPr>
            <w:tcW w:w="51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Potential for default due to occurrence of dishonor concerning</w:t>
            </w:r>
          </w:p>
        </w:tc>
        <w:tc>
          <w:tcPr>
            <w:tcW w:w="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w w:val="93"/>
              </w:rPr>
              <w:t>8.</w:t>
            </w:r>
          </w:p>
        </w:tc>
        <w:tc>
          <w:tcPr>
            <w:tcW w:w="5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Potential for default due to occurrence of dishonor concerning</w:t>
            </w:r>
          </w:p>
        </w:tc>
      </w:tr>
      <w:tr>
        <w:trPr>
          <w:trHeight w:val="258"/>
        </w:trPr>
        <w:tc>
          <w:tcPr>
            <w:tcW w:w="55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debtors or principal debtors of guaranteed obligations</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debtors or principal debtors of guaranteed obligations</w:t>
            </w:r>
          </w:p>
        </w:tc>
      </w:tr>
      <w:tr>
        <w:trPr>
          <w:trHeight w:val="413"/>
        </w:trPr>
        <w:tc>
          <w:tcPr>
            <w:tcW w:w="400" w:type="dxa"/>
            <w:vAlign w:val="bottom"/>
            <w:tcBorders>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r>
      <w:tr>
        <w:trPr>
          <w:trHeight w:val="252"/>
        </w:trPr>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12.</w:t>
            </w:r>
          </w:p>
        </w:tc>
        <w:tc>
          <w:tcPr>
            <w:tcW w:w="5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Suspension of transactions with major customers</w:t>
            </w: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3"/>
              </w:rPr>
              <w:t>9.</w:t>
            </w:r>
          </w:p>
        </w:tc>
        <w:tc>
          <w:tcPr>
            <w:tcW w:w="5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Suspension of transactions with major customers</w:t>
            </w:r>
          </w:p>
        </w:tc>
      </w:tr>
      <w:tr>
        <w:trPr>
          <w:trHeight w:val="403"/>
        </w:trPr>
        <w:tc>
          <w:tcPr>
            <w:tcW w:w="400" w:type="dxa"/>
            <w:vAlign w:val="bottom"/>
            <w:tcBorders>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gridSpan w:val="2"/>
          </w:tcPr>
          <w:p>
            <w:pPr>
              <w:spacing w:after="0"/>
              <w:rPr>
                <w:sz w:val="24"/>
                <w:szCs w:val="24"/>
                <w:color w:val="auto"/>
              </w:rPr>
            </w:pPr>
          </w:p>
        </w:tc>
      </w:tr>
      <w:tr>
        <w:trPr>
          <w:trHeight w:val="200"/>
        </w:trPr>
        <w:tc>
          <w:tcPr>
            <w:tcW w:w="4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13.</w:t>
            </w:r>
          </w:p>
        </w:tc>
        <w:tc>
          <w:tcPr>
            <w:tcW w:w="51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Discharge of debt or assumption or payment of a debt by</w:t>
            </w:r>
          </w:p>
        </w:tc>
        <w:tc>
          <w:tcPr>
            <w:tcW w:w="5480" w:type="dxa"/>
            <w:vAlign w:val="bottom"/>
            <w:tcBorders>
              <w:right w:val="single" w:sz="8" w:color="auto"/>
            </w:tcBorders>
            <w:gridSpan w:val="2"/>
          </w:tcPr>
          <w:p>
            <w:pPr>
              <w:ind w:left="40"/>
              <w:spacing w:after="0" w:line="200" w:lineRule="exact"/>
              <w:rPr>
                <w:sz w:val="20"/>
                <w:szCs w:val="20"/>
                <w:color w:val="auto"/>
              </w:rPr>
            </w:pPr>
            <w:r>
              <w:rPr>
                <w:rFonts w:ascii="Times New Roman" w:cs="Times New Roman" w:eastAsia="Times New Roman" w:hAnsi="Times New Roman"/>
                <w:sz w:val="20"/>
                <w:szCs w:val="20"/>
                <w:color w:val="auto"/>
                <w:w w:val="99"/>
              </w:rPr>
              <w:t>10. Discharge of debt or assumption or payment of a debt by a third</w:t>
            </w:r>
          </w:p>
        </w:tc>
      </w:tr>
      <w:tr>
        <w:trPr>
          <w:trHeight w:val="258"/>
        </w:trPr>
        <w:tc>
          <w:tcPr>
            <w:tcW w:w="55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a third party</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party</w:t>
            </w:r>
          </w:p>
        </w:tc>
      </w:tr>
      <w:tr>
        <w:trPr>
          <w:trHeight w:val="197"/>
        </w:trPr>
        <w:tc>
          <w:tcPr>
            <w:tcW w:w="400" w:type="dxa"/>
            <w:vAlign w:val="bottom"/>
            <w:tcBorders>
              <w:bottom w:val="single" w:sz="8" w:color="auto"/>
            </w:tcBorders>
          </w:tcPr>
          <w:p>
            <w:pPr>
              <w:spacing w:after="0"/>
              <w:rPr>
                <w:sz w:val="17"/>
                <w:szCs w:val="17"/>
                <w:color w:val="auto"/>
              </w:rPr>
            </w:pPr>
          </w:p>
        </w:tc>
        <w:tc>
          <w:tcPr>
            <w:tcW w:w="5140" w:type="dxa"/>
            <w:vAlign w:val="bottom"/>
            <w:tcBorders>
              <w:bottom w:val="single" w:sz="8" w:color="auto"/>
              <w:right w:val="single" w:sz="8" w:color="auto"/>
            </w:tcBorders>
          </w:tcPr>
          <w:p>
            <w:pPr>
              <w:spacing w:after="0"/>
              <w:rPr>
                <w:sz w:val="17"/>
                <w:szCs w:val="17"/>
                <w:color w:val="auto"/>
              </w:rPr>
            </w:pPr>
          </w:p>
        </w:tc>
        <w:tc>
          <w:tcPr>
            <w:tcW w:w="5480" w:type="dxa"/>
            <w:vAlign w:val="bottom"/>
            <w:tcBorders>
              <w:bottom w:val="single" w:sz="8" w:color="auto"/>
              <w:right w:val="single" w:sz="8" w:color="auto"/>
            </w:tcBorders>
            <w:gridSpan w:val="2"/>
          </w:tcPr>
          <w:p>
            <w:pPr>
              <w:spacing w:after="0"/>
              <w:rPr>
                <w:sz w:val="17"/>
                <w:szCs w:val="17"/>
                <w:color w:val="auto"/>
              </w:rPr>
            </w:pPr>
          </w:p>
        </w:tc>
      </w:tr>
      <w:tr>
        <w:trPr>
          <w:trHeight w:val="252"/>
        </w:trPr>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14.</w:t>
            </w:r>
          </w:p>
        </w:tc>
        <w:tc>
          <w:tcPr>
            <w:tcW w:w="5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Discovery of resources</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11. Discovery of resources</w:t>
            </w:r>
          </w:p>
        </w:tc>
      </w:tr>
      <w:tr>
        <w:trPr>
          <w:trHeight w:val="174"/>
        </w:trPr>
        <w:tc>
          <w:tcPr>
            <w:tcW w:w="400" w:type="dxa"/>
            <w:vAlign w:val="bottom"/>
            <w:tcBorders>
              <w:bottom w:val="single" w:sz="8" w:color="auto"/>
            </w:tcBorders>
          </w:tcPr>
          <w:p>
            <w:pPr>
              <w:spacing w:after="0"/>
              <w:rPr>
                <w:sz w:val="15"/>
                <w:szCs w:val="15"/>
                <w:color w:val="auto"/>
              </w:rPr>
            </w:pPr>
          </w:p>
        </w:tc>
        <w:tc>
          <w:tcPr>
            <w:tcW w:w="51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80" w:type="dxa"/>
            <w:vAlign w:val="bottom"/>
            <w:tcBorders>
              <w:bottom w:val="single" w:sz="8" w:color="auto"/>
              <w:right w:val="single" w:sz="8" w:color="auto"/>
            </w:tcBorders>
          </w:tcPr>
          <w:p>
            <w:pPr>
              <w:spacing w:after="0"/>
              <w:rPr>
                <w:sz w:val="15"/>
                <w:szCs w:val="15"/>
                <w:color w:val="auto"/>
              </w:rPr>
            </w:pPr>
          </w:p>
        </w:tc>
      </w:tr>
    </w:tbl>
    <w:p>
      <w:pPr>
        <w:spacing w:after="0" w:line="288" w:lineRule="exact"/>
        <w:rPr>
          <w:sz w:val="20"/>
          <w:szCs w:val="20"/>
          <w:color w:val="auto"/>
        </w:rPr>
      </w:pPr>
    </w:p>
    <w:p>
      <w:pPr>
        <w:ind w:left="860" w:hanging="748"/>
        <w:spacing w:after="0"/>
        <w:tabs>
          <w:tab w:leader="none" w:pos="8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Matters Concerning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6988810" cy="1304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6988810" cy="130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55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Listed Companies</w:t>
            </w:r>
          </w:p>
        </w:tc>
        <w:tc>
          <w:tcPr>
            <w:tcW w:w="55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rPr>
              <w:t>Subsidiaries of Listed Companies</w:t>
            </w:r>
          </w:p>
        </w:tc>
      </w:tr>
    </w:tbl>
    <w:p>
      <w:pPr>
        <w:ind w:left="480" w:hanging="403"/>
        <w:spacing w:after="0"/>
        <w:tabs>
          <w:tab w:leader="none" w:pos="4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Turnover, ordinary profit or net profit</w:t>
      </w:r>
    </w:p>
    <w:p>
      <w:pPr>
        <w:spacing w:after="0" w:line="193" w:lineRule="exact"/>
        <w:rPr>
          <w:rFonts w:ascii="Times New Roman" w:cs="Times New Roman" w:eastAsia="Times New Roman" w:hAnsi="Times New Roman"/>
          <w:sz w:val="20"/>
          <w:szCs w:val="20"/>
          <w:color w:val="auto"/>
        </w:rPr>
      </w:pPr>
    </w:p>
    <w:p>
      <w:pPr>
        <w:ind w:left="480" w:hanging="403"/>
        <w:spacing w:after="0"/>
        <w:tabs>
          <w:tab w:leader="none" w:pos="4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or interim dividends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   Turnover, ordinary profit or net profit of corporate group</w:t>
            </w:r>
          </w:p>
        </w:tc>
        <w:tc>
          <w:tcPr>
            <w:tcW w:w="57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1. Turnover, ordinary profit or net profit</w:t>
            </w:r>
          </w:p>
        </w:tc>
      </w:tr>
      <w:tr>
        <w:trPr>
          <w:trHeight w:val="436"/>
        </w:trPr>
        <w:tc>
          <w:tcPr>
            <w:tcW w:w="5280" w:type="dxa"/>
            <w:vAlign w:val="bottom"/>
          </w:tcPr>
          <w:p>
            <w:pPr>
              <w:spacing w:after="0"/>
              <w:rPr>
                <w:sz w:val="24"/>
                <w:szCs w:val="24"/>
                <w:color w:val="auto"/>
              </w:rPr>
            </w:pPr>
          </w:p>
        </w:tc>
        <w:tc>
          <w:tcPr>
            <w:tcW w:w="57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 limited to the case where the subsidiary is a public company</w:t>
            </w:r>
          </w:p>
        </w:tc>
      </w:tr>
    </w:tbl>
    <w:p>
      <w:pPr>
        <w:spacing w:after="0" w:line="205" w:lineRule="exact"/>
        <w:rPr>
          <w:sz w:val="20"/>
          <w:szCs w:val="20"/>
          <w:color w:val="auto"/>
        </w:rPr>
      </w:pPr>
    </w:p>
    <w:p>
      <w:pPr>
        <w:ind w:left="120" w:right="480" w:hanging="3"/>
        <w:spacing w:after="0" w:line="255" w:lineRule="auto"/>
        <w:tabs>
          <w:tab w:leader="none" w:pos="26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Occurrence of any difference from the latest estimate; if the estimate is not announced, occurrence of any difference from the historical data of the previous business year.</w:t>
      </w:r>
    </w:p>
    <w:p>
      <w:pPr>
        <w:sectPr>
          <w:pgSz w:w="11900" w:h="16838" w:orient="portrait"/>
          <w:cols w:equalWidth="0" w:num="1">
            <w:col w:w="11020"/>
          </w:cols>
          <w:pgMar w:left="440" w:top="1399" w:right="439" w:bottom="1440" w:gutter="0" w:footer="0" w:header="0"/>
        </w:sectPr>
      </w:pPr>
    </w:p>
    <w:p>
      <w:pPr>
        <w:spacing w:after="0" w:line="193" w:lineRule="exact"/>
        <w:rPr>
          <w:sz w:val="20"/>
          <w:szCs w:val="20"/>
          <w:color w:val="auto"/>
        </w:rPr>
      </w:pPr>
    </w:p>
    <w:p>
      <w:pPr>
        <w:ind w:left="860" w:hanging="748"/>
        <w:spacing w:after="0"/>
        <w:tabs>
          <w:tab w:leader="none" w:pos="8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Comprehensive Provisions</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Listed Companies</w:t>
      </w:r>
    </w:p>
    <w:p>
      <w:pPr>
        <w:spacing w:after="0" w:line="27" w:lineRule="exact"/>
        <w:rPr>
          <w:sz w:val="20"/>
          <w:szCs w:val="20"/>
          <w:color w:val="auto"/>
        </w:rPr>
      </w:pPr>
    </w:p>
    <w:p>
      <w:pPr>
        <w:ind w:left="80"/>
        <w:spacing w:after="0" w:line="279" w:lineRule="auto"/>
        <w:rPr>
          <w:sz w:val="20"/>
          <w:szCs w:val="20"/>
          <w:color w:val="auto"/>
        </w:rPr>
      </w:pPr>
      <w:r>
        <w:rPr>
          <w:rFonts w:ascii="Times New Roman" w:cs="Times New Roman" w:eastAsia="Times New Roman" w:hAnsi="Times New Roman"/>
          <w:sz w:val="19"/>
          <w:szCs w:val="19"/>
          <w:color w:val="auto"/>
        </w:rPr>
        <w:t>Any material fact concerning the operation, business or assets of the company that affects the investment judgment of investors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Subsidiaries of Listed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-141605</wp:posOffset>
            </wp:positionV>
            <wp:extent cx="6988810" cy="8851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6988810" cy="885190"/>
                    </a:xfrm>
                    <a:prstGeom prst="rect">
                      <a:avLst/>
                    </a:prstGeom>
                    <a:noFill/>
                  </pic:spPr>
                </pic:pic>
              </a:graphicData>
            </a:graphic>
          </wp:anchor>
        </w:drawing>
      </w:r>
    </w:p>
    <w:p>
      <w:pPr>
        <w:spacing w:after="0" w:line="8"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9"/>
          <w:szCs w:val="19"/>
          <w:color w:val="auto"/>
        </w:rPr>
        <w:t>Any material fact concerning the operation, business or assets of the company that affects the investment judgment of investors</w:t>
      </w:r>
    </w:p>
    <w:p>
      <w:pPr>
        <w:spacing w:after="0" w:line="200" w:lineRule="exact"/>
        <w:rPr>
          <w:sz w:val="20"/>
          <w:szCs w:val="20"/>
          <w:color w:val="auto"/>
        </w:rPr>
      </w:pPr>
    </w:p>
    <w:p>
      <w:pPr>
        <w:sectPr>
          <w:pgSz w:w="11900" w:h="16838" w:orient="portrait"/>
          <w:cols w:equalWidth="0" w:num="2">
            <w:col w:w="5180" w:space="400"/>
            <w:col w:w="5440"/>
          </w:cols>
          <w:pgMar w:left="440" w:top="139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60" w:hanging="748"/>
        <w:spacing w:after="0"/>
        <w:tabs>
          <w:tab w:leader="none" w:pos="86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Takeover bids or any act similar thereto (Article 167 of the F.I.E.L.)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634365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399" w:right="439" w:bottom="1440" w:gutter="0" w:footer="0" w:header="0"/>
          <w:type w:val="continuous"/>
        </w:sectPr>
      </w:pPr>
    </w:p>
    <w:bookmarkStart w:id="112" w:name="page113"/>
    <w:bookmarkEnd w:id="112"/>
    <w:p>
      <w:pPr>
        <w:spacing w:after="0" w:line="1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Statement of Company Policy EXHIBIT 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Requirements for Rule 10b5-1 Trading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Rule 10b5-1 “trading plan” involving purchases or sales of the Company’s securities must comply with the requirements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Rule 10b5-1 and must meet the following requirements:</w:t>
      </w:r>
    </w:p>
    <w:p>
      <w:pPr>
        <w:spacing w:after="0" w:line="182" w:lineRule="exact"/>
        <w:rPr>
          <w:sz w:val="20"/>
          <w:szCs w:val="20"/>
          <w:color w:val="auto"/>
        </w:rPr>
      </w:pPr>
    </w:p>
    <w:p>
      <w:pPr>
        <w:ind w:left="760" w:hanging="378"/>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in writing and signed by the person adopting the trading plan.</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adopted at a time when:</w:t>
      </w:r>
    </w:p>
    <w:p>
      <w:pPr>
        <w:spacing w:after="0" w:line="9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adopting the trading plan is not aware of any material non-public information (“</w:t>
      </w:r>
      <w:r>
        <w:rPr>
          <w:rFonts w:ascii="Times New Roman" w:cs="Times New Roman" w:eastAsia="Times New Roman" w:hAnsi="Times New Roman"/>
          <w:sz w:val="22"/>
          <w:szCs w:val="22"/>
          <w:b w:val="1"/>
          <w:bCs w:val="1"/>
          <w:color w:val="auto"/>
        </w:rPr>
        <w:t>MNPI</w:t>
      </w:r>
      <w:r>
        <w:rPr>
          <w:rFonts w:ascii="Times New Roman" w:cs="Times New Roman" w:eastAsia="Times New Roman" w:hAnsi="Times New Roman"/>
          <w:sz w:val="22"/>
          <w:szCs w:val="22"/>
          <w:color w:val="auto"/>
        </w:rPr>
        <w:t>”); and</w:t>
      </w:r>
    </w:p>
    <w:p>
      <w:pPr>
        <w:spacing w:after="0" w:line="102"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quarterly, special or other trading blackout in effect with respect to the person adopting the trading plan.</w:t>
      </w:r>
    </w:p>
    <w:p>
      <w:pPr>
        <w:spacing w:after="0" w:line="158" w:lineRule="exact"/>
        <w:rPr>
          <w:rFonts w:ascii="Times New Roman" w:cs="Times New Roman" w:eastAsia="Times New Roman" w:hAnsi="Times New Roman"/>
          <w:sz w:val="22"/>
          <w:szCs w:val="22"/>
          <w:color w:val="auto"/>
        </w:rPr>
      </w:pPr>
    </w:p>
    <w:p>
      <w:pPr>
        <w:ind w:left="760" w:hanging="378"/>
        <w:spacing w:after="0" w:line="285" w:lineRule="exact"/>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entered in good faith and not as part of a plan or scheme to evade the prohibitions of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and the individual adopting the trading plan must act in good faith with respect to the plan through its duration.</w:t>
      </w:r>
    </w:p>
    <w:p>
      <w:pPr>
        <w:spacing w:after="0" w:line="146"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directors and Section 16 officers of the Company (i.e., all persons listed on Exhibit C of this Policy) must represent in a trading plan at the time of its adoption (or modification) that (a) they are not aware of any MNPI about the Company or its securities, and (b) they are adopting (or modifying) the trading plan in good faith and not as part of a plan or scheme to evade the prohibitions of Rule 10b5-1.</w:t>
      </w:r>
    </w:p>
    <w:p>
      <w:pPr>
        <w:spacing w:after="0" w:line="180"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3"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under the trading plan may not occur until:</w:t>
      </w:r>
    </w:p>
    <w:p>
      <w:pPr>
        <w:spacing w:after="0" w:line="206" w:lineRule="exact"/>
        <w:rPr>
          <w:rFonts w:ascii="Times New Roman" w:cs="Times New Roman" w:eastAsia="Times New Roman" w:hAnsi="Times New Roman"/>
          <w:sz w:val="22"/>
          <w:szCs w:val="22"/>
          <w:color w:val="auto"/>
        </w:rPr>
      </w:pPr>
    </w:p>
    <w:p>
      <w:pPr>
        <w:jc w:val="both"/>
        <w:ind w:left="1500" w:hanging="369"/>
        <w:spacing w:after="0" w:line="239" w:lineRule="auto"/>
        <w:tabs>
          <w:tab w:leader="none" w:pos="150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directors and Section 16 officers of the Company (i.e., all persons listed on Exhibit C of this Policy), the later of (a) 90 calendar days after adoption of the trading plan or (b) two business days following the filing of the Form 10-Q or Form 10-K for the fiscal quarter in which the plan was adopted (but in any event, no more than 120 calendar days after the adoption of the trading plan).</w:t>
      </w:r>
    </w:p>
    <w:p>
      <w:pPr>
        <w:spacing w:after="0" w:line="180"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other persons, 30 calendar days after adoption of the trading plan.</w:t>
      </w:r>
    </w:p>
    <w:p>
      <w:pPr>
        <w:spacing w:after="0" w:line="206"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have a minimum term of one year and a maximum term of two years (measured from the date the plan is effective). There is a limitation of one single-trade plan during any consecutive 12-month period.</w:t>
      </w:r>
    </w:p>
    <w:p>
      <w:pPr>
        <w:spacing w:after="0" w:line="15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cannot overlap with another Rule 10b5-1 trading plan, unless one of the following exceptions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71" w:lineRule="exact"/>
        <w:rPr>
          <w:sz w:val="20"/>
          <w:szCs w:val="20"/>
          <w:color w:val="auto"/>
        </w:rPr>
      </w:pPr>
    </w:p>
    <w:p>
      <w:pPr>
        <w:jc w:val="both"/>
        <w:ind w:left="1118" w:right="20" w:hanging="369"/>
        <w:spacing w:after="0" w:line="239" w:lineRule="auto"/>
        <w:tabs>
          <w:tab w:leader="none" w:pos="11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“sell-to-cover” transactions (i.e., authorizing the sale of securities as necessary to satisfy tax withholding obligations arising exclusively from the vesting of a compensatory award where the insider doesn’t otherwise exercise control over the timing of such sales) are not considered separate plans that count against this prohibition.</w:t>
      </w:r>
    </w:p>
    <w:p>
      <w:pPr>
        <w:spacing w:after="0" w:line="180" w:lineRule="exact"/>
        <w:rPr>
          <w:rFonts w:ascii="Times New Roman" w:cs="Times New Roman" w:eastAsia="Times New Roman" w:hAnsi="Times New Roman"/>
          <w:sz w:val="22"/>
          <w:szCs w:val="22"/>
          <w:color w:val="auto"/>
        </w:rPr>
      </w:pPr>
    </w:p>
    <w:p>
      <w:pPr>
        <w:ind w:left="1118" w:right="20" w:hanging="369"/>
        <w:spacing w:after="0" w:line="258" w:lineRule="auto"/>
        <w:tabs>
          <w:tab w:leader="none" w:pos="11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series of separate contracts with different broker-dealers that effectively function as a single trading plan are not considered overlapping plans.</w:t>
      </w:r>
    </w:p>
    <w:p>
      <w:pPr>
        <w:spacing w:after="0" w:line="158" w:lineRule="exact"/>
        <w:rPr>
          <w:rFonts w:ascii="Times New Roman" w:cs="Times New Roman" w:eastAsia="Times New Roman" w:hAnsi="Times New Roman"/>
          <w:sz w:val="22"/>
          <w:szCs w:val="22"/>
          <w:color w:val="auto"/>
        </w:rPr>
      </w:pPr>
    </w:p>
    <w:p>
      <w:pPr>
        <w:jc w:val="both"/>
        <w:ind w:left="1118" w:hanging="369"/>
        <w:spacing w:after="0" w:line="249" w:lineRule="auto"/>
        <w:tabs>
          <w:tab w:leader="none" w:pos="1118"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Trades under an existing trading plan can continue to run during the cooling-off period for a new trading plan if the following conditions are met: (i) trading under the new trading plan may not begin until after all trades under the existing trading plan are completed or expire without execution, and (ii) the applicable cooling off period under the new trading plan, running from the date of its adoption, has been met;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if the existing trading plan is terminated early (i.e., before its scheduled completion date), then the applicable cooling-off period for the new trading plan must run from the date of the termination of the existing trading plan.</w:t>
      </w:r>
    </w:p>
    <w:p>
      <w:pPr>
        <w:spacing w:after="0" w:line="170" w:lineRule="exact"/>
        <w:rPr>
          <w:rFonts w:ascii="Times New Roman" w:cs="Times New Roman" w:eastAsia="Times New Roman" w:hAnsi="Times New Roman"/>
          <w:sz w:val="21"/>
          <w:szCs w:val="21"/>
          <w:color w:val="auto"/>
        </w:rPr>
      </w:pPr>
    </w:p>
    <w:p>
      <w:pPr>
        <w:ind w:left="378" w:right="20" w:hanging="378"/>
        <w:spacing w:after="0" w:line="284" w:lineRule="auto"/>
        <w:tabs>
          <w:tab w:leader="none" w:pos="437"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Regarding material modifications (where such modifications change the amount, price or timing of the purchase or sale of securities pursuant to the plan, but does not include immaterial modifications):</w:t>
      </w:r>
    </w:p>
    <w:p>
      <w:pPr>
        <w:spacing w:after="0" w:line="22" w:lineRule="exact"/>
        <w:rPr>
          <w:rFonts w:ascii="Times New Roman" w:cs="Times New Roman" w:eastAsia="Times New Roman" w:hAnsi="Times New Roman"/>
          <w:sz w:val="22"/>
          <w:szCs w:val="22"/>
          <w:color w:val="auto"/>
        </w:rPr>
      </w:pPr>
    </w:p>
    <w:p>
      <w:pPr>
        <w:ind w:left="1118" w:hanging="369"/>
        <w:spacing w:after="0"/>
        <w:tabs>
          <w:tab w:leader="none" w:pos="11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may only be modified when the person modifying the trading plan is not aware of MNPI.</w:t>
      </w:r>
    </w:p>
    <w:p>
      <w:pPr>
        <w:spacing w:after="0" w:line="98"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may only be modified when there is no quarterly, special or other blackout in effect with respect to the person modifying the plan.</w:t>
      </w:r>
    </w:p>
    <w:p>
      <w:pPr>
        <w:spacing w:after="0" w:line="50"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under the modified trading plan may only occur in accordance with the cooling off periods noted in item 6 above. The existing plan would remain in effect until the modified plan comes into effect.</w:t>
      </w:r>
    </w:p>
    <w:p>
      <w:pPr>
        <w:spacing w:after="0" w:line="50"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modified trading plan must have a minimum duration of one year and a maximum term of two years (measured from the date the plan is effective).</w:t>
      </w:r>
    </w:p>
    <w:p>
      <w:pPr>
        <w:spacing w:after="0" w:line="158"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only modify a trading plan once in a one-year period.</w:t>
      </w:r>
    </w:p>
    <w:p>
      <w:pPr>
        <w:spacing w:after="0" w:line="206" w:lineRule="exact"/>
        <w:rPr>
          <w:rFonts w:ascii="Times New Roman" w:cs="Times New Roman" w:eastAsia="Times New Roman" w:hAnsi="Times New Roman"/>
          <w:sz w:val="22"/>
          <w:szCs w:val="22"/>
          <w:color w:val="auto"/>
        </w:rPr>
      </w:pPr>
    </w:p>
    <w:p>
      <w:pPr>
        <w:ind w:left="378" w:right="20" w:hanging="378"/>
        <w:spacing w:after="0" w:line="258" w:lineRule="auto"/>
        <w:tabs>
          <w:tab w:leader="none" w:pos="3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that adopted the trading plan terminates the plan prior to its stated duration, he or she may not trade in the Company’s securities until the cooling off periods noted in item 6 above have been met.</w:t>
      </w:r>
    </w:p>
    <w:p>
      <w:pPr>
        <w:spacing w:after="0" w:line="158" w:lineRule="exact"/>
        <w:rPr>
          <w:rFonts w:ascii="Times New Roman" w:cs="Times New Roman" w:eastAsia="Times New Roman" w:hAnsi="Times New Roman"/>
          <w:sz w:val="22"/>
          <w:szCs w:val="22"/>
          <w:color w:val="auto"/>
        </w:rPr>
      </w:pPr>
    </w:p>
    <w:p>
      <w:pPr>
        <w:ind w:left="378" w:hanging="378"/>
        <w:spacing w:after="0" w:line="258" w:lineRule="auto"/>
        <w:tabs>
          <w:tab w:leader="none" w:pos="3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be promptly notified of any modification or termination of the trading plan, including any suspension of trading under the plan.</w:t>
      </w:r>
    </w:p>
    <w:p>
      <w:pPr>
        <w:spacing w:after="0" w:line="158" w:lineRule="exact"/>
        <w:rPr>
          <w:rFonts w:ascii="Times New Roman" w:cs="Times New Roman" w:eastAsia="Times New Roman" w:hAnsi="Times New Roman"/>
          <w:sz w:val="22"/>
          <w:szCs w:val="22"/>
          <w:color w:val="auto"/>
        </w:rPr>
      </w:pPr>
    </w:p>
    <w:p>
      <w:pPr>
        <w:ind w:left="378" w:right="20" w:hanging="378"/>
        <w:spacing w:after="0" w:line="258" w:lineRule="auto"/>
        <w:tabs>
          <w:tab w:leader="none" w:pos="3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trading plan grants discretion to a stockbroker or other person with respect to the execution of trades under the plan:</w:t>
      </w:r>
    </w:p>
    <w:p>
      <w:pPr>
        <w:spacing w:after="0" w:line="50"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trades made under the trading plan must be executed by someone other than the stockbroker or other person that executes trades in other securities for the person adopting the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593725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40" w:right="339" w:bottom="1440" w:gutter="0" w:footer="0" w:header="0"/>
        </w:sectPr>
      </w:pPr>
    </w:p>
    <w:bookmarkStart w:id="114" w:name="page115"/>
    <w:bookmarkEnd w:id="114"/>
    <w:p>
      <w:pPr>
        <w:spacing w:after="0" w:line="63" w:lineRule="exact"/>
        <w:rPr>
          <w:sz w:val="20"/>
          <w:szCs w:val="20"/>
          <w:color w:val="auto"/>
        </w:rPr>
      </w:pPr>
    </w:p>
    <w:p>
      <w:pPr>
        <w:ind w:left="1118" w:hanging="369"/>
        <w:spacing w:after="0" w:line="258" w:lineRule="auto"/>
        <w:tabs>
          <w:tab w:leader="none" w:pos="111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adopting the trading plan may not confer with the person administering the trading plan regarding the Company or its securities; and</w:t>
      </w:r>
    </w:p>
    <w:p>
      <w:pPr>
        <w:spacing w:after="0" w:line="50"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administering the trading plan must provide prompt notice to the Company of the execution of a transaction pursuant to the plan.</w:t>
      </w:r>
    </w:p>
    <w:p>
      <w:pPr>
        <w:spacing w:after="0" w:line="158"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under the trading plan must be in accordance with applicable law.</w:t>
      </w:r>
    </w:p>
    <w:p>
      <w:pPr>
        <w:spacing w:after="0" w:line="202" w:lineRule="exact"/>
        <w:rPr>
          <w:rFonts w:ascii="Times New Roman" w:cs="Times New Roman" w:eastAsia="Times New Roman" w:hAnsi="Times New Roman"/>
          <w:sz w:val="22"/>
          <w:szCs w:val="22"/>
          <w:color w:val="auto"/>
        </w:rPr>
      </w:pPr>
    </w:p>
    <w:p>
      <w:pPr>
        <w:ind w:left="378" w:hanging="378"/>
        <w:spacing w:after="0" w:line="262" w:lineRule="auto"/>
        <w:tabs>
          <w:tab w:leader="none" w:pos="3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trading plan (including any modified trading plan) must meet such other requirements as the </w:t>
      </w: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OFFICER </w:t>
      </w:r>
      <w:r>
        <w:rPr>
          <w:rFonts w:ascii="Times New Roman" w:cs="Times New Roman" w:eastAsia="Times New Roman" w:hAnsi="Times New Roman"/>
          <w:sz w:val="22"/>
          <w:szCs w:val="22"/>
          <w:color w:val="auto"/>
        </w:rPr>
        <w:t>may determine.</w:t>
      </w:r>
    </w:p>
    <w:p>
      <w:pPr>
        <w:spacing w:after="0" w:line="149"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COMPLIANCE OFFICER</w:t>
      </w:r>
      <w:r>
        <w:rPr>
          <w:rFonts w:ascii="Times New Roman" w:cs="Times New Roman" w:eastAsia="Times New Roman" w:hAnsi="Times New Roman"/>
          <w:sz w:val="22"/>
          <w:szCs w:val="22"/>
          <w:color w:val="auto"/>
        </w:rPr>
        <w:t xml:space="preserve"> must approve and keep a copy of each adopted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626745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40" w:right="339" w:bottom="1440" w:gutter="0" w:footer="0" w:header="0"/>
        </w:sectPr>
      </w:pPr>
    </w:p>
    <w:bookmarkStart w:id="115" w:name="page116"/>
    <w:bookmarkEnd w:id="115"/>
    <w:p>
      <w:pPr>
        <w:spacing w:after="0" w:line="2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4275 Executive Square, Suite 650 La Jolla, CA 92037</w:t>
      </w:r>
    </w:p>
    <w:p>
      <w:pPr>
        <w:spacing w:after="0" w:line="207" w:lineRule="exact"/>
        <w:rPr>
          <w:sz w:val="20"/>
          <w:szCs w:val="20"/>
          <w:color w:val="auto"/>
        </w:rPr>
      </w:pPr>
    </w:p>
    <w:p>
      <w:pPr>
        <w:ind w:right="460" w:firstLine="469"/>
        <w:spacing w:after="0" w:line="269" w:lineRule="auto"/>
        <w:rPr>
          <w:sz w:val="20"/>
          <w:szCs w:val="20"/>
          <w:color w:val="auto"/>
        </w:rPr>
      </w:pPr>
      <w:r>
        <w:rPr>
          <w:rFonts w:ascii="Times New Roman" w:cs="Times New Roman" w:eastAsia="Times New Roman" w:hAnsi="Times New Roman"/>
          <w:sz w:val="20"/>
          <w:szCs w:val="20"/>
          <w:color w:val="auto"/>
        </w:rPr>
        <w:t>Re: Certification of the MediciNova, Inc. Statement of Company Policy on Securities Trades by Company Personnel and Confidential Information</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Dear Employee, Board Member, Consultant, Advisor or Contractor to the Company:</w:t>
      </w:r>
    </w:p>
    <w:p>
      <w:pPr>
        <w:spacing w:after="0" w:line="229" w:lineRule="exact"/>
        <w:rPr>
          <w:sz w:val="20"/>
          <w:szCs w:val="20"/>
          <w:color w:val="auto"/>
        </w:rPr>
      </w:pPr>
    </w:p>
    <w:p>
      <w:pPr>
        <w:ind w:right="40" w:firstLine="469"/>
        <w:spacing w:after="0" w:line="254" w:lineRule="auto"/>
        <w:rPr>
          <w:sz w:val="20"/>
          <w:szCs w:val="20"/>
          <w:color w:val="auto"/>
        </w:rPr>
      </w:pPr>
      <w:r>
        <w:rPr>
          <w:rFonts w:ascii="Times New Roman" w:cs="Times New Roman" w:eastAsia="Times New Roman" w:hAnsi="Times New Roman"/>
          <w:sz w:val="20"/>
          <w:szCs w:val="20"/>
          <w:color w:val="auto"/>
        </w:rPr>
        <w:t>Enclosed is a copy of the MediciNova, Inc. Statement of Company Policy covering securities trades by company personnel and designated insiders and safeguarding confidential information. As you will see from the Statement of Company Policy, the consequences of an insider trading violation can be severe to both the individual involved and the Company.</w:t>
      </w:r>
    </w:p>
    <w:p>
      <w:pPr>
        <w:spacing w:after="0" w:line="188" w:lineRule="exact"/>
        <w:rPr>
          <w:sz w:val="20"/>
          <w:szCs w:val="20"/>
          <w:color w:val="auto"/>
        </w:rPr>
      </w:pPr>
    </w:p>
    <w:p>
      <w:pPr>
        <w:ind w:right="20" w:firstLine="469"/>
        <w:spacing w:after="0" w:line="269" w:lineRule="auto"/>
        <w:rPr>
          <w:sz w:val="20"/>
          <w:szCs w:val="20"/>
          <w:color w:val="auto"/>
        </w:rPr>
      </w:pPr>
      <w:r>
        <w:rPr>
          <w:rFonts w:ascii="Times New Roman" w:cs="Times New Roman" w:eastAsia="Times New Roman" w:hAnsi="Times New Roman"/>
          <w:sz w:val="20"/>
          <w:szCs w:val="20"/>
          <w:color w:val="auto"/>
        </w:rPr>
        <w:t>Please take a few minutes now to read the enclosed Statement of Company Policy and then sign and return the attached copy of this letter.</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Yuichi Iwaki</w:t>
      </w:r>
    </w:p>
    <w:p>
      <w:pPr>
        <w:spacing w:after="0" w:line="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President &amp; Chief Executive Officer</w:t>
      </w:r>
    </w:p>
    <w:p>
      <w:pPr>
        <w:spacing w:after="0" w:line="200" w:lineRule="exact"/>
        <w:rPr>
          <w:sz w:val="20"/>
          <w:szCs w:val="20"/>
          <w:color w:val="auto"/>
        </w:rPr>
      </w:pP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ACKNOWLEDGMENT</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20"/>
          <w:szCs w:val="20"/>
          <w:color w:val="auto"/>
        </w:rPr>
        <w:t>The undersigned hereby acknowledges that he/she has read and understands, and agrees to comply with, the Statement of Company Policy covering securities trades by Company personnel and designated insiders and safeguarding confidential information, a copy of which was distributed with this letter.</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-10795</wp:posOffset>
            </wp:positionV>
            <wp:extent cx="6388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638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-10795</wp:posOffset>
            </wp:positionV>
            <wp:extent cx="9594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621665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-24765</wp:posOffset>
            </wp:positionV>
            <wp:extent cx="8934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893445" cy="8255"/>
                    </a:xfrm>
                    <a:prstGeom prst="rect">
                      <a:avLst/>
                    </a:prstGeom>
                    <a:noFill/>
                  </pic:spPr>
                </pic:pic>
              </a:graphicData>
            </a:graphic>
          </wp:anchor>
        </w:drawing>
      </w:r>
    </w:p>
    <w:p>
      <w:pPr>
        <w:sectPr>
          <w:pgSz w:w="11900" w:h="16838" w:orient="portrait"/>
          <w:cols w:equalWidth="0" w:num="1">
            <w:col w:w="10600"/>
          </w:cols>
          <w:pgMar w:left="600" w:top="1440" w:right="699" w:bottom="1440" w:gutter="0" w:footer="0" w:header="0"/>
        </w:sectPr>
      </w:pPr>
    </w:p>
    <w:bookmarkStart w:id="116" w:name="page117"/>
    <w:bookmarkEnd w:id="116"/>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S-1 (No. 333-289801), Form S-­3 (No. 333-291967, 333-252592 and 333-214830) and Form S-8 (No. 333-264938, 333-232239, 333-219491, 333-190490, 333-151808, 333-141694 and 333-122665) of MediciNova, Inc. of our report dated March 10, 2026, relating to the consolidated financial statements, which appears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1407795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7" w:name="page118"/>
    <w:bookmarkEnd w:id="11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117" w:lineRule="exact"/>
        <w:rPr>
          <w:sz w:val="20"/>
          <w:szCs w:val="20"/>
          <w:color w:val="auto"/>
        </w:rPr>
      </w:pPr>
    </w:p>
    <w:p>
      <w:pPr>
        <w:ind w:left="180" w:hanging="172"/>
        <w:spacing w:after="0"/>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MediciNova, Inc.;</w:t>
      </w:r>
    </w:p>
    <w:p>
      <w:pPr>
        <w:spacing w:after="0" w:line="117"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20" w:firstLine="517"/>
        <w:spacing w:after="0" w:line="266" w:lineRule="auto"/>
        <w:tabs>
          <w:tab w:leader="none" w:pos="75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firstLine="517"/>
        <w:spacing w:after="0" w:line="266" w:lineRule="auto"/>
        <w:tabs>
          <w:tab w:leader="none" w:pos="7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720" w:firstLine="517"/>
        <w:spacing w:after="0" w:line="282" w:lineRule="auto"/>
        <w:tabs>
          <w:tab w:leader="none" w:pos="75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180" w:firstLine="517"/>
        <w:spacing w:after="0" w:line="266" w:lineRule="auto"/>
        <w:tabs>
          <w:tab w:leader="none" w:pos="7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5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80" w:firstLine="517"/>
        <w:spacing w:after="0" w:line="282" w:lineRule="auto"/>
        <w:tabs>
          <w:tab w:leader="none" w:pos="7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8" w:name="page119"/>
    <w:bookmarkEnd w:id="11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Kruger, certify that:</w:t>
      </w:r>
    </w:p>
    <w:p>
      <w:pPr>
        <w:spacing w:after="0" w:line="117" w:lineRule="exact"/>
        <w:rPr>
          <w:sz w:val="20"/>
          <w:szCs w:val="20"/>
          <w:color w:val="auto"/>
        </w:rPr>
      </w:pPr>
    </w:p>
    <w:p>
      <w:pPr>
        <w:ind w:left="180" w:hanging="172"/>
        <w:spacing w:after="0"/>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MediciNova, Inc.;</w:t>
      </w:r>
    </w:p>
    <w:p>
      <w:pPr>
        <w:spacing w:after="0" w:line="117"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20" w:firstLine="517"/>
        <w:spacing w:after="0" w:line="266" w:lineRule="auto"/>
        <w:tabs>
          <w:tab w:leader="none" w:pos="7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firstLine="517"/>
        <w:spacing w:after="0" w:line="266" w:lineRule="auto"/>
        <w:tabs>
          <w:tab w:leader="none" w:pos="7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720" w:firstLine="517"/>
        <w:spacing w:after="0" w:line="282" w:lineRule="auto"/>
        <w:tabs>
          <w:tab w:leader="none" w:pos="7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180" w:firstLine="517"/>
        <w:spacing w:after="0" w:line="266" w:lineRule="auto"/>
        <w:tabs>
          <w:tab w:leader="none" w:pos="7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80" w:firstLine="517"/>
        <w:spacing w:after="0" w:line="282" w:lineRule="auto"/>
        <w:tabs>
          <w:tab w:leader="none" w:pos="7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Jason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Jason Kruger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9" w:name="page120"/>
    <w:bookmarkEnd w:id="119"/>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7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MediciNova, Inc. (the “Company”) for the period ended December 31, 2025,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700" w:hanging="183"/>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Yuichi Iwaki</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Yuichi Iwaki, M.D., Ph.D.</w:t>
            </w:r>
          </w:p>
        </w:tc>
      </w:tr>
      <w:tr>
        <w:trPr>
          <w:trHeight w:val="214"/>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9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Annual Report on Form 10-K of MediciNova, Inc. (the “Company”) for the period ended December 31, 2025, as filed with the Securities and Exchange Commission on the date hereof (the “Report”),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Jason Kruger, as Chief Financial Officer of the Company, certify, pursuant to 18 U.S.C. Section 1350, as adopted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my knowledge:</w:t>
      </w:r>
    </w:p>
    <w:p>
      <w:pPr>
        <w:spacing w:after="0" w:line="99" w:lineRule="exact"/>
        <w:rPr>
          <w:sz w:val="20"/>
          <w:szCs w:val="20"/>
          <w:color w:val="auto"/>
        </w:rPr>
      </w:pPr>
    </w:p>
    <w:p>
      <w:pPr>
        <w:ind w:left="700" w:hanging="183"/>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Kruger</w:t>
            </w:r>
          </w:p>
        </w:tc>
      </w:tr>
      <w:tr>
        <w:trPr>
          <w:trHeight w:val="191"/>
        </w:trPr>
        <w:tc>
          <w:tcPr>
            <w:tcW w:w="678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Jason Kruger</w:t>
            </w:r>
          </w:p>
        </w:tc>
      </w:tr>
      <w:tr>
        <w:trPr>
          <w:trHeight w:val="214"/>
        </w:trPr>
        <w:tc>
          <w:tcPr>
            <w:tcW w:w="67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7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9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lvl w:ilvl="1">
      <w:lvlJc w:val="left"/>
      <w:lvlText w:val="o"/>
      <w:numFmt w:val="bullet"/>
      <w:start w:val="1"/>
    </w:lvl>
  </w:abstractNum>
  <w:abstractNum w:abstractNumId="41">
    <w:nsid w:val="5F5E7FD0"/>
    <w:multiLevelType w:val="hybridMultilevel"/>
    <w:lvl w:ilvl="0">
      <w:lvlJc w:val="left"/>
      <w:lvlText w:val="(%1)"/>
      <w:numFmt w:val="lowerRoman"/>
      <w:start w:val="2"/>
    </w:lvl>
  </w:abstractNum>
  <w:abstractNum w:abstractNumId="42">
    <w:nsid w:val="98A3148"/>
    <w:multiLevelType w:val="hybridMultilevel"/>
    <w:lvl w:ilvl="0">
      <w:lvlJc w:val="left"/>
      <w:lvlText w:val="(%1)"/>
      <w:numFmt w:val="decimal"/>
      <w:start w:val="1"/>
    </w:lvl>
  </w:abstractNum>
  <w:abstractNum w:abstractNumId="43">
    <w:nsid w:val="799D0247"/>
    <w:multiLevelType w:val="hybridMultilevel"/>
    <w:lvl w:ilvl="0">
      <w:lvlJc w:val="left"/>
      <w:lvlText w:val="(%1)"/>
      <w:numFmt w:val="decimal"/>
      <w:start w:val="1"/>
    </w:lvl>
  </w:abstractNum>
  <w:abstractNum w:abstractNumId="44">
    <w:nsid w:val="6B94764"/>
    <w:multiLevelType w:val="hybridMultilevel"/>
    <w:lvl w:ilvl="0">
      <w:lvlJc w:val="left"/>
      <w:lvlText w:val="(%1)"/>
      <w:numFmt w:val="lowerLetter"/>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21"/>
    </w:lvl>
  </w:abstractNum>
  <w:abstractNum w:abstractNumId="47">
    <w:nsid w:val="1EBA5D23"/>
    <w:multiLevelType w:val="hybridMultilevel"/>
    <w:lvl w:ilvl="0">
      <w:lvlJc w:val="left"/>
      <w:lvlText w:val="%1"/>
      <w:numFmt w:val="decimal"/>
      <w:start w:val="10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1."/>
      <w:numFmt w:val="decimal"/>
      <w:start w:val="2"/>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1."/>
      <w:numFmt w:val="decimal"/>
      <w:start w:val="3"/>
    </w:lvl>
  </w:abstractNum>
  <w:abstractNum w:abstractNumId="55">
    <w:nsid w:val="11447B73"/>
    <w:multiLevelType w:val="hybridMultilevel"/>
    <w:lvl w:ilvl="0">
      <w:lvlJc w:val="left"/>
      <w:lvlText w:val=" "/>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1."/>
      <w:numFmt w:val="decimal"/>
      <w:start w:val="4"/>
    </w:lvl>
  </w:abstractNum>
  <w:abstractNum w:abstractNumId="58">
    <w:nsid w:val="8F2B15E"/>
    <w:multiLevelType w:val="hybridMultilevel"/>
    <w:lvl w:ilvl="0">
      <w:lvlJc w:val="left"/>
      <w:lvlText w:val="(%1)"/>
      <w:numFmt w:val="lowerLetter"/>
      <w:start w:val="1"/>
    </w:lvl>
  </w:abstractNum>
  <w:abstractNum w:abstractNumId="59">
    <w:nsid w:val="1A32234B"/>
    <w:multiLevelType w:val="hybridMultilevel"/>
    <w:lvl w:ilvl="0">
      <w:lvlJc w:val="left"/>
      <w:lvlText w:val="(%1)"/>
      <w:numFmt w:val="lowerLetter"/>
      <w:start w:val="5"/>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decimal"/>
      <w:start w:val="5"/>
    </w:lvl>
  </w:abstractNum>
  <w:abstractNum w:abstractNumId="63">
    <w:nsid w:val="60B6DF70"/>
    <w:multiLevelType w:val="hybridMultilevel"/>
    <w:lvl w:ilvl="0">
      <w:lvlJc w:val="left"/>
      <w:lvlText w:val="%1."/>
      <w:numFmt w:val="upperLetter"/>
      <w:start w:val="1"/>
    </w:lvl>
  </w:abstractNum>
  <w:abstractNum w:abstractNumId="64">
    <w:nsid w:val="6A5EE64"/>
    <w:multiLevelType w:val="hybridMultilevel"/>
    <w:lvl w:ilvl="0">
      <w:lvlJc w:val="left"/>
      <w:lvlText w:val="(%1)"/>
      <w:numFmt w:val="lowerRoman"/>
      <w:start w:val="3"/>
    </w:lvl>
  </w:abstractNum>
  <w:abstractNum w:abstractNumId="65">
    <w:nsid w:val="14330624"/>
    <w:multiLevelType w:val="hybridMultilevel"/>
    <w:lvl w:ilvl="0">
      <w:lvlJc w:val="left"/>
      <w:lvlText w:val="%1."/>
      <w:numFmt w:val="upperLetter"/>
      <w:start w:val="2"/>
    </w:lvl>
  </w:abstractNum>
  <w:abstractNum w:abstractNumId="66">
    <w:nsid w:val="7FFFCA11"/>
    <w:multiLevelType w:val="hybridMultilevel"/>
    <w:lvl w:ilvl="0">
      <w:lvlJc w:val="left"/>
      <w:lvlText w:val="%1."/>
      <w:numFmt w:val="upperLetter"/>
      <w:start w:val="3"/>
    </w:lvl>
  </w:abstractNum>
  <w:abstractNum w:abstractNumId="67">
    <w:nsid w:val="1A27709E"/>
    <w:multiLevelType w:val="hybridMultilevel"/>
    <w:lvl w:ilvl="0">
      <w:lvlJc w:val="left"/>
      <w:lvlText w:val="%1."/>
      <w:numFmt w:val="upperLetter"/>
      <w:start w:val="4"/>
    </w:lvl>
  </w:abstractNum>
  <w:abstractNum w:abstractNumId="68">
    <w:nsid w:val="71EA1109"/>
    <w:multiLevelType w:val="hybridMultilevel"/>
    <w:lvl w:ilvl="0">
      <w:lvlJc w:val="left"/>
      <w:lvlText w:val="%1."/>
      <w:numFmt w:val="upperLetter"/>
      <w:start w:val="5"/>
    </w:lvl>
  </w:abstractNum>
  <w:abstractNum w:abstractNumId="69">
    <w:nsid w:val="100F59DC"/>
    <w:multiLevelType w:val="hybridMultilevel"/>
    <w:lvl w:ilvl="0">
      <w:lvlJc w:val="left"/>
      <w:lvlText w:val="%1."/>
      <w:numFmt w:val="upperLetter"/>
      <w:start w:val="6"/>
    </w:lvl>
  </w:abstractNum>
  <w:abstractNum w:abstractNumId="70">
    <w:nsid w:val="7FB7E0AA"/>
    <w:multiLevelType w:val="hybridMultilevel"/>
    <w:lvl w:ilvl="0">
      <w:lvlJc w:val="left"/>
      <w:lvlText w:val="%1."/>
      <w:numFmt w:val="upperLetter"/>
      <w:start w:val="7"/>
    </w:lvl>
  </w:abstractNum>
  <w:abstractNum w:abstractNumId="71">
    <w:nsid w:val="6EB5BD4"/>
    <w:multiLevelType w:val="hybridMultilevel"/>
    <w:lvl w:ilvl="0">
      <w:lvlJc w:val="left"/>
      <w:lvlText w:val="%1."/>
      <w:numFmt w:val="decimal"/>
      <w:start w:val="6"/>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emdash "/>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1."/>
      <w:numFmt w:val="decimal"/>
      <w:start w:val="7"/>
    </w:lvl>
  </w:abstractNum>
  <w:abstractNum w:abstractNumId="77">
    <w:nsid w:val="1716703B"/>
    <w:multiLevelType w:val="hybridMultilevel"/>
    <w:lvl w:ilvl="0">
      <w:lvlJc w:val="left"/>
      <w:lvlText w:val="%1."/>
      <w:numFmt w:val="decimal"/>
      <w:start w:val="8"/>
    </w:lvl>
  </w:abstractNum>
  <w:abstractNum w:abstractNumId="78">
    <w:nsid w:val="14E17E33"/>
    <w:multiLevelType w:val="hybridMultilevel"/>
    <w:lvl w:ilvl="0">
      <w:lvlJc w:val="left"/>
      <w:lvlText w:val="%1."/>
      <w:numFmt w:val="decimal"/>
      <w:start w:val="9"/>
    </w:lvl>
  </w:abstractNum>
  <w:abstractNum w:abstractNumId="79">
    <w:nsid w:val="3222E7CD"/>
    <w:multiLevelType w:val="hybridMultilevel"/>
    <w:lvl w:ilvl="0">
      <w:lvlJc w:val="left"/>
      <w:lvlText w:val="%1."/>
      <w:numFmt w:val="decimal"/>
      <w:start w:val="10"/>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1."/>
      <w:numFmt w:val="decimal"/>
      <w:start w:val="2"/>
    </w:lvl>
  </w:abstractNum>
  <w:abstractNum w:abstractNumId="83">
    <w:nsid w:val="46B7D447"/>
    <w:multiLevelType w:val="hybridMultilevel"/>
    <w:lvl w:ilvl="0">
      <w:lvlJc w:val="left"/>
      <w:lvlText w:val="%1."/>
      <w:numFmt w:val="decimal"/>
      <w:start w:val="1"/>
    </w:lvl>
  </w:abstractNum>
  <w:abstractNum w:abstractNumId="84">
    <w:nsid w:val="4A2AC315"/>
    <w:multiLevelType w:val="hybridMultilevel"/>
    <w:lvl w:ilvl="0">
      <w:lvlJc w:val="left"/>
      <w:lvlText w:val="%1."/>
      <w:numFmt w:val="decimal"/>
      <w:start w:val="1"/>
    </w:lvl>
  </w:abstractNum>
  <w:abstractNum w:abstractNumId="85">
    <w:nsid w:val="39EE015C"/>
    <w:multiLevelType w:val="hybridMultilevel"/>
    <w:lvl w:ilvl="0">
      <w:lvlJc w:val="left"/>
      <w:lvlText w:val="%1."/>
      <w:numFmt w:val="decimal"/>
      <w:start w:val="2"/>
    </w:lvl>
  </w:abstractNum>
  <w:abstractNum w:abstractNumId="86">
    <w:nsid w:val="57FC4FBB"/>
    <w:multiLevelType w:val="hybridMultilevel"/>
    <w:lvl w:ilvl="0">
      <w:lvlJc w:val="left"/>
      <w:lvlText w:val="%1."/>
      <w:numFmt w:val="decimal"/>
      <w:start w:val="3"/>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
      <w:numFmt w:val="bullet"/>
      <w:start w:val="1"/>
    </w:lvl>
  </w:abstractNum>
  <w:abstractNum w:abstractNumId="89">
    <w:nsid w:val="60EF0119"/>
    <w:multiLevelType w:val="hybridMultilevel"/>
    <w:lvl w:ilvl="0">
      <w:lvlJc w:val="left"/>
      <w:lvlText w:val="%1."/>
      <w:numFmt w:val="decimal"/>
      <w:start w:val="4"/>
    </w:lvl>
  </w:abstractNum>
  <w:abstractNum w:abstractNumId="90">
    <w:nsid w:val="26F324BA"/>
    <w:multiLevelType w:val="hybridMultilevel"/>
    <w:lvl w:ilvl="0">
      <w:lvlJc w:val="left"/>
      <w:lvlText w:val="%1."/>
      <w:numFmt w:val="decimal"/>
      <w:start w:val="5"/>
    </w:lvl>
  </w:abstractNum>
  <w:abstractNum w:abstractNumId="91">
    <w:nsid w:val="7F01579B"/>
    <w:multiLevelType w:val="hybridMultilevel"/>
    <w:lvl w:ilvl="0">
      <w:lvlJc w:val="left"/>
      <w:lvlText w:val="%1."/>
      <w:numFmt w:val="decimal"/>
      <w:start w:val="1"/>
    </w:lvl>
    <w:lvl w:ilvl="1">
      <w:lvlJc w:val="left"/>
      <w:lvlText w:val="•"/>
      <w:numFmt w:val="bullet"/>
      <w:start w:val="1"/>
    </w:lvl>
  </w:abstractNum>
  <w:abstractNum w:abstractNumId="92">
    <w:nsid w:val="49DA307D"/>
    <w:multiLevelType w:val="hybridMultilevel"/>
    <w:lvl w:ilvl="0">
      <w:lvlJc w:val="left"/>
      <w:lvlText w:val="%1."/>
      <w:numFmt w:val="decimal"/>
      <w:start w:val="8"/>
    </w:lvl>
    <w:lvl w:ilvl="1">
      <w:lvlJc w:val="left"/>
      <w:lvlText w:val="•"/>
      <w:numFmt w:val="bullet"/>
      <w:start w:val="1"/>
    </w:lvl>
  </w:abstractNum>
  <w:abstractNum w:abstractNumId="93">
    <w:nsid w:val="7055A5F5"/>
    <w:multiLevelType w:val="hybridMultilevel"/>
    <w:lvl w:ilvl="0">
      <w:lvlJc w:val="left"/>
      <w:lvlText w:val="%1."/>
      <w:numFmt w:val="decimal"/>
      <w:start w:val="13"/>
    </w:lvl>
    <w:lvl w:ilvl="1">
      <w:lvlJc w:val="left"/>
      <w:lvlText w:val="•"/>
      <w:numFmt w:val="bullet"/>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14" Type="http://schemas.openxmlformats.org/officeDocument/2006/relationships/hyperlink" Target="https://www.sec.gov/Archives/edgar/data/1226616/000119312512347932/d344794dex31.htm" TargetMode="External"/><Relationship Id="rId215" Type="http://schemas.openxmlformats.org/officeDocument/2006/relationships/hyperlink" Target="https://www.sec.gov/Archives/edgar/data/1226616/000119312504164964/dex34.htm" TargetMode="External"/><Relationship Id="rId216" Type="http://schemas.openxmlformats.org/officeDocument/2006/relationships/hyperlink" Target="https://www.sec.gov/Archives/edgar/data/1226616/000119312507033031/dex41.htm" TargetMode="External"/><Relationship Id="rId217" Type="http://schemas.openxmlformats.org/officeDocument/2006/relationships/hyperlink" Target="https://www.sec.gov/Archives/edgar/data/1226616/000119312504164964/dex42.htm" TargetMode="External"/><Relationship Id="rId218" Type="http://schemas.openxmlformats.org/officeDocument/2006/relationships/hyperlink" Target="https://www.sec.gov/Archives/edgar/data/1226616/000156459021006771/mnov-ex4_185.htm" TargetMode="External"/><Relationship Id="rId219" Type="http://schemas.openxmlformats.org/officeDocument/2006/relationships/hyperlink" Target="https://www.sec.gov/Archives/edgar/data/1226616/000119312513132600/d448827dex103.htm" TargetMode="External"/><Relationship Id="rId220" Type="http://schemas.openxmlformats.org/officeDocument/2006/relationships/hyperlink" Target="https://www.sec.gov/Archives/edgar/data/1226616/000119312507053569/ddef14a.htm" TargetMode="External"/><Relationship Id="rId221" Type="http://schemas.openxmlformats.org/officeDocument/2006/relationships/hyperlink" Target="https://www.sec.gov/Archives/edgar/data/1226616/000119312514118744/d652763dex1023.htm" TargetMode="External"/><Relationship Id="rId222" Type="http://schemas.openxmlformats.org/officeDocument/2006/relationships/hyperlink" Target="https://www.sec.gov/Archives/edgar/data/1226616/000156459017014096/mnov-ex101_306.htm" TargetMode="External"/><Relationship Id="rId223" Type="http://schemas.openxmlformats.org/officeDocument/2006/relationships/hyperlink" Target="https://www.sec.gov/Archives/edgar/data/1226616/000119312513433171/d595996dex103.htm" TargetMode="External"/><Relationship Id="rId224" Type="http://schemas.openxmlformats.org/officeDocument/2006/relationships/hyperlink" Target="https://www.sec.gov/Archives/edgar/data/1226616/000119312524011273/d112285dex991.htm" TargetMode="External"/><Relationship Id="rId227" Type="http://schemas.openxmlformats.org/officeDocument/2006/relationships/hyperlink" Target="https://www.sec.gov/Archives/edgar/data/1226616/000119312507074153/dex101.htm" TargetMode="External"/><Relationship Id="rId228" Type="http://schemas.openxmlformats.org/officeDocument/2006/relationships/hyperlink" Target="https://www.sec.gov/Archives/edgar/data/1226616/000119312511001216/dex101.htm" TargetMode="External"/><Relationship Id="rId229" Type="http://schemas.openxmlformats.org/officeDocument/2006/relationships/hyperlink" Target="https://www.sec.gov/Archives/edgar/data/1226616/000119312514308545/d745670dex102.htm" TargetMode="External"/><Relationship Id="rId230" Type="http://schemas.openxmlformats.org/officeDocument/2006/relationships/hyperlink" Target="https://www.sec.gov/Archives/edgar/data/1226616/000119312514308545/d745670dex104.htm" TargetMode="External"/><Relationship Id="rId231" Type="http://schemas.openxmlformats.org/officeDocument/2006/relationships/hyperlink" Target="https://www.sec.gov/Archives/edgar/data/1226616/000119312514308545/d745670dex105.htm" TargetMode="External"/><Relationship Id="rId232" Type="http://schemas.openxmlformats.org/officeDocument/2006/relationships/hyperlink" Target="https://www.sec.gov/Archives/edgar/data/1226616/000095017024094092/mnov-ex10_1.htm" TargetMode="External"/><Relationship Id="rId233" Type="http://schemas.openxmlformats.org/officeDocument/2006/relationships/hyperlink" Target="https://www.sec.gov/Archives/edgar/data/0001226616/000119312521222985/d159893dex991.htm" TargetMode="External"/><Relationship Id="rId234" Type="http://schemas.openxmlformats.org/officeDocument/2006/relationships/hyperlink" Target="https://www.sec.gov/Archives/edgar/data/932903/000114544306000811/d18787ex10-58.htm" TargetMode="External"/><Relationship Id="rId235" Type="http://schemas.openxmlformats.org/officeDocument/2006/relationships/hyperlink" Target="https://www.sec.gov/Archives/edgar/data/0001226616/000119312521006833/d931163dex101.htm" TargetMode="External"/><Relationship Id="rId236" Type="http://schemas.openxmlformats.org/officeDocument/2006/relationships/hyperlink" Target="https://www.sec.gov/Archives/edgar/data/0001226616/000119312521006833/d931163dex102.htm" TargetMode="External"/><Relationship Id="rId237" Type="http://schemas.openxmlformats.org/officeDocument/2006/relationships/hyperlink" Target="https://www.sec.gov/Archives/edgar/data/0001226616/000119312521233293/d211886dex991.htm" TargetMode="External"/><Relationship Id="rId238" Type="http://schemas.openxmlformats.org/officeDocument/2006/relationships/hyperlink" Target="https://www.sec.gov/Archives/edgar/data/1226616/000119312525170744/d84145dex101.htm" TargetMode="External"/><Relationship Id="rId239" Type="http://schemas.openxmlformats.org/officeDocument/2006/relationships/hyperlink" Target="https://www.sec.gov/Archives/edgar/data/1226616/000119312525335917/d25180dex11.htm" TargetMode="External"/><Relationship Id="rId240" Type="http://schemas.openxmlformats.org/officeDocument/2006/relationships/hyperlink" Target="https://www.sec.gov/Archives/edgar/data/1226616/000095017023010297/mnov-ex21.htm" TargetMode="External"/><Relationship Id="rId245" Type="http://schemas.openxmlformats.org/officeDocument/2006/relationships/hyperlink" Target="https://www.sec.gov/Archives/edgar/data/1226616/000095017024015920/mnov-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2026-03-10T16:46:53Z</dcterms:created>
  <dcterms:modified xsi:type="dcterms:W3CDTF">2026-03-10T16:46:53Z</dcterms:modified>
</cp:coreProperties>
</file>