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sz w:val="24"/>
          <w:szCs w:val="24"/>
          <w:color w:val="auto"/>
        </w:rPr>
      </w:pPr>
    </w:p>
    <w:p>
      <w:pPr>
        <w:ind w:left="4180"/>
        <w:spacing w:after="0"/>
        <w:tabs>
          <w:tab w:leader="none" w:pos="64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41275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MEDICINOVA,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4"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7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(State or Other Jurisdiction of</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jc w:val="center"/>
              <w:ind w:right="81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ind w:right="83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195"/>
        </w:trPr>
        <w:tc>
          <w:tcPr>
            <w:tcW w:w="6820" w:type="dxa"/>
            <w:vAlign w:val="bottom"/>
            <w:gridSpan w:val="7"/>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4275 Executive Square, Suite 300, La Jolla, CA</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92037</w:t>
            </w:r>
          </w:p>
        </w:tc>
        <w:tc>
          <w:tcPr>
            <w:tcW w:w="0" w:type="dxa"/>
            <w:vAlign w:val="bottom"/>
          </w:tcPr>
          <w:p>
            <w:pPr>
              <w:spacing w:after="0"/>
              <w:rPr>
                <w:sz w:val="1"/>
                <w:szCs w:val="1"/>
                <w:color w:val="auto"/>
              </w:rPr>
            </w:pPr>
          </w:p>
        </w:tc>
      </w:tr>
      <w:tr>
        <w:trPr>
          <w:trHeight w:val="142"/>
        </w:trPr>
        <w:tc>
          <w:tcPr>
            <w:tcW w:w="6820" w:type="dxa"/>
            <w:vAlign w:val="bottom"/>
            <w:gridSpan w:val="7"/>
          </w:tcPr>
          <w:p>
            <w:pPr>
              <w:jc w:val="center"/>
              <w:ind w:right="228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ind w:right="81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gridSpan w:val="4"/>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(858) 373-1500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0" w:type="dxa"/>
            <w:vAlign w:val="bottom"/>
            <w:gridSpan w:val="3"/>
          </w:tcPr>
          <w:p>
            <w:pPr>
              <w:jc w:val="center"/>
              <w:ind w:left="12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3"/>
                <w:szCs w:val="13"/>
                <w:color w:val="auto"/>
              </w:rPr>
            </w:pPr>
          </w:p>
        </w:tc>
        <w:tc>
          <w:tcPr>
            <w:tcW w:w="3600" w:type="dxa"/>
            <w:vAlign w:val="bottom"/>
            <w:gridSpan w:val="3"/>
          </w:tcPr>
          <w:p>
            <w:pPr>
              <w:jc w:val="center"/>
              <w:ind w:left="12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0.001 per share</w:t>
            </w: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80" w:type="dxa"/>
            <w:vAlign w:val="bottom"/>
            <w:gridSpan w:val="2"/>
          </w:tcPr>
          <w:p>
            <w:pPr>
              <w:ind w:left="600"/>
              <w:spacing w:after="0" w:line="158" w:lineRule="exact"/>
              <w:rPr>
                <w:sz w:val="20"/>
                <w:szCs w:val="20"/>
                <w:color w:val="auto"/>
              </w:rPr>
            </w:pPr>
            <w:r>
              <w:rPr>
                <w:rFonts w:ascii="Times New Roman" w:cs="Times New Roman" w:eastAsia="Times New Roman" w:hAnsi="Times New Roman"/>
                <w:sz w:val="14"/>
                <w:szCs w:val="14"/>
                <w:color w:val="auto"/>
              </w:rPr>
              <w:t>Common Stock, par value $</w:t>
            </w: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80" w:type="dxa"/>
            <w:vAlign w:val="bottom"/>
            <w:gridSpan w:val="2"/>
          </w:tcPr>
          <w:p>
            <w:pPr>
              <w:jc w:val="center"/>
              <w:ind w:right="1320"/>
              <w:spacing w:after="0" w:line="158" w:lineRule="exact"/>
              <w:rPr>
                <w:sz w:val="20"/>
                <w:szCs w:val="20"/>
                <w:color w:val="auto"/>
              </w:rPr>
            </w:pPr>
            <w:r>
              <w:rPr>
                <w:rFonts w:ascii="Times New Roman" w:cs="Times New Roman" w:eastAsia="Times New Roman" w:hAnsi="Times New Roman"/>
                <w:sz w:val="14"/>
                <w:szCs w:val="14"/>
                <w:color w:val="auto"/>
              </w:rPr>
              <w:t>MNOV</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c>
          <w:tcPr>
            <w:tcW w:w="20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vMerge w:val="continue"/>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0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20" w:firstLine="509"/>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approximately $68,589,096 based on the closing price of the registrant’s common stock on the Nasdaq Global Market of $1.44 per share on June 28, 2024. Shares of common stock held by each executive officer and director and each affiliated entity has been excluded from this calculation. This determination of affiliate status may not be conclusive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$0.001 per share, as of February 17, 2025 was 49,046,246.</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46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pursuant to Regulation 14A in connection with the registrant’s 2025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MEDICINOVA, INC.</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tcPr>
          <w:p>
            <w:pPr>
              <w:jc w:val="right"/>
              <w:ind w:right="211"/>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ind w:right="171"/>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tcPr>
          <w:p>
            <w:pPr>
              <w:jc w:val="center"/>
              <w:ind w:left="11"/>
              <w:spacing w:after="0" w:line="194"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center"/>
              <w:ind w:left="11"/>
              <w:spacing w:after="0" w:line="194"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8"/>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8"/>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80" w:type="dxa"/>
            <w:vAlign w:val="bottom"/>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80" w:type="dxa"/>
            <w:vAlign w:val="bottom"/>
          </w:tcPr>
          <w:p>
            <w:pPr>
              <w:jc w:val="center"/>
              <w:ind w:left="11"/>
              <w:spacing w:after="0" w:line="194" w:lineRule="exact"/>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2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MediciNova logo is a registered trademark of MediciNova, Inc. All other product and company names are registered trademarks or trademarks of their respective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ind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74" w:lineRule="exact"/>
        <w:rPr>
          <w:sz w:val="20"/>
          <w:szCs w:val="20"/>
          <w:color w:val="auto"/>
        </w:rPr>
      </w:pPr>
    </w:p>
    <w:p>
      <w:pPr>
        <w:jc w:val="both"/>
        <w:ind w:firstLine="710"/>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239"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238" w:lineRule="exact"/>
        <w:rPr>
          <w:rFonts w:ascii="Times New Roman" w:cs="Times New Roman" w:eastAsia="Times New Roman" w:hAnsi="Times New Roman"/>
          <w:sz w:val="18"/>
          <w:szCs w:val="18"/>
          <w:color w:val="auto"/>
        </w:rPr>
      </w:pPr>
    </w:p>
    <w:p>
      <w:pPr>
        <w:ind w:left="1320" w:right="50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United States Food and Drug Administration (FDA) or foreign regulatory approval for our product candidates in a timely manner;</w:t>
      </w:r>
    </w:p>
    <w:p>
      <w:pPr>
        <w:spacing w:after="0" w:line="188" w:lineRule="exact"/>
        <w:rPr>
          <w:rFonts w:ascii="Times New Roman" w:cs="Times New Roman" w:eastAsia="Times New Roman" w:hAnsi="Times New Roman"/>
          <w:sz w:val="18"/>
          <w:szCs w:val="18"/>
          <w:color w:val="auto"/>
        </w:rPr>
      </w:pPr>
    </w:p>
    <w:p>
      <w:pPr>
        <w:ind w:left="1320" w:right="10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238" w:lineRule="exact"/>
        <w:rPr>
          <w:rFonts w:ascii="Times New Roman" w:cs="Times New Roman" w:eastAsia="Times New Roman" w:hAnsi="Times New Roman"/>
          <w:sz w:val="18"/>
          <w:szCs w:val="18"/>
          <w:color w:val="auto"/>
        </w:rPr>
      </w:pPr>
    </w:p>
    <w:p>
      <w:pPr>
        <w:ind w:left="1320" w:right="26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“MediciNova,” “we,” “us” and “our” refer to MediciNova,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Item 1A below and you should read this summary together with those more detailed descriptions.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principal risks and uncertainties relate to, among other things: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our Industry:</w:t>
      </w:r>
    </w:p>
    <w:p>
      <w:pPr>
        <w:spacing w:after="0" w:line="24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operating losses we have incurred and expect to incur for the foreseeable future;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operations;</w:t>
      </w:r>
    </w:p>
    <w:p>
      <w:pPr>
        <w:spacing w:after="0" w:line="23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products that are approved for commercial sale and do not expect to generate any revenues from product sales for the foreseeable future, if ever;</w:t>
      </w:r>
    </w:p>
    <w:p>
      <w:pPr>
        <w:spacing w:after="0" w:line="175"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8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uncertainty relating to progressing product candidates through the various stages of clinical trials and obtaining regulatory approval;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line="207" w:lineRule="exact"/>
        <w:rPr>
          <w:sz w:val="20"/>
          <w:szCs w:val="20"/>
          <w:color w:val="auto"/>
        </w:rPr>
      </w:pPr>
    </w:p>
    <w:p>
      <w:pPr>
        <w:ind w:left="380" w:right="26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attempts to develop MN-001 (tipelukast) in NASH (as defined below) and NAFLD (as defined below) may detract from our efforts to develop other product candidates;</w:t>
      </w:r>
    </w:p>
    <w:p>
      <w:pPr>
        <w:spacing w:after="0" w:line="18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high cost and uncertainty of obtaining regulatory approval;</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stringent regulation of our product candidates;</w:t>
      </w:r>
    </w:p>
    <w:p>
      <w:pPr>
        <w:spacing w:after="0" w:line="238"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 and regulatory difficulties even if we are successful in receiving regulatory approval of one or more of our product candidates;</w:t>
      </w:r>
    </w:p>
    <w:p>
      <w:pPr>
        <w:spacing w:after="0" w:line="188" w:lineRule="exact"/>
        <w:rPr>
          <w:rFonts w:ascii="Times New Roman" w:cs="Times New Roman" w:eastAsia="Times New Roman" w:hAnsi="Times New Roman"/>
          <w:sz w:val="18"/>
          <w:szCs w:val="18"/>
          <w:color w:val="auto"/>
        </w:rPr>
      </w:pPr>
    </w:p>
    <w:p>
      <w:pPr>
        <w:ind w:left="380" w:right="94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of any product candidate experienced during clinical trials could delay or prevent regulatory approval or commercialization or limit its commercial potential;</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completion of clinical trials, or suspension or termination of our clinical trials;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rights to develop and market any of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or any other public health crisis on our business and operations;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strategic collaborations with third parties to develop and commercialize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manufacturers to produce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third party manufacturer's ability to manufacture our product candidates in commercial quantities;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availability of materials necessary to manufacture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among physicians, patients and the medical community of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users of our products to obtain adequate coverage of and reimbursement for our products from government and other third party payers;</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motivate and attract key personnel;</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marketing and distribution capabilities;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adversely affect our business;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700" w:top="1440" w:right="639" w:bottom="1440" w:gutter="0" w:footer="0" w:header="0"/>
        </w:sectPr>
      </w:pPr>
    </w:p>
    <w:bookmarkStart w:id="5" w:name="page6"/>
    <w:bookmarkEnd w:id="5"/>
    <w:p>
      <w:pPr>
        <w:spacing w:after="0" w:line="20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product liability lawsuits against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our results of operations;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attention required to operate as a public company;</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systems failures, network disruptions, breaches in data security and computer crime and cyber-attacks;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operating our business and marketing our products internationally.</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depends on the adequate protection of our proprietary rights;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disclosure of our trade secrets and other proprietary information; and</w:t>
      </w:r>
    </w:p>
    <w:p>
      <w:pPr>
        <w:spacing w:after="0" w:line="252"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uncertainties of any dispute concerning the infringement or misappropriation of our proprietary rights or the proprietary rights of others, including trade secrets.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the Securities Markets and Investments in Our Common Stock:</w:t>
      </w:r>
    </w:p>
    <w:p>
      <w:pPr>
        <w:spacing w:after="0" w:line="24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delisting of our common stock on the Nasdaq Global Market or the Standard Market of the Tokyo Stock Exchange;</w:t>
      </w:r>
    </w:p>
    <w:p>
      <w:pPr>
        <w:spacing w:after="0" w:line="238"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substantial dilution to our existing stockholders and/or the decline in price of our common stock if we were to sell additional shares of our common stock, including under our existing at-the-market issuance sales agreement;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distraction if we were to face securities class action litigation; and</w:t>
      </w:r>
    </w:p>
    <w:p>
      <w:pPr>
        <w:spacing w:after="0" w:line="25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anti-takeover provisions in our charter documents and under Delaware law may make it difficult for third parties to acquire us or remove and replace our directors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metabolic disorders such as nonalcoholic fatty liver disease (NAFLD) and hypertriglycedemia.</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Multiple Sclerosis:</w:t>
      </w:r>
    </w:p>
    <w:p>
      <w:pPr>
        <w:spacing w:after="0" w:line="119" w:lineRule="exact"/>
        <w:rPr>
          <w:sz w:val="20"/>
          <w:szCs w:val="20"/>
          <w:color w:val="auto"/>
        </w:rPr>
      </w:pPr>
    </w:p>
    <w:p>
      <w:pPr>
        <w:ind w:right="500" w:firstLine="572"/>
        <w:spacing w:after="0" w:line="312" w:lineRule="auto"/>
        <w:rPr>
          <w:sz w:val="20"/>
          <w:szCs w:val="20"/>
          <w:color w:val="auto"/>
        </w:rPr>
      </w:pPr>
      <w:r>
        <w:rPr>
          <w:rFonts w:ascii="Times New Roman" w:cs="Times New Roman" w:eastAsia="Times New Roman" w:hAnsi="Times New Roman"/>
          <w:sz w:val="17"/>
          <w:szCs w:val="17"/>
          <w:color w:val="auto"/>
        </w:rPr>
        <w:t>We completed a Phase 2b clinical trial of MN-166 (ibudilast) for the treatment of relapsing MS, in which positive safety and neuroprotective efficacy indicators were observed. The data from this trial indicated that MN-166 (ibudilast) may have potential in the treatment of progressive MS.</w:t>
      </w:r>
    </w:p>
    <w:p>
      <w:pPr>
        <w:spacing w:after="0" w:line="99"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magnetic resonance imaging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Expanded Disability Status Scale (EDSS).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In July 2021, we received a Notice of Allowance from the U.S. Patent and Trademark Office (USPTO) for a new patent which covers MN-166 (ibudilast) for the treatment of an ophthalmic disease/disorder or injury associated with a neurodegenerative disease/disorder or a neuro-ophthalmologic disorder.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FDA has granted Fast Track designation for the development of MN-166 (ibudilast) for the treatment of patients with progressive 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Amyotrophic Lateral Sclerosis:</w:t>
      </w:r>
    </w:p>
    <w:p>
      <w:pPr>
        <w:spacing w:after="0" w:line="119" w:lineRule="exact"/>
        <w:rPr>
          <w:sz w:val="20"/>
          <w:szCs w:val="20"/>
          <w:color w:val="auto"/>
        </w:rPr>
      </w:pPr>
    </w:p>
    <w:p>
      <w:pPr>
        <w:ind w:right="140" w:firstLine="683"/>
        <w:spacing w:after="0" w:line="253" w:lineRule="auto"/>
        <w:rPr>
          <w:sz w:val="20"/>
          <w:szCs w:val="20"/>
          <w:color w:val="auto"/>
        </w:rPr>
      </w:pPr>
      <w:r>
        <w:rPr>
          <w:rFonts w:ascii="Times New Roman" w:cs="Times New Roman" w:eastAsia="Times New Roman" w:hAnsi="Times New Roman"/>
          <w:sz w:val="18"/>
          <w:szCs w:val="18"/>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USPTO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 ALS was presented at the 30th</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International Symposium on amyotrophic lateral sclerosis/motor neuron disease (ALS/MND) in Perth, Australia. In December 2021, we announced that a poster with an overview of our ongoing Phase 2b/3 clinical trial of MN-166 (ibudilast) in ALS was presented at the 32nd International Symposium on ALS/MND. In December 2024, a study update and interim analysis of phase 2/3 clinical data of MN-166 (ibudilast) in the COMBAT-ALS trial was presented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ALS/MND at Montreal, Canada.</w:t>
      </w:r>
    </w:p>
    <w:p>
      <w:pPr>
        <w:spacing w:after="0" w:line="63" w:lineRule="exact"/>
        <w:rPr>
          <w:sz w:val="20"/>
          <w:szCs w:val="20"/>
          <w:color w:val="auto"/>
        </w:rPr>
      </w:pPr>
    </w:p>
    <w:p>
      <w:pPr>
        <w:ind w:firstLine="572"/>
        <w:spacing w:after="0" w:line="266" w:lineRule="auto"/>
        <w:rPr>
          <w:sz w:val="20"/>
          <w:szCs w:val="20"/>
          <w:color w:val="auto"/>
        </w:rPr>
      </w:pPr>
      <w:r>
        <w:rPr>
          <w:rFonts w:ascii="Times New Roman" w:cs="Times New Roman" w:eastAsia="Times New Roman" w:hAnsi="Times New Roman"/>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Substance Dependence and Addiction:</w:t>
      </w:r>
    </w:p>
    <w:p>
      <w:pPr>
        <w:spacing w:after="0" w:line="119" w:lineRule="exact"/>
        <w:rPr>
          <w:sz w:val="20"/>
          <w:szCs w:val="20"/>
          <w:color w:val="auto"/>
        </w:rPr>
      </w:pPr>
    </w:p>
    <w:p>
      <w:pPr>
        <w:ind w:right="120" w:firstLine="572"/>
        <w:spacing w:after="0" w:line="282" w:lineRule="auto"/>
        <w:rPr>
          <w:sz w:val="20"/>
          <w:szCs w:val="20"/>
          <w:color w:val="auto"/>
        </w:rPr>
      </w:pPr>
      <w:r>
        <w:rPr>
          <w:rFonts w:ascii="Times New Roman" w:cs="Times New Roman" w:eastAsia="Times New Roman" w:hAnsi="Times New Roman"/>
          <w:sz w:val="18"/>
          <w:szCs w:val="18"/>
          <w:color w:val="auto"/>
        </w:rPr>
        <w:t>In November 2017, we announced a collaboration with Oregon Health &amp; Science University to initiate a biomarker study for evaluating MN-166 (ibudilast) in methamphetamine use disorder and this trial is ongoing.</w:t>
      </w:r>
    </w:p>
    <w:p>
      <w:pPr>
        <w:spacing w:after="0" w:line="135" w:lineRule="exact"/>
        <w:rPr>
          <w:sz w:val="20"/>
          <w:szCs w:val="20"/>
          <w:color w:val="auto"/>
        </w:rPr>
      </w:pPr>
    </w:p>
    <w:p>
      <w:pPr>
        <w:ind w:right="20" w:firstLine="572"/>
        <w:spacing w:after="0" w:line="258" w:lineRule="auto"/>
        <w:rPr>
          <w:sz w:val="20"/>
          <w:szCs w:val="20"/>
          <w:color w:val="auto"/>
        </w:rPr>
      </w:pPr>
      <w:r>
        <w:rPr>
          <w:rFonts w:ascii="Times New Roman" w:cs="Times New Roman" w:eastAsia="Times New Roman" w:hAnsi="Times New Roman"/>
          <w:sz w:val="18"/>
          <w:szCs w:val="18"/>
          <w:color w:val="auto"/>
        </w:rPr>
        <w:t>Investigators at Columbia University and the New York State Psychiatric Institute (NYSPI) previously completed a Phase 1b/2a clinical trial of MN-166 (ibudilast) in opioid withdrawal that was funded by National Institute Drug Abuse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43" w:lineRule="exact"/>
        <w:rPr>
          <w:sz w:val="20"/>
          <w:szCs w:val="20"/>
          <w:color w:val="auto"/>
        </w:rPr>
      </w:pPr>
    </w:p>
    <w:p>
      <w:pPr>
        <w:ind w:right="60" w:firstLine="572"/>
        <w:spacing w:after="0" w:line="252" w:lineRule="auto"/>
        <w:rPr>
          <w:sz w:val="20"/>
          <w:szCs w:val="20"/>
          <w:color w:val="auto"/>
        </w:rPr>
      </w:pPr>
      <w:r>
        <w:rPr>
          <w:rFonts w:ascii="Times New Roman" w:cs="Times New Roman" w:eastAsia="Times New Roman" w:hAnsi="Times New Roman"/>
          <w:sz w:val="18"/>
          <w:szCs w:val="18"/>
          <w:color w:val="auto"/>
        </w:rPr>
        <w:t xml:space="preserve">Researchers at University of California, Los Angeles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Results from this clinical trial were published in June 2021 in Nature’s </w:t>
      </w:r>
      <w:r>
        <w:rPr>
          <w:rFonts w:ascii="Times New Roman" w:cs="Times New Roman" w:eastAsia="Times New Roman" w:hAnsi="Times New Roman"/>
          <w:sz w:val="18"/>
          <w:szCs w:val="18"/>
          <w:i w:val="1"/>
          <w:iCs w:val="1"/>
          <w:color w:val="auto"/>
        </w:rPr>
        <w:t>Translational Psychiatry.</w:t>
      </w:r>
      <w:r>
        <w:rPr>
          <w:rFonts w:ascii="Times New Roman" w:cs="Times New Roman" w:eastAsia="Times New Roman" w:hAnsi="Times New Roman"/>
          <w:sz w:val="18"/>
          <w:szCs w:val="18"/>
          <w:color w:val="auto"/>
        </w:rPr>
        <w:t xml:space="preserve"> In August 2018, we announced a new NIAAA-funded Phase 2b clinical trial of MN-166 (ibudilast) to evaluate heavy drinking days in subjects with alcohol dependence in collaboration with researchers at UCLA and this trial has been completed. In February 2022, we announced that MN-166 (ibudilast) was discussed as one of the promising pharmacological agents for the treatment of alcohol use disorder in the journal </w:t>
      </w:r>
      <w:r>
        <w:rPr>
          <w:rFonts w:ascii="Times New Roman" w:cs="Times New Roman" w:eastAsia="Times New Roman" w:hAnsi="Times New Roman"/>
          <w:sz w:val="18"/>
          <w:szCs w:val="18"/>
          <w:i w:val="1"/>
          <w:iCs w:val="1"/>
          <w:color w:val="auto"/>
        </w:rPr>
        <w:t>Drugs</w:t>
      </w:r>
      <w:r>
        <w:rPr>
          <w:rFonts w:ascii="Times New Roman" w:cs="Times New Roman" w:eastAsia="Times New Roman" w:hAnsi="Times New Roman"/>
          <w:sz w:val="18"/>
          <w:szCs w:val="18"/>
          <w:color w:val="auto"/>
        </w:rPr>
        <w:t xml:space="preserve">. In April 2022, we announced that a secondary analysis of a Phase 2 clinical trial of MN-166 (ibudilast) in alcohol use disorder was published in the journal </w:t>
      </w:r>
      <w:r>
        <w:rPr>
          <w:rFonts w:ascii="Times New Roman" w:cs="Times New Roman" w:eastAsia="Times New Roman" w:hAnsi="Times New Roman"/>
          <w:sz w:val="18"/>
          <w:szCs w:val="18"/>
          <w:i w:val="1"/>
          <w:iCs w:val="1"/>
          <w:color w:val="auto"/>
        </w:rPr>
        <w:t>Alcoholism: Clinical and Experimental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w:t>
      </w:r>
      <w:r>
        <w:rPr>
          <w:rFonts w:ascii="Times New Roman" w:cs="Times New Roman" w:eastAsia="Times New Roman" w:hAnsi="Times New Roman"/>
          <w:sz w:val="18"/>
          <w:szCs w:val="18"/>
          <w:color w:val="auto"/>
        </w:rPr>
        <w:t>. In December 2022, we announced that positive results from a secondary analysis of a Phase 2 trial of MN-166 (ibudilast) in alcohol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disorder were published in </w:t>
      </w:r>
      <w:r>
        <w:rPr>
          <w:rFonts w:ascii="Times New Roman" w:cs="Times New Roman" w:eastAsia="Times New Roman" w:hAnsi="Times New Roman"/>
          <w:sz w:val="18"/>
          <w:szCs w:val="18"/>
          <w:i w:val="1"/>
          <w:iCs w:val="1"/>
          <w:color w:val="auto"/>
        </w:rPr>
        <w:t>The American Journal of Drug and Alcohol Abuse</w:t>
      </w:r>
      <w:r>
        <w:rPr>
          <w:rFonts w:ascii="Times New Roman" w:cs="Times New Roman" w:eastAsia="Times New Roman" w:hAnsi="Times New Roman"/>
          <w:sz w:val="18"/>
          <w:szCs w:val="18"/>
          <w:color w:val="auto"/>
        </w:rPr>
        <w:t>. In January 2023, we announced that the Phase 2b clinical trial of MN-166 (ibudilast) for the treatment of alcohol use disorder had completed enrollment. In June 2023, we announced results of the Phase 2b clinical trial of MN-166 (ibudilast) in alcohol use disorder which were presented at the 46th Annual Research Society on Alcoholism (RSA) Scientific Meeting.</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spacing w:after="0" w:line="151" w:lineRule="exact"/>
        <w:rPr>
          <w:sz w:val="20"/>
          <w:szCs w:val="20"/>
          <w:color w:val="auto"/>
        </w:rPr>
      </w:pPr>
    </w:p>
    <w:p>
      <w:pPr>
        <w:ind w:right="660" w:firstLine="5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Chemotherapy-Induced Peripheral Neuropathy: </w:t>
      </w:r>
      <w:r>
        <w:rPr>
          <w:rFonts w:ascii="Times New Roman" w:cs="Times New Roman" w:eastAsia="Times New Roman" w:hAnsi="Times New Roman"/>
          <w:sz w:val="18"/>
          <w:szCs w:val="18"/>
          <w:color w:val="auto"/>
        </w:rPr>
        <w:t>In March 2018, we announced plans to initiate a clinical trial to evaluate MN-166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Times New Roman" w:cs="Times New Roman" w:eastAsia="Times New Roman" w:hAnsi="Times New Roman"/>
          <w:sz w:val="18"/>
          <w:szCs w:val="18"/>
          <w:i w:val="1"/>
          <w:iCs w:val="1"/>
          <w:color w:val="auto"/>
        </w:rPr>
        <w:t>Cancer Chemotherapy and Pharmacology</w:t>
      </w:r>
      <w:r>
        <w:rPr>
          <w:rFonts w:ascii="Times New Roman" w:cs="Times New Roman" w:eastAsia="Times New Roman" w:hAnsi="Times New Roman"/>
          <w:sz w:val="18"/>
          <w:szCs w:val="18"/>
          <w:color w:val="auto"/>
        </w:rPr>
        <w:t>. In October 2020, we announced plans to initiate a multi-center, placebo-controlled, randomized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2b trial to evaluate MN-166 (ibudilast) in CIPN, which is funded by the Australasian Gastro-Intestinal Trials Group (AGITG), and this trial is ongoing.</w:t>
      </w:r>
    </w:p>
    <w:p>
      <w:pPr>
        <w:spacing w:after="0" w:line="155" w:lineRule="exact"/>
        <w:rPr>
          <w:sz w:val="20"/>
          <w:szCs w:val="20"/>
          <w:color w:val="auto"/>
        </w:rPr>
      </w:pPr>
    </w:p>
    <w:p>
      <w:pPr>
        <w:ind w:right="140" w:firstLine="5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In August 2018, we announced plans to initiate a clinical trial of MN-166 (ibudilast) in degenerative cervical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We have initiated clinical development to evaluate MN-166 (ibudilast) for the treatment of glioblastoma. In June 2017,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In June 2020, we announced that positive preclinical findings were published in </w:t>
      </w:r>
      <w:r>
        <w:rPr>
          <w:rFonts w:ascii="Times New Roman" w:cs="Times New Roman" w:eastAsia="Times New Roman" w:hAnsi="Times New Roman"/>
          <w:sz w:val="18"/>
          <w:szCs w:val="18"/>
          <w:i w:val="1"/>
          <w:iCs w:val="1"/>
          <w:color w:val="auto"/>
        </w:rPr>
        <w:t xml:space="preserve">Frontiers in Immunology </w:t>
      </w:r>
      <w:r>
        <w:rPr>
          <w:rFonts w:ascii="Times New Roman" w:cs="Times New Roman" w:eastAsia="Times New Roman" w:hAnsi="Times New Roman"/>
          <w:sz w:val="18"/>
          <w:szCs w:val="18"/>
          <w:color w:val="auto"/>
        </w:rPr>
        <w:t>regarding the prospect of MN-166 (ibudilast) as an adjunctive treatment for glioblastoma. In August 2021, we announced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the subjects were progression-free at six months. In April 2022, we announced that data demonstrating that MN-166 (ibudilast) prevents metastasis in a uveal melanoma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Society for Brain Mapping and Therapeutics (SBMT). In November 2023, we announced new data and results of the Phase 2 clinical trial of MN-166 (ibudilast) in glioblastoma patients at the 28th Annual Meeting of the Society for Neuro-Oncology (SNO). The presentation also included data from preclinical studies which evaluated the combination of MN-166 (ibudilast) and anti-PD1 or anti-PD-L1 therapy in glioblastoma models. In 2024, we presented new data and results of a Phase 1b/2a Clinical Trial of MN-166 (ibudilast) in glioblastoma at the ASCO Annual meeting 2024 held in Chicago, IL.</w:t>
      </w:r>
    </w:p>
    <w:p>
      <w:pPr>
        <w:spacing w:after="0" w:line="149" w:lineRule="exact"/>
        <w:rPr>
          <w:sz w:val="20"/>
          <w:szCs w:val="20"/>
          <w:color w:val="auto"/>
        </w:rPr>
      </w:pPr>
    </w:p>
    <w:p>
      <w:pPr>
        <w:ind w:right="220" w:firstLine="68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In March 2020, we announced plans to initiate development of MN-166 (ibudilast) for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pneumonia and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15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investigation of MN-166 (ibudilast) for the prevention of ARDS in patients with COVID-19 may proceed. 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The trial also achieved statistical significance for the proportion of subjects discharged from the hospital. There were two deaths in the placebo group and no deaths in the MN-166 (ibudilast) group. In July 2022, we announced the initiation of a first-in-human clinical study to evaluate a new parenteral (injectable) formulation of MN-166 (ibudilast). In January 2023, we announced that this Phase I clinical trial of MN-166 (ibudilast) 10 mg intravenous (IV) infusion in healthy volunteers was completed with a favorable safety profile and was well tolerated.</w:t>
      </w:r>
    </w:p>
    <w:p>
      <w:pPr>
        <w:spacing w:after="0" w:line="163" w:lineRule="exact"/>
        <w:rPr>
          <w:sz w:val="20"/>
          <w:szCs w:val="20"/>
          <w:color w:val="auto"/>
        </w:rPr>
      </w:pPr>
    </w:p>
    <w:p>
      <w:pPr>
        <w:ind w:right="40" w:firstLine="68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Chlorine Gas-Induced Lung Injury: </w:t>
      </w:r>
      <w:r>
        <w:rPr>
          <w:rFonts w:ascii="Times New Roman" w:cs="Times New Roman" w:eastAsia="Times New Roman" w:hAnsi="Times New Roman"/>
          <w:sz w:val="18"/>
          <w:szCs w:val="18"/>
          <w:color w:val="auto"/>
        </w:rPr>
        <w:t>In March 2021, we announced a partnership with the Biomedical Advanced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(BARDA), part of the Administration for Strategic Preparedness and Response (ASPR) in the U.S. Department of Health and Human Services, to develop MN-166 (ibudilast) as a potential medical countermeasure (MCM) against chlorine gas-induced lung damage such as ARDS and acute lung injury (ALI). BARDA agreed to provide federal funding for proof-of-concept studies of MN-166 (ibudilast) in preclinical models of chlorine gas-induced acute lung injury under Contract No. 75A50121C00022. In September 2023, we announced the results of the studies conducted under our contract with BARDA. The primary endpoint of the first nonclinical efficacy study was the pulmonary function measure PaO2/FiO2, which is the ratio of arterial oxygen partial pressure to fractional inspired oxygen. In the pilot design single-dose treatment regimen, MN-166 (ibudilast) high dose and the positive control rolipram were more efficacious than MN-166 (ibudilast) low dose and the negative control until 12 hours after chlorine exposure but this did not yield statistically significant results for overall pulmonary function. In the multi-dose study, each treatment was given every 12 hours with a total of four doses after the chlorine gas challenge. Treatment with MN-166 (ibudilast) high dose resulted in greater improvement (p=0.0001) in the mean PaO2/FiO2 ratio than MN-166 (ibudilast) low dose, rolipram, and the negative control. MN-166 (ibudilast) was well tolerated and no safety concerns were observed in the first nonclinical efficacy study. After multiple attempts by our subcontractor to establish the feasibility of the second chlorine-gas induced lung injury model, it was not deemed to be a feasible model to evaluate a drug candidate and there are no evaluable efficacy results.</w:t>
      </w:r>
    </w:p>
    <w:p>
      <w:pPr>
        <w:spacing w:after="0" w:line="147" w:lineRule="exact"/>
        <w:rPr>
          <w:sz w:val="20"/>
          <w:szCs w:val="20"/>
          <w:color w:val="auto"/>
        </w:rPr>
      </w:pPr>
    </w:p>
    <w:p>
      <w:pPr>
        <w:ind w:firstLine="5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COVID: </w:t>
      </w:r>
      <w:r>
        <w:rPr>
          <w:rFonts w:ascii="Times New Roman" w:cs="Times New Roman" w:eastAsia="Times New Roman" w:hAnsi="Times New Roman"/>
          <w:sz w:val="18"/>
          <w:szCs w:val="18"/>
          <w:color w:val="auto"/>
        </w:rPr>
        <w:t>In August 2022, we announced plans to participate in Recovering from COVID-19 Lingering Symptoms Adaptive Integrative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Medicine Trial (RECLAIM trial), a grant-funded, multi-center, randomized,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 and this study is ongoing.</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MN-001 (tipelukast) is in development for fibrotic and other metabolic disorders as described below.</w:t>
      </w:r>
    </w:p>
    <w:p>
      <w:pPr>
        <w:spacing w:after="0" w:line="196" w:lineRule="exact"/>
        <w:rPr>
          <w:sz w:val="20"/>
          <w:szCs w:val="20"/>
          <w:color w:val="auto"/>
        </w:rPr>
      </w:pPr>
    </w:p>
    <w:p>
      <w:pPr>
        <w:ind w:left="20" w:firstLine="54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Nonalcoholic Steatohepatitis (NASH) and Nonalcoholic Fatty Liver Disease (NAFLD): </w:t>
      </w:r>
      <w:r>
        <w:rPr>
          <w:rFonts w:ascii="Times New Roman" w:cs="Times New Roman" w:eastAsia="Times New Roman" w:hAnsi="Times New Roman"/>
          <w:sz w:val="18"/>
          <w:szCs w:val="18"/>
          <w:color w:val="auto"/>
        </w:rPr>
        <w:t>We announced positive results of MN-001 (tipelukast)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53" w:lineRule="exact"/>
        <w:rPr>
          <w:sz w:val="20"/>
          <w:szCs w:val="20"/>
          <w:color w:val="auto"/>
        </w:rPr>
      </w:pPr>
    </w:p>
    <w:p>
      <w:pPr>
        <w:ind w:left="20" w:right="60"/>
        <w:spacing w:after="0" w:line="246" w:lineRule="auto"/>
        <w:rPr>
          <w:sz w:val="20"/>
          <w:szCs w:val="20"/>
          <w:color w:val="auto"/>
        </w:rPr>
      </w:pPr>
      <w:r>
        <w:rPr>
          <w:rFonts w:ascii="Times New Roman" w:cs="Times New Roman" w:eastAsia="Times New Roman" w:hAnsi="Times New Roman"/>
          <w:sz w:val="18"/>
          <w:szCs w:val="18"/>
          <w:color w:val="auto"/>
        </w:rPr>
        <w:t>annual meeting of the American Association for the Study of Liver Diseases (AASLD). In November 2021, we announced new findings from a study that investigated the mechanism by which MN-001 (tipelukast) alters triglyceride metabolism in hepatocytes at the Annual Meeting of the American Association for the Study of Liver Diseases (AASLD). In April 2022, we announced that the FDA completed its review of a proposed Phase 2 clinical trial to evaluate MN-001 (tipelukast) for the treatment of patients with NAFLD, type 2 diabetes mellitus, and hypertriglyceridemia and the study may proceed. In July 2022, we announced the initiation of a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In May 2024, we presented an update of ongoing trial design at the 92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European Atherosclerosis Society (EAS) 2024 Congress.</w:t>
      </w:r>
    </w:p>
    <w:p>
      <w:pPr>
        <w:spacing w:after="0" w:line="193" w:lineRule="exact"/>
        <w:rPr>
          <w:sz w:val="20"/>
          <w:szCs w:val="20"/>
          <w:color w:val="auto"/>
        </w:rPr>
      </w:pPr>
    </w:p>
    <w:p>
      <w:pPr>
        <w:ind w:right="380" w:firstLine="572"/>
        <w:spacing w:after="0" w:line="289" w:lineRule="auto"/>
        <w:rPr>
          <w:sz w:val="20"/>
          <w:szCs w:val="20"/>
          <w:color w:val="auto"/>
        </w:rPr>
      </w:pPr>
      <w:r>
        <w:rPr>
          <w:rFonts w:ascii="Times New Roman" w:cs="Times New Roman" w:eastAsia="Times New Roman" w:hAnsi="Times New Roman"/>
          <w:sz w:val="17"/>
          <w:szCs w:val="17"/>
          <w:color w:val="auto"/>
        </w:rPr>
        <w:t>We acquired licenses to MN-166 (ibudilast) and MN-001 (tipelukast) for the development of these product candidates. We have pursued development of these product candidates in various indications including prevention of acute respiratory distress syndrome, Long COVID, progressive MS, ALS, chemotherapy-induced peripheral neuropathy, degenerative cervical myelopathy, glioblastoma, various addictions, NASH and NAFLD.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40" w:firstLine="560"/>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87" w:lineRule="exact"/>
        <w:rPr>
          <w:sz w:val="20"/>
          <w:szCs w:val="20"/>
          <w:color w:val="auto"/>
        </w:rPr>
      </w:pPr>
    </w:p>
    <w:p>
      <w:pPr>
        <w:ind w:left="1300" w:hanging="35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187" w:lineRule="exact"/>
        <w:rPr>
          <w:sz w:val="20"/>
          <w:szCs w:val="20"/>
          <w:color w:val="auto"/>
        </w:rPr>
      </w:pPr>
    </w:p>
    <w:p>
      <w:pPr>
        <w:ind w:left="1320" w:hanging="378"/>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metabolic disorders.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173" w:lineRule="exact"/>
        <w:rPr>
          <w:sz w:val="20"/>
          <w:szCs w:val="20"/>
          <w:color w:val="auto"/>
        </w:rPr>
      </w:pPr>
    </w:p>
    <w:p>
      <w:pPr>
        <w:ind w:left="1300" w:right="1040" w:hanging="358"/>
        <w:spacing w:after="0" w:line="28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121" w:lineRule="exact"/>
        <w:rPr>
          <w:sz w:val="20"/>
          <w:szCs w:val="20"/>
          <w:color w:val="auto"/>
        </w:rPr>
      </w:pPr>
    </w:p>
    <w:p>
      <w:pPr>
        <w:ind w:firstLine="560"/>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49"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Our product acquisitions have focused primarily on product candidates with significant preclinical and early clinical testing data that have been developed by the licensors outside of the United States. We utilize the existing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data in preparing IND Applications or their foreign equivalents, and in designing and implementing additional preclinical or clinical trials to advance the development programs in the United States or abroad.</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are the details of our product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substance dependence, prevention of acute respiratory distress syndrome, and Long COVID. We licensed MN-166 (ibudilast) from Kyorin Pharmaceuticals (Kyorin) in 2004.</w:t>
      </w:r>
    </w:p>
    <w:p>
      <w:pPr>
        <w:spacing w:after="0" w:line="147" w:lineRule="exact"/>
        <w:rPr>
          <w:sz w:val="20"/>
          <w:szCs w:val="20"/>
          <w:color w:val="auto"/>
        </w:rPr>
      </w:pPr>
    </w:p>
    <w:p>
      <w:pPr>
        <w:ind w:right="140" w:firstLine="572"/>
        <w:spacing w:after="0" w:line="256" w:lineRule="auto"/>
        <w:rPr>
          <w:sz w:val="20"/>
          <w:szCs w:val="20"/>
          <w:color w:val="auto"/>
        </w:rPr>
      </w:pPr>
      <w:r>
        <w:rPr>
          <w:rFonts w:ascii="Times New Roman" w:cs="Times New Roman" w:eastAsia="Times New Roman" w:hAnsi="Times New Roman"/>
          <w:sz w:val="18"/>
          <w:szCs w:val="18"/>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47" w:lineRule="exact"/>
        <w:rPr>
          <w:sz w:val="20"/>
          <w:szCs w:val="20"/>
          <w:color w:val="auto"/>
        </w:rPr>
      </w:pPr>
    </w:p>
    <w:p>
      <w:pPr>
        <w:ind w:right="40" w:firstLine="572"/>
        <w:spacing w:after="0" w:line="261" w:lineRule="auto"/>
        <w:rPr>
          <w:sz w:val="20"/>
          <w:szCs w:val="20"/>
          <w:color w:val="auto"/>
        </w:rPr>
      </w:pPr>
      <w:r>
        <w:rPr>
          <w:rFonts w:ascii="Times New Roman" w:cs="Times New Roman" w:eastAsia="Times New Roman" w:hAnsi="Times New Roman"/>
          <w:sz w:val="18"/>
          <w:szCs w:val="18"/>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153" w:lineRule="exact"/>
        <w:rPr>
          <w:sz w:val="20"/>
          <w:szCs w:val="20"/>
          <w:color w:val="auto"/>
        </w:rPr>
      </w:pPr>
    </w:p>
    <w:p>
      <w:pPr>
        <w:ind w:right="240" w:firstLine="605"/>
        <w:spacing w:after="0" w:line="261" w:lineRule="auto"/>
        <w:rPr>
          <w:sz w:val="20"/>
          <w:szCs w:val="20"/>
          <w:color w:val="auto"/>
        </w:rPr>
      </w:pPr>
      <w:r>
        <w:rPr>
          <w:rFonts w:ascii="Times New Roman" w:cs="Times New Roman" w:eastAsia="Times New Roman" w:hAnsi="Times New Roman"/>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137" w:lineRule="exact"/>
        <w:rPr>
          <w:sz w:val="20"/>
          <w:szCs w:val="20"/>
          <w:color w:val="auto"/>
        </w:rPr>
      </w:pPr>
    </w:p>
    <w:p>
      <w:pPr>
        <w:ind w:right="20" w:firstLine="57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Progressive Multiple Sclerosis: </w:t>
      </w:r>
      <w:r>
        <w:rPr>
          <w:rFonts w:ascii="Times New Roman" w:cs="Times New Roman" w:eastAsia="Times New Roman" w:hAnsi="Times New Roman"/>
          <w:sz w:val="18"/>
          <w:szCs w:val="18"/>
          <w:color w:val="auto"/>
        </w:rPr>
        <w:t>MS is a complex disease with predominantly unknown etiology and affects approximately 2.8 million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according to the National Multiple Sclerosis Society (NMSS). Also, according to NMSS, approximately 85 percent of people with MS are initially diagnosed with relapsing-remitting MS (RRMS) and some people who are initially diagnosed with RRMS will eventually transition to secondary progressive MS (SPMS). About 15 percent of people with MS are diagnosed with primary progressive MS (PPMS). There is only one approved drug for PPMS and it is administered by intravenous infusion. Although several drugs have been approved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146" w:lineRule="exact"/>
        <w:rPr>
          <w:sz w:val="20"/>
          <w:szCs w:val="20"/>
          <w:color w:val="auto"/>
        </w:rPr>
      </w:pPr>
    </w:p>
    <w:p>
      <w:pPr>
        <w:ind w:right="40" w:firstLine="560"/>
        <w:spacing w:after="0" w:line="266" w:lineRule="auto"/>
        <w:rPr>
          <w:sz w:val="20"/>
          <w:szCs w:val="20"/>
          <w:color w:val="auto"/>
        </w:rPr>
      </w:pPr>
      <w:r>
        <w:rPr>
          <w:rFonts w:ascii="Times New Roman" w:cs="Times New Roman" w:eastAsia="Times New Roman" w:hAnsi="Times New Roman"/>
          <w:sz w:val="18"/>
          <w:szCs w:val="18"/>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Expanded Disability Status Scale (EDSS).</w:t>
      </w:r>
    </w:p>
    <w:p>
      <w:pPr>
        <w:spacing w:after="0" w:line="161" w:lineRule="exact"/>
        <w:rPr>
          <w:sz w:val="20"/>
          <w:szCs w:val="20"/>
          <w:color w:val="auto"/>
        </w:rPr>
      </w:pPr>
    </w:p>
    <w:p>
      <w:pPr>
        <w:ind w:right="20" w:firstLine="560"/>
        <w:spacing w:after="0" w:line="252" w:lineRule="auto"/>
        <w:rPr>
          <w:sz w:val="20"/>
          <w:szCs w:val="20"/>
          <w:color w:val="auto"/>
        </w:rPr>
      </w:pPr>
      <w:r>
        <w:rPr>
          <w:rFonts w:ascii="Times New Roman" w:cs="Times New Roman" w:eastAsia="Times New Roman" w:hAnsi="Times New Roman"/>
          <w:sz w:val="18"/>
          <w:szCs w:val="18"/>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OCT measures included macular volume peripapillary retinal nerve fiber layer (pRNFL) thickness, and ganglion cell-inner plexiform (GCIP) layer thickness. All of these OCT measures showed less loss of retinal tissue for MN-166 (ibudilast) compared to placebo. In July 2021, we received a Notice of Allowance from the USPTO for a new patent which covers MN-166 (ibudilast) for the treatment of an ophthalmic disease/disorder or injury associated with a neurodegenerative disease/disorder or a neuro-ophthalmologic disorder. We were granted Fast Track designation from the FDA for MN-166 (ibudilast) for the treatment of progressive MS in 2016.</w:t>
      </w:r>
    </w:p>
    <w:p>
      <w:pPr>
        <w:spacing w:after="0" w:line="155" w:lineRule="exact"/>
        <w:rPr>
          <w:sz w:val="20"/>
          <w:szCs w:val="20"/>
          <w:color w:val="auto"/>
        </w:rPr>
      </w:pPr>
    </w:p>
    <w:p>
      <w:pPr>
        <w:ind w:right="20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Amyotrophic Lateral Sclerosis: </w:t>
      </w:r>
      <w:r>
        <w:rPr>
          <w:rFonts w:ascii="Times New Roman" w:cs="Times New Roman" w:eastAsia="Times New Roman" w:hAnsi="Times New Roman"/>
          <w:sz w:val="18"/>
          <w:szCs w:val="18"/>
          <w:color w:val="auto"/>
        </w:rPr>
        <w:t>ALS, also known as Lou Gehrig’s disease, is a progressive neurodegenerative disease that affects nerve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two to five years. According to the ALS Association, there are at least 16,000 ALS patients in the United States and approximately 5,000 people in the United States are diagnosed with ALS each year.</w:t>
      </w:r>
    </w:p>
    <w:p>
      <w:pPr>
        <w:spacing w:after="0" w:line="145" w:lineRule="exact"/>
        <w:rPr>
          <w:sz w:val="20"/>
          <w:szCs w:val="20"/>
          <w:color w:val="auto"/>
        </w:rPr>
      </w:pPr>
    </w:p>
    <w:p>
      <w:pPr>
        <w:ind w:right="120" w:firstLine="560"/>
        <w:spacing w:after="0" w:line="256" w:lineRule="auto"/>
        <w:rPr>
          <w:sz w:val="20"/>
          <w:szCs w:val="20"/>
          <w:color w:val="auto"/>
        </w:rPr>
      </w:pPr>
      <w:r>
        <w:rPr>
          <w:rFonts w:ascii="Times New Roman" w:cs="Times New Roman" w:eastAsia="Times New Roman" w:hAnsi="Times New Roman"/>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AAN 68th Annual Meeting.</w:t>
      </w:r>
    </w:p>
    <w:p>
      <w:pPr>
        <w:spacing w:after="0" w:line="160" w:lineRule="exact"/>
        <w:rPr>
          <w:sz w:val="20"/>
          <w:szCs w:val="20"/>
          <w:color w:val="auto"/>
        </w:rPr>
      </w:pPr>
    </w:p>
    <w:p>
      <w:pPr>
        <w:ind w:right="140" w:firstLine="669"/>
        <w:spacing w:after="0" w:line="282" w:lineRule="auto"/>
        <w:rPr>
          <w:sz w:val="20"/>
          <w:szCs w:val="20"/>
          <w:color w:val="auto"/>
        </w:rPr>
      </w:pPr>
      <w:r>
        <w:rPr>
          <w:rFonts w:ascii="Times New Roman" w:cs="Times New Roman" w:eastAsia="Times New Roman" w:hAnsi="Times New Roman"/>
          <w:sz w:val="18"/>
          <w:szCs w:val="18"/>
          <w:color w:val="auto"/>
        </w:rPr>
        <w:t>In December 2017, we announced positive top-line results from the ALS trial at Carolinas Neuromuscular/ALS-MDA Center. The trial achieved the primary endpoint of safety and tolerability. In addition,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 In December 2021, we announced that a poster with an overview of our ongoing Phase 2b/3 clinical trial of MN-166 (ibudilast) in ALS was presented at the 32nd International Symposium on ALS/MND. In December 2024, a study update and interim analysis of phase 2/3 clinical data of MN-166 (ibudilast) in the COMBAT-ALS trial was presented at the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international symposium on ALS/MND at Montreal, Canada. Pre-defined interim analysis was conducted to evaluate the correlation between the six month and twelve month data and assessed the twelve month double blind phase trial design. Positive correlations were observed between the six month and twelve month data for CAFS Score (0.71) modified CAFS score (0.70) and ALSFRS-R (0.69).</w:t>
      </w:r>
    </w:p>
    <w:p>
      <w:pPr>
        <w:spacing w:after="0" w:line="196" w:lineRule="exact"/>
        <w:rPr>
          <w:sz w:val="20"/>
          <w:szCs w:val="20"/>
          <w:color w:val="auto"/>
        </w:rPr>
      </w:pPr>
    </w:p>
    <w:p>
      <w:pPr>
        <w:ind w:right="40" w:firstLine="572"/>
        <w:spacing w:after="0" w:line="256" w:lineRule="auto"/>
        <w:rPr>
          <w:sz w:val="20"/>
          <w:szCs w:val="20"/>
          <w:color w:val="auto"/>
        </w:rPr>
      </w:pPr>
      <w:r>
        <w:rPr>
          <w:rFonts w:ascii="Times New Roman" w:cs="Times New Roman" w:eastAsia="Times New Roman" w:hAnsi="Times New Roman"/>
          <w:sz w:val="18"/>
          <w:szCs w:val="18"/>
          <w:color w:val="auto"/>
        </w:rPr>
        <w:t>In December 2015, we announced that the FDA granted Fast Track designation to MN-166 (ibudilast) for the treatment of patients with ALS. In March 2016, we announced that we received a Notice of Allowance from the USPTO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USPTO for a new patent which covers the combination of MN-166 (ibudilast) and riluzole for the treatment of ALS and other neurodegenerative diseases.</w:t>
      </w:r>
    </w:p>
    <w:p>
      <w:pPr>
        <w:spacing w:after="0" w:line="187" w:lineRule="exact"/>
        <w:rPr>
          <w:sz w:val="20"/>
          <w:szCs w:val="20"/>
          <w:color w:val="auto"/>
        </w:rPr>
      </w:pPr>
    </w:p>
    <w:p>
      <w:pPr>
        <w:ind w:firstLine="560"/>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185" w:lineRule="exact"/>
        <w:rPr>
          <w:sz w:val="20"/>
          <w:szCs w:val="20"/>
          <w:color w:val="auto"/>
        </w:rPr>
      </w:pPr>
    </w:p>
    <w:p>
      <w:pPr>
        <w:ind w:right="6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Methamphetamine Addiction: </w:t>
      </w:r>
      <w:r>
        <w:rPr>
          <w:rFonts w:ascii="Times New Roman" w:cs="Times New Roman" w:eastAsia="Times New Roman" w:hAnsi="Times New Roman"/>
          <w:sz w:val="18"/>
          <w:szCs w:val="18"/>
          <w:color w:val="auto"/>
        </w:rPr>
        <w:t>Methamphetamine is a central nervous system stimulant drug that is similar in structure to amphetamine. It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II drug, meaning that it has high abuse potential and low therapeutic potential. According to the Substance Abuse and Mental Health Services Administration’s (SAMHSA) 2022 National Survey on Drug Use and Health, there are approximately 1.8 million people aged 12 or older with methamphetamine use disorder in the United States. The Rand Corporation has estimated that the economic burden of methamphetamine use in the United States is approximately $23.4 billion. Currently, there is no pharmaceutical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ind w:right="140"/>
        <w:spacing w:after="0" w:line="254" w:lineRule="auto"/>
        <w:rPr>
          <w:sz w:val="20"/>
          <w:szCs w:val="20"/>
          <w:color w:val="auto"/>
        </w:rPr>
      </w:pPr>
      <w:r>
        <w:rPr>
          <w:rFonts w:ascii="Times New Roman" w:cs="Times New Roman" w:eastAsia="Times New Roman" w:hAnsi="Times New Roman"/>
          <w:sz w:val="18"/>
          <w:szCs w:val="18"/>
          <w:color w:val="auto"/>
        </w:rPr>
        <w:t>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90" w:lineRule="exact"/>
        <w:rPr>
          <w:sz w:val="20"/>
          <w:szCs w:val="20"/>
          <w:color w:val="auto"/>
        </w:rPr>
      </w:pPr>
    </w:p>
    <w:p>
      <w:pPr>
        <w:ind w:firstLine="57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Opioid Withdrawal and Dependency: </w:t>
      </w:r>
      <w:r>
        <w:rPr>
          <w:rFonts w:ascii="Times New Roman" w:cs="Times New Roman" w:eastAsia="Times New Roman" w:hAnsi="Times New Roman"/>
          <w:sz w:val="18"/>
          <w:szCs w:val="18"/>
          <w:color w:val="auto"/>
        </w:rPr>
        <w:t>According to the SAMHSA’s 2022 National Survey on Drug Use and Health, there are approximately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people aged 12 or older with prescription pain reliever use disorder and approximately 0.9 million people aged 12 or older with heroin use disorder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There is an urgent, significant unmet medical need for a safe, effective non-addictive, non-opioid therapy for the treatment of prescription opioid and heroin addiction. Investigators at Columbia University and New York State Psychiatric Institute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92" w:lineRule="exact"/>
        <w:rPr>
          <w:sz w:val="20"/>
          <w:szCs w:val="20"/>
          <w:color w:val="auto"/>
        </w:rPr>
      </w:pPr>
    </w:p>
    <w:p>
      <w:pPr>
        <w:ind w:right="20" w:firstLine="5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Alcohol Addiction: </w:t>
      </w:r>
      <w:r>
        <w:rPr>
          <w:rFonts w:ascii="Times New Roman" w:cs="Times New Roman" w:eastAsia="Times New Roman" w:hAnsi="Times New Roman"/>
          <w:sz w:val="18"/>
          <w:szCs w:val="18"/>
          <w:color w:val="auto"/>
        </w:rPr>
        <w:t>According to SAMHSA’s 2022 National Survey on Drug Use and Health, there are approximately 29.5 million people aged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older in the United States with alcohol use disorder. The Centers for Disease Control and Prevention (CDC) has reported that excessive alcohol use costs the United States $249 billion per year. Medicines that have been approved by the FDA to treat alcohol dependence include Antabuse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(disulfiram), Vivitrol (naltrexone), Campral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(acamprosate) and Revia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(naltrexone). However, the search for a safe and effective drug remains elusive due to limited success of these FDA-approved compounds (Witkiewitz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In a non-clinical trial (Bell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study was a randomized, double-blind, placebo-controlled Phase 2 trial to evaluate the effect of 14 days of ibudilast treatment on mood, heavy drinking, and neural reward signals in 52 patients with alcohol use disorder (AUD). Positive results of this Phase 2 clinical trial were presented at the American Psychological Association 2020 Annual Convention which was held online in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 xml:space="preserve">August 2020. Results from this clinical trial were published in June 2021 in Nature’s </w:t>
      </w:r>
      <w:r>
        <w:rPr>
          <w:rFonts w:ascii="Times New Roman" w:cs="Times New Roman" w:eastAsia="Times New Roman" w:hAnsi="Times New Roman"/>
          <w:sz w:val="18"/>
          <w:szCs w:val="18"/>
          <w:i w:val="1"/>
          <w:iCs w:val="1"/>
          <w:color w:val="auto"/>
        </w:rPr>
        <w:t>Translational Psychiatry</w:t>
      </w:r>
      <w:r>
        <w:rPr>
          <w:rFonts w:ascii="Times New Roman" w:cs="Times New Roman" w:eastAsia="Times New Roman" w:hAnsi="Times New Roman"/>
          <w:sz w:val="18"/>
          <w:szCs w:val="18"/>
          <w:color w:val="auto"/>
        </w:rPr>
        <w:t xml:space="preserve"> which included the following: (1) MN-166 (ibudilast) did not have a significant effect on negative mood; (2) MN-166 (ibudilast), relative to placebo, reduced the odds of heavy drinking across time by 45% (p=0.04); (3) MN-166 (ibudilast) attenuated alcohol cue-elicited activation in the ventral striatum (VS) (i.e. reduced the rewarding response to alcohol in the brain) compared to placebo (p=0.01); (4) alcohol cue-elicited activation in the VS predicted subsequent drinking in the MN-166 (ibudilast) group (p=0.02), such that individuals who had attenuated VS activation and took MN-166 (ibudilast) had the fewest number of drinks per drinking day in the week following the scan; and (5) MN-166 (ibudilast) reduced alcohol craving compared to placebo on non-drinking days (p=0.02). These findings extend preclinical and human laboratory studies of the utility of ibudilast to treat AUD and suggest a biobehavioral mechanism through which ibudilast acts, namely, by reducing the rewarding response to alcohol cues in the brain leading to a reduction in heavy drinking. In August 2018, we announced a new NIAAA-funded Phase 2b clinical trial of MN-166 (ibudilast) in alcohol dependence in collaboration with researchers at UCLA. This clinical trial, which has been completed, evaluated whether MN-166 (ibudilast) would decrease the percentage of heavy drinking days (defined as ≥ 5 drinks for men and ≥ 4 drinks for women), as compared to placebo, over the course of the 12-week trial.</w:t>
      </w:r>
    </w:p>
    <w:p>
      <w:pPr>
        <w:spacing w:after="0" w:line="194" w:lineRule="exact"/>
        <w:rPr>
          <w:sz w:val="20"/>
          <w:szCs w:val="20"/>
          <w:color w:val="auto"/>
        </w:rPr>
      </w:pPr>
    </w:p>
    <w:p>
      <w:pPr>
        <w:ind w:firstLine="539"/>
        <w:spacing w:after="0" w:line="252" w:lineRule="auto"/>
        <w:rPr>
          <w:sz w:val="20"/>
          <w:szCs w:val="20"/>
          <w:color w:val="auto"/>
        </w:rPr>
      </w:pPr>
      <w:r>
        <w:rPr>
          <w:rFonts w:ascii="Times New Roman" w:cs="Times New Roman" w:eastAsia="Times New Roman" w:hAnsi="Times New Roman"/>
          <w:sz w:val="18"/>
          <w:szCs w:val="18"/>
          <w:color w:val="auto"/>
        </w:rPr>
        <w:t xml:space="preserve">In February 2022, we announced that MN-166 (ibudilast) was discussed as one of the promising pharmacological agents for the treatment of AUD in the journal </w:t>
      </w:r>
      <w:r>
        <w:rPr>
          <w:rFonts w:ascii="Times New Roman" w:cs="Times New Roman" w:eastAsia="Times New Roman" w:hAnsi="Times New Roman"/>
          <w:sz w:val="18"/>
          <w:szCs w:val="18"/>
          <w:i w:val="1"/>
          <w:iCs w:val="1"/>
          <w:color w:val="auto"/>
        </w:rPr>
        <w:t>Drugs</w:t>
      </w:r>
      <w:r>
        <w:rPr>
          <w:rFonts w:ascii="Times New Roman" w:cs="Times New Roman" w:eastAsia="Times New Roman" w:hAnsi="Times New Roman"/>
          <w:sz w:val="18"/>
          <w:szCs w:val="18"/>
          <w:color w:val="auto"/>
        </w:rPr>
        <w:t xml:space="preserve">. The publication, which was written by researchers at UCLA, discussed the beneficial effects of MN-166 (ibudilast) in treating AUD and noted that these effects are thought to be driven by its anti-inflammatory and pro-neurotrophic properties. In April 2022, we announced that a secondary analysis of a Phase 2 clinical trial of MN-166 (ibudilast) in AUD was published in the journal </w:t>
      </w:r>
      <w:r>
        <w:rPr>
          <w:rFonts w:ascii="Times New Roman" w:cs="Times New Roman" w:eastAsia="Times New Roman" w:hAnsi="Times New Roman"/>
          <w:sz w:val="18"/>
          <w:szCs w:val="18"/>
          <w:i w:val="1"/>
          <w:iCs w:val="1"/>
          <w:color w:val="auto"/>
        </w:rPr>
        <w:t>Alcoholism: Clinical and Experimental Research</w:t>
      </w:r>
      <w:r>
        <w:rPr>
          <w:rFonts w:ascii="Times New Roman" w:cs="Times New Roman" w:eastAsia="Times New Roman" w:hAnsi="Times New Roman"/>
          <w:sz w:val="18"/>
          <w:szCs w:val="18"/>
          <w:color w:val="auto"/>
        </w:rPr>
        <w:t xml:space="preserve">. The publication, which was written by researchers at UCLA, discussed the results of the secondary analysis and noted that reductions in alcohol craving may represent a primary mechanism of MN-166 (ibudilast). In December 2022, we announced that positive results from a secondary analysis of a Phase 2 trial of MN-166 (ibudilast) in AUD were published in </w:t>
      </w:r>
      <w:r>
        <w:rPr>
          <w:rFonts w:ascii="Times New Roman" w:cs="Times New Roman" w:eastAsia="Times New Roman" w:hAnsi="Times New Roman"/>
          <w:sz w:val="18"/>
          <w:szCs w:val="18"/>
          <w:i w:val="1"/>
          <w:iCs w:val="1"/>
          <w:color w:val="auto"/>
        </w:rPr>
        <w:t>The American Journal of Drug and Alcohol Abuse</w:t>
      </w:r>
      <w:r>
        <w:rPr>
          <w:rFonts w:ascii="Times New Roman" w:cs="Times New Roman" w:eastAsia="Times New Roman" w:hAnsi="Times New Roman"/>
          <w:sz w:val="18"/>
          <w:szCs w:val="18"/>
          <w:color w:val="auto"/>
        </w:rPr>
        <w:t>. These results showed that the high baseline C-reactive protein (CRP) group, i.e. the participants with high inflammation, who received MN-166 (ibudilast) had significantly fewer drinks per drinking day compared to the low baseline CRP group who received MN-166 (ibudilast) (p=0.007). In January 2023, we announced that the Phase 2b clinical trial of MN-166 (ibudilast) for the treatment of alcohol use disorder had completed enrollment. In June 2023, we announced results of the Phase 2b clinical trial of MN-166 (ibudilast) in alcohol use disorder which were presented at the 46th Annual Research Society on Alcoholism (RSA) Scientific Meeting. This study was a randomized, double-blind, placebo-controlled, Phase 2b clinical trial in 102 treatment-seeking men and women with moderate or severe alcohol use disorder. MN-166 (ibudilast) was not superior to placebo for the primary objective of reducing percent heavy drinking days. Also, MN-166 (ibudilast) was not superior to placebo for the secondary endpoints of 1) the number of drinks consumed per day, 2) the number of drinks consumed per drinking day, 3) the percentage of days abstinent, 4) the percentage of subjects with no heavy drinking days, and 5) the percentage of subjects who are abstinent. This trial showed a placebo effect in which both the placebo and MN-166 (ibudilast) decreased heavy drinking.</w:t>
      </w:r>
    </w:p>
    <w:p>
      <w:pPr>
        <w:spacing w:after="0" w:line="193" w:lineRule="exact"/>
        <w:rPr>
          <w:sz w:val="20"/>
          <w:szCs w:val="20"/>
          <w:color w:val="auto"/>
        </w:rPr>
      </w:pPr>
    </w:p>
    <w:p>
      <w:pPr>
        <w:ind w:right="20" w:firstLine="5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Chemotherapy-Induced Peripheral Neuropathy: </w:t>
      </w:r>
      <w:r>
        <w:rPr>
          <w:rFonts w:ascii="Times New Roman" w:cs="Times New Roman" w:eastAsia="Times New Roman" w:hAnsi="Times New Roman"/>
          <w:sz w:val="18"/>
          <w:szCs w:val="18"/>
          <w:color w:val="auto"/>
        </w:rPr>
        <w:t>Peripheral neuropathy is a set of symptoms caused by damage to peripheral nerves, the nerves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t xml:space="preserve">meta-analysis,” Seretny M et al 2014). In March 2018, we announced plans to initiate a clinical trial to evaluate MN-166 (ibudilast) as a treatment for prevention of CIPN which was funded by the University of Sydney Concord Cancer 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Times New Roman" w:cs="Times New Roman" w:eastAsia="Times New Roman" w:hAnsi="Times New Roman"/>
          <w:sz w:val="18"/>
          <w:szCs w:val="18"/>
          <w:i w:val="1"/>
          <w:iCs w:val="1"/>
          <w:color w:val="auto"/>
        </w:rPr>
        <w:t>Cancer Chemotherapy and Pharmacology</w:t>
      </w:r>
      <w:r>
        <w:rPr>
          <w:rFonts w:ascii="Times New Roman" w:cs="Times New Roman" w:eastAsia="Times New Roman" w:hAnsi="Times New Roman"/>
          <w:sz w:val="18"/>
          <w:szCs w:val="18"/>
          <w:color w:val="auto"/>
        </w:rPr>
        <w:t>. Co-administration of MN-166 (ibudilast) with oxaliplatin resulted in improvement or stabilization of oxaliplatin-induced neurotoxicity in the majority of participants treated with 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 chemotherapy. Pharmacokinetic analysis indicated no effect of MN-166 (ibudilast) on systemic exposure of oxaliplatin. In October 2020, we announced plans to initiate a multi-center, placebo-controlled, randomized Phase 2b trial to evaluate MN-166 (ibudilast) in CIPN, which is funded by the AGITG. This clinical trial is evaluating MN-166 (ibudilast) as a potential treatment to reduce acute neurotoxicity severity and CIPN in patients with metastatic colorectal cancer.</w:t>
      </w:r>
    </w:p>
    <w:p>
      <w:pPr>
        <w:spacing w:after="0" w:line="188" w:lineRule="exact"/>
        <w:rPr>
          <w:sz w:val="20"/>
          <w:szCs w:val="20"/>
          <w:color w:val="auto"/>
        </w:rPr>
      </w:pPr>
    </w:p>
    <w:p>
      <w:pPr>
        <w:ind w:right="60" w:firstLine="5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DCM, also known as cervical spondylotic myelopathy, involves spinal cord dysfunction from compression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neck. DCM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NIHR in the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 surgery; and (2) Visual Analogue Scale (VAS) measure of neck pain at six months after surgery. In May 2019, we announced our participation at the Kick-off Meeting for this Phase 3 clinical trial in DCM,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 Journal</w:t>
      </w:r>
      <w:r>
        <w:rPr>
          <w:rFonts w:ascii="Times New Roman" w:cs="Times New Roman" w:eastAsia="Times New Roman" w:hAnsi="Times New Roman"/>
          <w:sz w:val="18"/>
          <w:szCs w:val="18"/>
          <w:color w:val="auto"/>
        </w:rPr>
        <w:t>. The publication, which was written by researchers at the University of Cambridge, discussed contemporary therapies that may hold therapeutic value and the attributes of MN-166 (ibudilast) that support its use in DCM. The publication noted that the combination of anti-inflammatory, neuroprotective, and neuroregenerative properties of MN-166 (ibudilast) leads to attenuation of glial cell activation and is the basis for the ongoing RECEDE Myelopathy trial.</w:t>
      </w:r>
    </w:p>
    <w:p>
      <w:pPr>
        <w:spacing w:after="0" w:line="196" w:lineRule="exact"/>
        <w:rPr>
          <w:sz w:val="20"/>
          <w:szCs w:val="20"/>
          <w:color w:val="auto"/>
        </w:rPr>
      </w:pPr>
    </w:p>
    <w:p>
      <w:pPr>
        <w:ind w:right="20" w:firstLine="66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According to the American Association of Neurological Surgeons, glioblastoma is an aggressive brain tumor that develops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glial cells (astrocytes and oligodendrocytes), grows rapidly, and commonly spreads into nearby brain tissue. The American Brain Tumor Association reports that glioblastomas represent about 14% of all primary brain tumors. More than 12,000 cases of glioblastoma are diagnosed each year in the U.S. According to the Glioblastoma Foundation, average life expectancy for glioblastoma patients who undergo treatment is 12 - 15 months and only four months for those who do not receive treatment. In June 2017, we announced positive results from an animal model study that examined the potential clinical efficacy of MN-166 (ibudilast) for the treatment of glioblastoma which were presented at the 2017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IND for MN-166 (ibudilast) for treatment of glioblastoma was accepted and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t xml:space="preserve">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or Temodar®)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The article, “Ibudilast sensitizes glioblastoma to temozolomide by targeting MIF,” is the first publication reporting the potential clinical utility of MN-166 (ibudilast) for glioblastoma. In June 2020, we announced that positive preclinical findings were published in </w:t>
      </w:r>
      <w:r>
        <w:rPr>
          <w:rFonts w:ascii="Times New Roman" w:cs="Times New Roman" w:eastAsia="Times New Roman" w:hAnsi="Times New Roman"/>
          <w:sz w:val="18"/>
          <w:szCs w:val="18"/>
          <w:i w:val="1"/>
          <w:iCs w:val="1"/>
          <w:color w:val="auto"/>
        </w:rPr>
        <w:t>Frontiers in Immunology</w:t>
      </w:r>
      <w:r>
        <w:rPr>
          <w:rFonts w:ascii="Times New Roman" w:cs="Times New Roman" w:eastAsia="Times New Roman" w:hAnsi="Times New Roman"/>
          <w:sz w:val="18"/>
          <w:szCs w:val="18"/>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subjects were progression-free at six months.</w:t>
      </w:r>
    </w:p>
    <w:p>
      <w:pPr>
        <w:spacing w:after="0" w:line="187" w:lineRule="exact"/>
        <w:rPr>
          <w:sz w:val="20"/>
          <w:szCs w:val="20"/>
          <w:color w:val="auto"/>
        </w:rPr>
      </w:pPr>
    </w:p>
    <w:p>
      <w:pPr>
        <w:ind w:right="40" w:firstLine="665"/>
        <w:spacing w:after="0" w:line="252" w:lineRule="auto"/>
        <w:rPr>
          <w:sz w:val="20"/>
          <w:szCs w:val="20"/>
          <w:color w:val="auto"/>
        </w:rPr>
      </w:pPr>
      <w:r>
        <w:rPr>
          <w:rFonts w:ascii="Times New Roman" w:cs="Times New Roman" w:eastAsia="Times New Roman" w:hAnsi="Times New Roman"/>
          <w:sz w:val="18"/>
          <w:szCs w:val="18"/>
          <w:color w:val="auto"/>
        </w:rPr>
        <w:t>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SBMT. In November 2023, we announced new data and results of the Phase 2 clinical trial of MN-166 (ibudilast) in glioblastoma patients at the 28th Annual Meeting of the SNO. The primary endpoints of this Phase 2 clinical trial were safety and tolerability of MN-166 (ibudilast) and TMZ combination treatment and efficacy of the combination treatment defined as progression-free survival rate at 6 months using the RANO criteria. MN-166 (ibudilast) and TMZ combination treatment was safe and well-tolerated, and no unexpected adverse effects were reported. The trial enrolled a total of 62 patients, including 36 newly diagnosed glioblastoma patients and 26 recurrent glioblastoma patients. Progression-Free Survival at 6 months (PFS6) was 44% for newly diagnosed glioblastoma patients and 31% for recurrent glioblastoma patients. Immunohistochemistry evaluation determined that CD3 expression was a good predictor for tumor progression at five months in recurrent glioblastoma patients treated with MN-166 (ibudilast) and TMZ as patients with progression had higher CD3 tumor infiltration than patients with no progression (p&lt;0.05). The presentation also included data from preclinical studies which evaluated the combination of MN-166 (ibudilast) and anti-PD1 or anti-PD-L1 therapy in glioblastoma models. In the first preclinical glioblastoma model study, median survival was 17 days for the vehicle and 28 days for the anti-PD1 inhibitor treatment alone. The addition of MN-166 (ibudilast) to the anti-PD1 inhibitor treatment significantly extended survival to a median of 66 days (p&lt;0.001) for the combination therapy. In the second preclinical glioblastoma model study, median survival was 18 days for the vehicle and 26 days for the anti-PD-L1 inhibitor treatment alone. The addition of MN-166 (ibudilast) to the anti-PD-L1 inhibitor treatment significantly extended survival to a median of 34 days (p&lt;0.05) for the combination therapy. We presented new data and results of a Phase 1b/2a Clinical Trial of MN-166 (ibudilast) in glioblastoma at the ASCO Annual meeting 2024 held in Chicago, IL.</w:t>
      </w:r>
    </w:p>
    <w:p>
      <w:pPr>
        <w:spacing w:after="0" w:line="193" w:lineRule="exact"/>
        <w:rPr>
          <w:sz w:val="20"/>
          <w:szCs w:val="20"/>
          <w:color w:val="auto"/>
        </w:rPr>
      </w:pPr>
    </w:p>
    <w:p>
      <w:pPr>
        <w:ind w:right="220" w:firstLine="539"/>
        <w:spacing w:after="0" w:line="261" w:lineRule="auto"/>
        <w:rPr>
          <w:sz w:val="20"/>
          <w:szCs w:val="20"/>
          <w:color w:val="auto"/>
        </w:rPr>
      </w:pPr>
      <w:r>
        <w:rPr>
          <w:rFonts w:ascii="Times New Roman" w:cs="Times New Roman" w:eastAsia="Times New Roman" w:hAnsi="Times New Roman"/>
          <w:sz w:val="18"/>
          <w:szCs w:val="18"/>
          <w:color w:val="auto"/>
        </w:rPr>
        <w:t xml:space="preserve">In April 2022, we announced that data demonstrating that MN-166 (ibudilast) prevents metastasis in 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The publication, which was written by researchers at Columbia University Medical Center, discussed the metastatic UM mouse model study in which quantified bioluminescence signal intensity in the abdominal region was dramatically reduced by MN-166 (ibudilast) treatment (p&lt;0.05). The publication also noted that histological analysis of the liver tissues of control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mice showed the presence of tumor cell clusters which were not present in the liver tissues of mice treated with MN-166 (ibudilast).</w:t>
      </w:r>
    </w:p>
    <w:p>
      <w:pPr>
        <w:spacing w:after="0" w:line="223"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ARDS is a serious lung condition that causes low blood oxygen. Difficulty breathing is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symptom of ARDS. Infections are the most common risk factors for ARDS and these infections may include influenza, coronavirus, or other viruses. According to the ARDS Foundation, there are an estimated 150,000 ARDS cases per year in the U.S. and the rate of death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87"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at Day 7, with 71% of subjects in the MN-166 (ibudilast) group and 35% of subjects in the placebo group free of respiratory failure at Day 7 (p=0.02). For the co-primary endpoint of clinical status (i.e., improvement on NIAID scale) at Day 7, 71% of subjects in the MN-166 (ibudilast) group and 47% of subjects in the placebo group had improved clinical status at Day 7 (p=0.08). The trial achieved statistical significance for the proportion of subjects discharged from the hospital with 65% of subjects in the MN-166 (ibudilast) group and 29% of subjects in the placebo group discharged from the hospital at Day 7 (p=0.02). In addition, 0% of subjects in the MN-166 (ibudilast) group and 24% of subjects in the placebo group had worsened clinical status at Day 7 (p=0.05). There were two deaths in the placebo group and no deaths in the MN-166 (ibudilast) group. There were no serious adverse events related to MN-166 (ibudilast). In July 2022, we announced the initiation of a first-in-human clinical study to evaluate a new parenteral (injectable) formulation of MN-166 (ibudilast). This formulation will provide an additional option for health care providers to administer MN-166 (ibudilast) in addition to the oral formulation. In January 2023, we announced that the Phase I clinical trial of MN-166 (ibudilast) 10 mg IV infusion in healthy volunteers was completed with a favorable safety profile and was well tolerated.</w:t>
      </w:r>
    </w:p>
    <w:p>
      <w:pPr>
        <w:spacing w:after="0" w:line="185" w:lineRule="exact"/>
        <w:rPr>
          <w:sz w:val="20"/>
          <w:szCs w:val="20"/>
          <w:color w:val="auto"/>
        </w:rPr>
      </w:pPr>
    </w:p>
    <w:p>
      <w:pPr>
        <w:ind w:right="20" w:firstLine="66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Chlorine Gas-Induced Lung Injury: </w:t>
      </w:r>
      <w:r>
        <w:rPr>
          <w:rFonts w:ascii="Times New Roman" w:cs="Times New Roman" w:eastAsia="Times New Roman" w:hAnsi="Times New Roman"/>
          <w:sz w:val="18"/>
          <w:szCs w:val="18"/>
          <w:color w:val="auto"/>
        </w:rPr>
        <w:t>Chlorine gas is a toxic chemical that can be released in industrial accidents and terrorist attacks. Inhalation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chlorine gas causes damage to the respiratory tract and can result in acute lung injury. In March 2021, we announced a partnership with the BARDA, part of the ASPR in the U.S. Department of Health and Human Services, to develop MN-166 (ibudilast) as a potential MCM against chlorine gas-induced lung damage such as ARDS and ALI. Under the Division of Research, Innovation, and Ventures’ (DRIVe) Repurposing Drugs in Response to Chemical Threats (ReDIRECT) program, BARDA agreed to provide federal funding for proof-of-concept studies of MN-166 (ibudilast) in preclinical models of chlorine gas-induced acute lung injury under Contract No. 75A50121C00022. MN-166 (ibudilast) was the first compound to receive BARDA’s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t>development support through the DRIVe ReDIRECT program. In September 2023, we announced the results of the nonclinical studies conducted under our contract with BARDA. The primary endpoint of the first nonclinical efficacy study was the pulmonary function measure PaO2/FiO2, which is the ratio of arterial oxygen partial pressure to fractional inspired oxygen. In the pilot design single-dose treatment regimen, MN-166 (ibudilast) high dose and the positive control rolipram were more efficacious than MN-166 (ibudilast) low dose and the negative control until 12 hours after chlorine exposure but this did not yield statistically significant results for overall pulmonary function. In the multi-dose study, each treatment was given every 12 hours with a total of 4 doses after the chlorine gas challenge. Treatment with MN-166 (ibudilast) high dose resulted in greater improvement (p=0.0001) in the mean PaO2/FiO2 ratio than MN-166 (ibudilast) low dose, rolipram, and the negative control. The mean PaO2/FiO2 ratio decreased (worsened) by 57% from 518.7 mmHg at baseline (the end of the chlorine gas exposure) to 224.8 mmHg at hour 48 in the negative control group. The mean PaO2/FiO2 ratio decreased (worsened) by 36% from 516.0 mmHg at baseline to 327.8 mmHg at hour 48 in the MN-166 (ibudilast) high dose group. At hour 48, the last time point measured in the study, the mean PaO2/FiO2 ratio was 46% higher (better) in the MN-166 (ibudilast) high dose group than in the negative control group (327.8 vs. 224.8 mmHg). Since ARDS is defined as a PaO2/FiO2 ratio less than 300 mmHg, the mean PaO2/FiO2 ratio values indicate that the negative control group was still categorized as having mild ARDS at the end of the 48-hour evaluation period but the MN-166 (ibudilast) high dose group had recovered enough to no longer be defined as having ARDS. MN-166 (ibudilast) was well tolerated and no safety concerns were observed in the first nonclinical efficacy study. After multiple attempts by our subcontractor to establish the feasibility of the second chlorine-gas induced lung injury model, it was not deemed to be a feasible model to evaluate a drug candidate and there are no evaluable efficacy results.</w:t>
      </w:r>
    </w:p>
    <w:p>
      <w:pPr>
        <w:spacing w:after="0" w:line="194" w:lineRule="exact"/>
        <w:rPr>
          <w:sz w:val="20"/>
          <w:szCs w:val="20"/>
          <w:color w:val="auto"/>
        </w:rPr>
      </w:pPr>
    </w:p>
    <w:p>
      <w:pPr>
        <w:ind w:right="40" w:firstLine="66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 COVID: </w:t>
      </w:r>
      <w:r>
        <w:rPr>
          <w:rFonts w:ascii="Times New Roman" w:cs="Times New Roman" w:eastAsia="Times New Roman" w:hAnsi="Times New Roman"/>
          <w:sz w:val="18"/>
          <w:szCs w:val="18"/>
          <w:color w:val="auto"/>
        </w:rPr>
        <w:t>Long COVID includes a wide range of ongoing respiratory, neurologic, and other symptoms that can last for weeks,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following SARS-CoV-2 infection. According to the CDC, the prevalence of long COVID is approximately 11% among adults reporting previous COVID-19. In August 2022, we announced plans to participate in RECLAIM trial, a grant-funded, multi-center, randomized, clinical trial to evaluate MN-166 (ibudilast) and other therapies for the treatment of Long COVID, the lingering symptoms of COVID-19. We reached an agreement to collaborate with the University Health Network, an academic health sciences center located in Toronto, which has the largest hospital-based research program in Canada. In February 2023, we announced that Health Canada completed its review of the clinical trial application and granted authorization to commence the RECLAIM trial and this study is ongoing.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firstLine="572"/>
        <w:spacing w:after="0" w:line="255" w:lineRule="auto"/>
        <w:rPr>
          <w:sz w:val="20"/>
          <w:szCs w:val="20"/>
          <w:color w:val="auto"/>
        </w:rPr>
      </w:pPr>
      <w:r>
        <w:rPr>
          <w:rFonts w:ascii="Times New Roman" w:cs="Times New Roman" w:eastAsia="Times New Roman" w:hAnsi="Times New Roman"/>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w:t>
      </w:r>
    </w:p>
    <w:p>
      <w:pPr>
        <w:spacing w:after="0" w:line="189" w:lineRule="exact"/>
        <w:rPr>
          <w:sz w:val="20"/>
          <w:szCs w:val="20"/>
          <w:color w:val="auto"/>
        </w:rPr>
      </w:pPr>
    </w:p>
    <w:p>
      <w:pPr>
        <w:ind w:right="260" w:firstLine="560"/>
        <w:spacing w:after="0" w:line="282" w:lineRule="auto"/>
        <w:rPr>
          <w:sz w:val="20"/>
          <w:szCs w:val="20"/>
          <w:color w:val="auto"/>
        </w:rPr>
      </w:pPr>
      <w:r>
        <w:rPr>
          <w:rFonts w:ascii="Times New Roman" w:cs="Times New Roman" w:eastAsia="Times New Roman" w:hAnsi="Times New Roman"/>
          <w:sz w:val="18"/>
          <w:szCs w:val="18"/>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60" w:lineRule="exact"/>
        <w:rPr>
          <w:sz w:val="20"/>
          <w:szCs w:val="20"/>
          <w:color w:val="auto"/>
        </w:rPr>
      </w:pPr>
    </w:p>
    <w:p>
      <w:pPr>
        <w:ind w:firstLine="572"/>
        <w:spacing w:after="0" w:line="267" w:lineRule="auto"/>
        <w:rPr>
          <w:sz w:val="20"/>
          <w:szCs w:val="20"/>
          <w:color w:val="auto"/>
        </w:rPr>
      </w:pPr>
      <w:r>
        <w:rPr>
          <w:rFonts w:ascii="Times New Roman" w:cs="Times New Roman" w:eastAsia="Times New Roman" w:hAnsi="Times New Roman"/>
          <w:sz w:val="18"/>
          <w:szCs w:val="18"/>
          <w:i w:val="1"/>
          <w:iCs w:val="1"/>
          <w:color w:val="auto"/>
        </w:rPr>
        <w:t>Nonalcoholic Steatohepatitis and Nonalcoholic Fatty Liver Disease</w:t>
      </w:r>
      <w:r>
        <w:rPr>
          <w:rFonts w:ascii="Times New Roman" w:cs="Times New Roman" w:eastAsia="Times New Roman" w:hAnsi="Times New Roman"/>
          <w:sz w:val="18"/>
          <w:szCs w:val="18"/>
          <w:color w:val="auto"/>
        </w:rPr>
        <w:t>: NAFLD is a condition in which there is fat in the liver. Some individuals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NAFLD can develop NASH, a condition in which there is fat in the liver along with inflammation and damage to liver cells. NASH is a common liver disease that resembles alcoholic liver disease but occurs in people who drink little or no alcohol. According to the United States National Institute 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0" w:name="page21"/>
    <w:bookmarkEnd w:id="20"/>
    <w:p>
      <w:pPr>
        <w:ind w:right="80"/>
        <w:spacing w:after="0" w:line="261" w:lineRule="auto"/>
        <w:rPr>
          <w:sz w:val="20"/>
          <w:szCs w:val="20"/>
          <w:color w:val="auto"/>
        </w:rPr>
      </w:pPr>
      <w:r>
        <w:rPr>
          <w:rFonts w:ascii="Times New Roman" w:cs="Times New Roman" w:eastAsia="Times New Roman" w:hAnsi="Times New Roman"/>
          <w:sz w:val="18"/>
          <w:szCs w:val="18"/>
          <w:color w:val="auto"/>
        </w:rPr>
        <w:t>Diabetes and Digestive and Kidney Diseases (NIDDK), NASH prevalence in adults in the United States is 1.5 - 6.5%, and approximately 24% of U.S. adults have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NAFLD or NASH.</w:t>
      </w:r>
    </w:p>
    <w:p>
      <w:pPr>
        <w:spacing w:after="0" w:line="180" w:lineRule="exact"/>
        <w:rPr>
          <w:sz w:val="20"/>
          <w:szCs w:val="20"/>
          <w:color w:val="auto"/>
        </w:rPr>
      </w:pPr>
    </w:p>
    <w:p>
      <w:pPr>
        <w:ind w:right="40" w:firstLine="560"/>
        <w:spacing w:after="0" w:line="252" w:lineRule="auto"/>
        <w:rPr>
          <w:sz w:val="20"/>
          <w:szCs w:val="20"/>
          <w:color w:val="auto"/>
        </w:rPr>
      </w:pPr>
      <w:r>
        <w:rPr>
          <w:rFonts w:ascii="Times New Roman" w:cs="Times New Roman" w:eastAsia="Times New Roman" w:hAnsi="Times New Roman"/>
          <w:sz w:val="18"/>
          <w:szCs w:val="18"/>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196"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We have an open IND and the FDA has approved three different Phase 2 clinical trial protocols for MN-001 (tipelukast) for the treatment of NASH and NAFLD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The FDA has granted Fast Track designation to MN-001 (tipelukast) for the treatment of patients with NASH with fibrosis.</w:t>
      </w:r>
    </w:p>
    <w:p>
      <w:pPr>
        <w:spacing w:after="0" w:line="183" w:lineRule="exact"/>
        <w:rPr>
          <w:sz w:val="20"/>
          <w:szCs w:val="20"/>
          <w:color w:val="auto"/>
        </w:rPr>
      </w:pPr>
    </w:p>
    <w:p>
      <w:pPr>
        <w:ind w:right="60" w:firstLine="572"/>
        <w:spacing w:after="0" w:line="253" w:lineRule="auto"/>
        <w:rPr>
          <w:sz w:val="20"/>
          <w:szCs w:val="20"/>
          <w:color w:val="auto"/>
        </w:rPr>
      </w:pPr>
      <w:r>
        <w:rPr>
          <w:rFonts w:ascii="Times New Roman" w:cs="Times New Roman" w:eastAsia="Times New Roman" w:hAnsi="Times New Roman"/>
          <w:sz w:val="18"/>
          <w:szCs w:val="18"/>
          <w:color w:val="auto"/>
        </w:rPr>
        <w:t>In November 2020, we announced positive results of in-vitro and in-vivo studies that evaluated MN-001 (tipelukast) for its anti-liver fibrotic effect in HSCs and in an acute liver injury model at the annual meeting of the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 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spacing w:after="0" w:line="194" w:lineRule="exact"/>
        <w:rPr>
          <w:sz w:val="20"/>
          <w:szCs w:val="20"/>
          <w:color w:val="auto"/>
        </w:rPr>
      </w:pPr>
    </w:p>
    <w:p>
      <w:pPr>
        <w:ind w:right="60" w:firstLine="539"/>
        <w:spacing w:after="0" w:line="253" w:lineRule="auto"/>
        <w:rPr>
          <w:sz w:val="20"/>
          <w:szCs w:val="20"/>
          <w:color w:val="auto"/>
        </w:rPr>
      </w:pPr>
      <w:r>
        <w:rPr>
          <w:rFonts w:ascii="Times New Roman" w:cs="Times New Roman" w:eastAsia="Times New Roman" w:hAnsi="Times New Roman"/>
          <w:sz w:val="18"/>
          <w:szCs w:val="18"/>
          <w:color w:val="auto"/>
        </w:rPr>
        <w:t>In April 2022, we announced that the FDA completed its review of a proposed Phase 2 clinical trial to evaluate MN-001 (tipelukast) for the treatment of patients with NAFLD, type 2 diabetes mellitus, and hypertriglyceridemia and the study may proceed. This multi-center, two-arm, randomized, double-blind, placebo-controlled Phase 2 trial will evaluate MN-001 (tipelukast) vs. placebo in approximately 40 patients in the U.S. Patients will be randomized 1:1 to receive either 500 mg/day of MN-001 (tipelukast) or placebo for 24 weeks. The co-primary endpoints are (1) change from baseline in liver fat content at Week 24, and (2) change from baseline in fasting serum triglycerides at Week 24. In July 2022, we announced the initiation of this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Compared to subjects without Type 2 diabetes mellitus (T2DM), the T2DM group showed a greater reduction in serum triglyceride levels at Week 8 (50.8% reduction for with T2DM versus 17.8% reduction for without T2DM, p=0.098). Mean HDL increase was significantly greater in subjects with T2DM than subjects without T2DM at Week 8 (15.8% versus 1.0%, p&lt;0.0002). In comparison to subjects without T2DM, the T2DM group showed a greater reduction in serum LDL levels at Week 8 (15.4% versus 6.7%).</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 MN-166 (ibudilast) Clinical Trials and Programs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Indication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Study</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Institution and Funding Agency(s)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Status</w:t>
            </w:r>
          </w:p>
        </w:tc>
      </w:tr>
      <w:tr>
        <w:trPr>
          <w:trHeight w:val="40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COVID</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Recovering from COVID-19 Lingering</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Symptoms Adaptive Integrative Medicine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 Health Network</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(RECLAIM) Trial</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Controlled, Parallel Group Study to Evaluate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Tolerability and Activity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Progressive and</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166) in Subjects with Progressive Multiple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Cleveland Clinic / Multicenter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Secondary Progressive</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Sclerosis</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Institute on Neurological Diseases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Stroke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6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gridSpan w:val="2"/>
          </w:tcPr>
          <w:p>
            <w:pPr>
              <w:jc w:val="right"/>
              <w:ind w:right="319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Single-Center, Randomized, Double-Blind,</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Carolinas HealthCare System Neurosciences</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Placebo-Controlled, Six Month Clinical Trial</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Institute</w:t>
            </w: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Followed by an Open-Label Extension to</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Evaluate the Safety, Tolerability, and Clinical</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Endpoint Responsiveness of Ibudilast (MN-</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166) in Subjects with Amyotrophic Lateral</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Sclerosis (ALS)</w:t>
            </w: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778"/>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ALS / Biomarker</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Biomarker Study to Evaluate MN-166</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Massachusetts General Hospital</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(ibudilast) in Subjects with Amyotrophic</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9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Literal Sclerosis (ALS)</w:t>
            </w: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Phase 2b/3, Multi-Center, Randomized,</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Multicenter</w:t>
            </w: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Double-Blind, Placebo-Controlled, 12 Month</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MediciNova, Inc.</w:t>
            </w: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Clinical Trial to Evaluate the Efficacy and</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Safety of MN-166 (ibudilast) Followed by an</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Open-Label Extension in Subjects with</w:t>
            </w:r>
          </w:p>
        </w:tc>
        <w:tc>
          <w:tcPr>
            <w:tcW w:w="3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Amyotrophic Lateral Sclerosis</w:t>
            </w:r>
          </w:p>
        </w:tc>
        <w:tc>
          <w:tcPr>
            <w:tcW w:w="34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Degenerative Cervical</w:t>
      </w:r>
      <w:r>
        <w:rPr>
          <w:sz w:val="20"/>
          <w:szCs w:val="20"/>
          <w:color w:val="auto"/>
        </w:rPr>
        <w:tab/>
      </w:r>
      <w:r>
        <w:rPr>
          <w:rFonts w:ascii="Times New Roman" w:cs="Times New Roman" w:eastAsia="Times New Roman" w:hAnsi="Times New Roman"/>
          <w:sz w:val="18"/>
          <w:szCs w:val="18"/>
          <w:color w:val="auto"/>
        </w:rPr>
        <w:t>A multi-centre, double-blind, randomized,</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Myelopathy</w:t>
      </w:r>
      <w:r>
        <w:rPr>
          <w:sz w:val="20"/>
          <w:szCs w:val="20"/>
          <w:color w:val="auto"/>
        </w:rPr>
        <w:tab/>
      </w:r>
      <w:r>
        <w:rPr>
          <w:rFonts w:ascii="Times New Roman" w:cs="Times New Roman" w:eastAsia="Times New Roman" w:hAnsi="Times New Roman"/>
          <w:sz w:val="18"/>
          <w:szCs w:val="18"/>
          <w:color w:val="auto"/>
        </w:rPr>
        <w:t>placebo-controlled trial assessing the efficacy</w:t>
      </w:r>
    </w:p>
    <w:p>
      <w:pPr>
        <w:spacing w:after="0" w:line="9" w:lineRule="exact"/>
        <w:rPr>
          <w:sz w:val="20"/>
          <w:szCs w:val="20"/>
          <w:color w:val="auto"/>
        </w:rPr>
      </w:pPr>
    </w:p>
    <w:p>
      <w:pPr>
        <w:ind w:left="2160" w:right="420"/>
        <w:spacing w:after="0" w:line="255" w:lineRule="auto"/>
        <w:rPr>
          <w:sz w:val="20"/>
          <w:szCs w:val="20"/>
          <w:color w:val="auto"/>
        </w:rPr>
      </w:pPr>
      <w:r>
        <w:rPr>
          <w:rFonts w:ascii="Times New Roman" w:cs="Times New Roman" w:eastAsia="Times New Roman" w:hAnsi="Times New Roman"/>
          <w:sz w:val="18"/>
          <w:szCs w:val="18"/>
          <w:color w:val="auto"/>
        </w:rPr>
        <w:t>of Ibudilast as an adjuvant treatment to decompressive surgery for degenerative cervical myelopathy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University of Cambridge / Multicenter</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for Health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(NIHR) in the U.K.</w:t>
      </w:r>
    </w:p>
    <w:p>
      <w:pPr>
        <w:spacing w:after="0" w:line="652" w:lineRule="exact"/>
        <w:rPr>
          <w:sz w:val="20"/>
          <w:szCs w:val="20"/>
          <w:color w:val="auto"/>
        </w:rPr>
      </w:pPr>
    </w:p>
    <w:p>
      <w:pPr>
        <w:sectPr>
          <w:pgSz w:w="11900" w:h="16838" w:orient="portrait"/>
          <w:cols w:equalWidth="0" w:num="2">
            <w:col w:w="5460" w:space="200"/>
            <w:col w:w="5580"/>
          </w:cols>
          <w:pgMar w:left="320" w:top="1440" w:right="339" w:bottom="1440" w:gutter="0" w:footer="0" w:header="0"/>
          <w:type w:val="continuous"/>
        </w:sectPr>
      </w:pPr>
    </w:p>
    <w:p>
      <w:pPr>
        <w:spacing w:after="0" w:line="377" w:lineRule="exact"/>
        <w:rPr>
          <w:sz w:val="20"/>
          <w:szCs w:val="20"/>
          <w:color w:val="auto"/>
        </w:rPr>
      </w:pPr>
    </w:p>
    <w:p>
      <w:pPr>
        <w:ind w:left="20"/>
        <w:spacing w:after="0"/>
        <w:tabs>
          <w:tab w:leader="none" w:pos="2140" w:val="left"/>
          <w:tab w:leader="none" w:pos="5640" w:val="left"/>
          <w:tab w:leader="none" w:pos="9100" w:val="left"/>
        </w:tabs>
        <w:rPr>
          <w:sz w:val="20"/>
          <w:szCs w:val="20"/>
          <w:color w:val="auto"/>
        </w:rPr>
      </w:pPr>
      <w:r>
        <w:rPr>
          <w:rFonts w:ascii="Times New Roman" w:cs="Times New Roman" w:eastAsia="Times New Roman" w:hAnsi="Times New Roman"/>
          <w:sz w:val="18"/>
          <w:szCs w:val="18"/>
          <w:color w:val="auto"/>
        </w:rPr>
        <w:t>Chemotherapy-Induced</w:t>
      </w:r>
      <w:r>
        <w:rPr>
          <w:sz w:val="20"/>
          <w:szCs w:val="20"/>
          <w:color w:val="auto"/>
        </w:rPr>
        <w:tab/>
      </w:r>
      <w:r>
        <w:rPr>
          <w:rFonts w:ascii="Times New Roman" w:cs="Times New Roman" w:eastAsia="Times New Roman" w:hAnsi="Times New Roman"/>
          <w:sz w:val="18"/>
          <w:szCs w:val="18"/>
          <w:color w:val="auto"/>
        </w:rPr>
        <w:t>A pilot study evaluating the impact of</w:t>
      </w:r>
      <w:r>
        <w:rPr>
          <w:sz w:val="20"/>
          <w:szCs w:val="20"/>
          <w:color w:val="auto"/>
        </w:rPr>
        <w:tab/>
      </w:r>
      <w:r>
        <w:rPr>
          <w:rFonts w:ascii="Times New Roman" w:cs="Times New Roman" w:eastAsia="Times New Roman" w:hAnsi="Times New Roman"/>
          <w:sz w:val="18"/>
          <w:szCs w:val="18"/>
          <w:color w:val="auto"/>
        </w:rPr>
        <w:t>University of Sydney</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ind w:left="20"/>
        <w:spacing w:after="0"/>
        <w:tabs>
          <w:tab w:leader="none" w:pos="2140" w:val="left"/>
          <w:tab w:leader="none" w:pos="5640" w:val="left"/>
        </w:tabs>
        <w:rPr>
          <w:sz w:val="20"/>
          <w:szCs w:val="20"/>
          <w:color w:val="auto"/>
        </w:rPr>
      </w:pPr>
      <w:r>
        <w:rPr>
          <w:rFonts w:ascii="Times New Roman" w:cs="Times New Roman" w:eastAsia="Times New Roman" w:hAnsi="Times New Roman"/>
          <w:sz w:val="18"/>
          <w:szCs w:val="18"/>
          <w:color w:val="auto"/>
        </w:rPr>
        <w:t>Peripheral Neuropathy</w:t>
      </w:r>
      <w:r>
        <w:rPr>
          <w:sz w:val="20"/>
          <w:szCs w:val="20"/>
          <w:color w:val="auto"/>
        </w:rPr>
        <w:tab/>
      </w:r>
      <w:r>
        <w:rPr>
          <w:rFonts w:ascii="Times New Roman" w:cs="Times New Roman" w:eastAsia="Times New Roman" w:hAnsi="Times New Roman"/>
          <w:sz w:val="18"/>
          <w:szCs w:val="18"/>
          <w:color w:val="auto"/>
        </w:rPr>
        <w:t>ibudilast on prevention of chemotherapy-</w:t>
      </w:r>
      <w:r>
        <w:rPr>
          <w:sz w:val="20"/>
          <w:szCs w:val="20"/>
          <w:color w:val="auto"/>
        </w:rPr>
        <w:tab/>
      </w:r>
      <w:r>
        <w:rPr>
          <w:rFonts w:ascii="Times New Roman" w:cs="Times New Roman" w:eastAsia="Times New Roman" w:hAnsi="Times New Roman"/>
          <w:sz w:val="17"/>
          <w:szCs w:val="17"/>
          <w:color w:val="auto"/>
        </w:rPr>
        <w:t>Concord Cancer Centre in Australia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induced acute neurotoxicity and evaluating</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pharmacokinetics with oxaliplatin in gastro-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intestinal cancer patients receiving oxaliplatin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Chemotherapy-Induced</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 Oxaliplatin neurotoxicity be reduced with</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University of Sydney</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Ongoing</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Peripheral Neuropathy</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ibudilast in people with metastatic colorectal</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Australasian Gastro-Intestinal Trials Group in</w:t>
            </w:r>
          </w:p>
        </w:tc>
        <w:tc>
          <w:tcPr>
            <w:tcW w:w="72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cancer – a phase II randomized study</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Glioblastoma</w:t>
            </w:r>
          </w:p>
        </w:tc>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Phase 1b/2a Multi-center, Open-label, Dose</w:t>
            </w: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Escalation Study to Evaluate the Safety,</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Dana-Farber Cancer Institute</w:t>
            </w:r>
          </w:p>
        </w:tc>
        <w:tc>
          <w:tcPr>
            <w:tcW w:w="2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Completed</w:t>
            </w:r>
          </w:p>
        </w:tc>
      </w:tr>
      <w:tr>
        <w:trPr>
          <w:trHeight w:val="234"/>
        </w:trPr>
        <w:tc>
          <w:tcPr>
            <w:tcW w:w="1580" w:type="dxa"/>
            <w:vAlign w:val="bottom"/>
          </w:tcPr>
          <w:p>
            <w:pPr>
              <w:spacing w:after="0"/>
              <w:rPr>
                <w:sz w:val="20"/>
                <w:szCs w:val="20"/>
                <w:color w:val="auto"/>
              </w:rPr>
            </w:pPr>
          </w:p>
        </w:tc>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Tolerability</w:t>
            </w:r>
          </w:p>
        </w:tc>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MediciNova, Inc.</w:t>
            </w:r>
          </w:p>
        </w:tc>
        <w:tc>
          <w:tcPr>
            <w:tcW w:w="2800" w:type="dxa"/>
            <w:vAlign w:val="bottom"/>
          </w:tcPr>
          <w:p>
            <w:pPr>
              <w:spacing w:after="0"/>
              <w:rPr>
                <w:sz w:val="20"/>
                <w:szCs w:val="20"/>
                <w:color w:val="auto"/>
              </w:rPr>
            </w:pPr>
          </w:p>
        </w:tc>
      </w:tr>
      <w:tr>
        <w:trPr>
          <w:trHeight w:val="648"/>
        </w:trPr>
        <w:tc>
          <w:tcPr>
            <w:tcW w:w="1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2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22</w:t>
            </w:r>
          </w:p>
        </w:tc>
        <w:tc>
          <w:tcPr>
            <w:tcW w:w="2800" w:type="dxa"/>
            <w:vAlign w:val="bottom"/>
          </w:tcPr>
          <w:p>
            <w:pPr>
              <w:spacing w:after="0"/>
              <w:rPr>
                <w:sz w:val="24"/>
                <w:szCs w:val="24"/>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ind w:left="2160"/>
        <w:spacing w:after="0"/>
        <w:rPr>
          <w:sz w:val="20"/>
          <w:szCs w:val="20"/>
          <w:color w:val="auto"/>
        </w:rPr>
      </w:pPr>
      <w:r>
        <w:rPr>
          <w:rFonts w:ascii="Times New Roman" w:cs="Times New Roman" w:eastAsia="Times New Roman" w:hAnsi="Times New Roman"/>
          <w:sz w:val="18"/>
          <w:szCs w:val="18"/>
          <w:color w:val="auto"/>
        </w:rPr>
        <w:t>and Efficacy of MN-166 (ibudilast) and</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Temozolomide Combination Treatment 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Patients With Glioblastoma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Substance Dependence /</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Addiction:</w:t>
      </w:r>
    </w:p>
    <w:p>
      <w:pPr>
        <w:sectPr>
          <w:pgSz w:w="11900" w:h="16838" w:orient="portrait"/>
          <w:cols w:equalWidth="0" w:num="1">
            <w:col w:w="11040"/>
          </w:cols>
          <w:pgMar w:left="320" w:top="1417" w:right="5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Methamphetamine</w:t>
      </w:r>
      <w:r>
        <w:rPr>
          <w:sz w:val="20"/>
          <w:szCs w:val="20"/>
          <w:color w:val="auto"/>
        </w:rPr>
        <w:tab/>
      </w:r>
      <w:r>
        <w:rPr>
          <w:rFonts w:ascii="Times New Roman" w:cs="Times New Roman" w:eastAsia="Times New Roman" w:hAnsi="Times New Roman"/>
          <w:sz w:val="18"/>
          <w:szCs w:val="18"/>
          <w:color w:val="auto"/>
        </w:rPr>
        <w:t>Randomized Trial of Ibudilast for</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Dependence</w:t>
      </w:r>
      <w:r>
        <w:rPr>
          <w:sz w:val="20"/>
          <w:szCs w:val="20"/>
          <w:color w:val="auto"/>
        </w:rPr>
        <w:tab/>
      </w:r>
      <w:r>
        <w:rPr>
          <w:rFonts w:ascii="Times New Roman" w:cs="Times New Roman" w:eastAsia="Times New Roman" w:hAnsi="Times New Roman"/>
          <w:sz w:val="18"/>
          <w:szCs w:val="18"/>
          <w:color w:val="auto"/>
        </w:rPr>
        <w:t>Methamphetamine Dependence</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Methamphetamine</w:t>
      </w:r>
      <w:r>
        <w:rPr>
          <w:sz w:val="20"/>
          <w:szCs w:val="20"/>
          <w:color w:val="auto"/>
        </w:rPr>
        <w:tab/>
      </w:r>
      <w:r>
        <w:rPr>
          <w:rFonts w:ascii="Times New Roman" w:cs="Times New Roman" w:eastAsia="Times New Roman" w:hAnsi="Times New Roman"/>
          <w:sz w:val="18"/>
          <w:szCs w:val="18"/>
          <w:color w:val="auto"/>
        </w:rPr>
        <w:t>Effect of Ibudilast on Neuroinflammation in</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Dependence / Biomarker</w:t>
      </w:r>
      <w:r>
        <w:rPr>
          <w:sz w:val="20"/>
          <w:szCs w:val="20"/>
          <w:color w:val="auto"/>
        </w:rPr>
        <w:tab/>
      </w:r>
      <w:r>
        <w:rPr>
          <w:rFonts w:ascii="Times New Roman" w:cs="Times New Roman" w:eastAsia="Times New Roman" w:hAnsi="Times New Roman"/>
          <w:sz w:val="18"/>
          <w:szCs w:val="18"/>
          <w:color w:val="auto"/>
        </w:rPr>
        <w:t>Methamphetamine Users</w:t>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Opioid Dependence</w:t>
      </w:r>
      <w:r>
        <w:rPr>
          <w:sz w:val="20"/>
          <w:szCs w:val="20"/>
          <w:color w:val="auto"/>
        </w:rPr>
        <w:tab/>
      </w:r>
      <w:r>
        <w:rPr>
          <w:rFonts w:ascii="Times New Roman" w:cs="Times New Roman" w:eastAsia="Times New Roman" w:hAnsi="Times New Roman"/>
          <w:sz w:val="18"/>
          <w:szCs w:val="18"/>
          <w:color w:val="auto"/>
        </w:rPr>
        <w:t>Effects of Ibudilast (MN-166), a Glial</w:t>
      </w:r>
    </w:p>
    <w:p>
      <w:pPr>
        <w:spacing w:after="0" w:line="27" w:lineRule="exact"/>
        <w:rPr>
          <w:sz w:val="20"/>
          <w:szCs w:val="20"/>
          <w:color w:val="auto"/>
        </w:rPr>
      </w:pPr>
    </w:p>
    <w:p>
      <w:pPr>
        <w:ind w:left="2160" w:right="260"/>
        <w:spacing w:after="0" w:line="260" w:lineRule="auto"/>
        <w:rPr>
          <w:sz w:val="20"/>
          <w:szCs w:val="20"/>
          <w:color w:val="auto"/>
        </w:rPr>
      </w:pPr>
      <w:r>
        <w:rPr>
          <w:rFonts w:ascii="Times New Roman" w:cs="Times New Roman" w:eastAsia="Times New Roman" w:hAnsi="Times New Roman"/>
          <w:sz w:val="18"/>
          <w:szCs w:val="18"/>
          <w:color w:val="auto"/>
        </w:rPr>
        <w:t>Activation Inhibitor, on Oxycodone Self-Administration in Opioid Abusers</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w:t>
      </w:r>
      <w:r>
        <w:rPr>
          <w:sz w:val="20"/>
          <w:szCs w:val="20"/>
          <w:color w:val="auto"/>
        </w:rPr>
        <w:tab/>
      </w:r>
      <w:r>
        <w:rPr>
          <w:rFonts w:ascii="Times New Roman" w:cs="Times New Roman" w:eastAsia="Times New Roman" w:hAnsi="Times New Roman"/>
          <w:sz w:val="17"/>
          <w:szCs w:val="17"/>
          <w:color w:val="auto"/>
        </w:rPr>
        <w:t>Development of Ibudilast (MN-166) as</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 Novel Treatment for Alcoholism</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 and</w:t>
      </w:r>
      <w:r>
        <w:rPr>
          <w:sz w:val="20"/>
          <w:szCs w:val="20"/>
          <w:color w:val="auto"/>
        </w:rPr>
        <w:tab/>
      </w:r>
      <w:r>
        <w:rPr>
          <w:rFonts w:ascii="Times New Roman" w:cs="Times New Roman" w:eastAsia="Times New Roman" w:hAnsi="Times New Roman"/>
          <w:sz w:val="18"/>
          <w:szCs w:val="18"/>
          <w:color w:val="auto"/>
        </w:rPr>
        <w:t>Ibudilast (MN-166) and Withdrawal-Related</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Withdrawal</w:t>
      </w:r>
      <w:r>
        <w:rPr>
          <w:sz w:val="20"/>
          <w:szCs w:val="20"/>
          <w:color w:val="auto"/>
        </w:rPr>
        <w:tab/>
      </w:r>
      <w:r>
        <w:rPr>
          <w:rFonts w:ascii="Times New Roman" w:cs="Times New Roman" w:eastAsia="Times New Roman" w:hAnsi="Times New Roman"/>
          <w:sz w:val="18"/>
          <w:szCs w:val="18"/>
          <w:color w:val="auto"/>
        </w:rPr>
        <w:t>Dysphoria</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w:t>
      </w:r>
      <w:r>
        <w:rPr>
          <w:sz w:val="20"/>
          <w:szCs w:val="20"/>
          <w:color w:val="auto"/>
        </w:rPr>
        <w:tab/>
      </w:r>
      <w:r>
        <w:rPr>
          <w:rFonts w:ascii="Times New Roman" w:cs="Times New Roman" w:eastAsia="Times New Roman" w:hAnsi="Times New Roman"/>
          <w:sz w:val="18"/>
          <w:szCs w:val="18"/>
          <w:color w:val="auto"/>
        </w:rPr>
        <w:t>Ibudilast (MN-166) for the Treatment of</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Alcohol Use Disorder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200" w:lineRule="exact"/>
        <w:rPr>
          <w:sz w:val="20"/>
          <w:szCs w:val="20"/>
          <w:color w:val="auto"/>
        </w:rPr>
      </w:pPr>
    </w:p>
    <w:p>
      <w:pPr>
        <w:spacing w:after="0" w:line="250"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Oregon Health &amp; Science University</w:t>
      </w:r>
      <w:r>
        <w:rPr>
          <w:sz w:val="20"/>
          <w:szCs w:val="20"/>
          <w:color w:val="auto"/>
        </w:rPr>
        <w:tab/>
      </w:r>
      <w:r>
        <w:rPr>
          <w:rFonts w:ascii="Times New Roman" w:cs="Times New Roman" w:eastAsia="Times New Roman" w:hAnsi="Times New Roman"/>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Columbia University / NYSPI</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00" w:lineRule="exact"/>
        <w:rPr>
          <w:sz w:val="20"/>
          <w:szCs w:val="20"/>
          <w:color w:val="auto"/>
        </w:rPr>
      </w:pPr>
    </w:p>
    <w:p>
      <w:pPr>
        <w:spacing w:after="0" w:line="317"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Alcoholism</w:t>
      </w:r>
    </w:p>
    <w:p>
      <w:pPr>
        <w:spacing w:after="0" w:line="288"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200" w:lineRule="exact"/>
        <w:rPr>
          <w:sz w:val="20"/>
          <w:szCs w:val="20"/>
          <w:color w:val="auto"/>
        </w:rPr>
      </w:pPr>
    </w:p>
    <w:p>
      <w:pPr>
        <w:spacing w:after="0" w:line="223"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Alcoholism</w:t>
      </w:r>
    </w:p>
    <w:p>
      <w:pPr>
        <w:spacing w:after="0" w:line="200" w:lineRule="exact"/>
        <w:rPr>
          <w:sz w:val="20"/>
          <w:szCs w:val="20"/>
          <w:color w:val="auto"/>
        </w:rPr>
      </w:pPr>
    </w:p>
    <w:p>
      <w:pPr>
        <w:sectPr>
          <w:pgSz w:w="11900" w:h="16838" w:orient="portrait"/>
          <w:cols w:equalWidth="0" w:num="2">
            <w:col w:w="5400" w:space="260"/>
            <w:col w:w="5380"/>
          </w:cols>
          <w:pgMar w:left="320" w:top="1417" w:right="5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60"/>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type w:val="continuous"/>
        </w:sectPr>
      </w:pPr>
    </w:p>
    <w:bookmarkStart w:id="24" w:name="page25"/>
    <w:bookmarkEnd w:id="24"/>
    <w:p>
      <w:pPr>
        <w:ind w:right="60" w:firstLine="560"/>
        <w:spacing w:after="0" w:line="236" w:lineRule="auto"/>
        <w:rPr>
          <w:sz w:val="20"/>
          <w:szCs w:val="20"/>
          <w:color w:val="auto"/>
        </w:rPr>
      </w:pPr>
      <w:r>
        <w:rPr>
          <w:rFonts w:ascii="Times New Roman" w:cs="Times New Roman" w:eastAsia="Times New Roman" w:hAnsi="Times New Roman"/>
          <w:sz w:val="18"/>
          <w:szCs w:val="18"/>
          <w:color w:val="auto"/>
        </w:rPr>
        <w:t>For the MN-166 (ibudilast) development program, we have historically sourced and imported delayed-release ibudilast capsules, marketed in Japan as Pinatos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Taisho Pharmaceutical Co., Ltd. (Taisho). In addition, we use contract manufacturers to manufacture API and finished product for the MN-166 (ibudilast) development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 Agreements</w:t>
      </w:r>
    </w:p>
    <w:p>
      <w:pPr>
        <w:spacing w:after="0" w:line="121" w:lineRule="exact"/>
        <w:rPr>
          <w:sz w:val="20"/>
          <w:szCs w:val="20"/>
          <w:color w:val="auto"/>
        </w:rPr>
      </w:pPr>
    </w:p>
    <w:p>
      <w:pPr>
        <w:ind w:right="180" w:firstLine="560"/>
        <w:spacing w:after="0" w:line="255" w:lineRule="auto"/>
        <w:rPr>
          <w:sz w:val="20"/>
          <w:szCs w:val="20"/>
          <w:color w:val="auto"/>
        </w:rPr>
      </w:pPr>
      <w:r>
        <w:rPr>
          <w:rFonts w:ascii="Times New Roman" w:cs="Times New Roman" w:eastAsia="Times New Roman" w:hAnsi="Times New Roman"/>
          <w:sz w:val="18"/>
          <w:szCs w:val="18"/>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We hold 40 issued U.S. patents and have filed 4 additional U.S. patent applications. We also hold 124 issued foreign patents and 26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(ibudilast). Kyorin is a fully integrated Japanese pharmaceutical company and is listed on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92" w:lineRule="exact"/>
        <w:rPr>
          <w:sz w:val="20"/>
          <w:szCs w:val="20"/>
          <w:color w:val="auto"/>
        </w:rPr>
      </w:pPr>
    </w:p>
    <w:p>
      <w:pPr>
        <w:ind w:right="460" w:firstLine="560"/>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76"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3"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62" w:lineRule="exact"/>
        <w:rPr>
          <w:sz w:val="20"/>
          <w:szCs w:val="20"/>
          <w:color w:val="auto"/>
        </w:rPr>
      </w:pPr>
    </w:p>
    <w:p>
      <w:pPr>
        <w:ind w:right="500" w:firstLine="560"/>
        <w:spacing w:after="0" w:line="282" w:lineRule="auto"/>
        <w:rPr>
          <w:sz w:val="20"/>
          <w:szCs w:val="20"/>
          <w:color w:val="auto"/>
        </w:rPr>
      </w:pPr>
      <w:r>
        <w:rPr>
          <w:rFonts w:ascii="Times New Roman" w:cs="Times New Roman" w:eastAsia="Times New Roman" w:hAnsi="Times New Roman"/>
          <w:sz w:val="18"/>
          <w:szCs w:val="18"/>
          <w:color w:val="auto"/>
        </w:rPr>
        <w:t>We own, co-own or hold licenses to 21 issued U.S. patents and 4 pending U.S. patent applications as well as 50 issued foreign patents and 21 pending foreign patent applications covering MN-166 (ibudilast)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ind w:right="620"/>
        <w:spacing w:after="0" w:line="282" w:lineRule="auto"/>
        <w:rPr>
          <w:sz w:val="20"/>
          <w:szCs w:val="20"/>
          <w:color w:val="auto"/>
        </w:rPr>
      </w:pPr>
      <w:r>
        <w:rPr>
          <w:rFonts w:ascii="Times New Roman" w:cs="Times New Roman" w:eastAsia="Times New Roman" w:hAnsi="Times New Roman"/>
          <w:sz w:val="18"/>
          <w:szCs w:val="18"/>
          <w:color w:val="auto"/>
        </w:rPr>
        <w:t>its analogs. These patents and patent applications are related to our development portfolio and are primarily directed to methods of treating various indications using MN-166 (ibudilast) and its analogs.</w:t>
      </w:r>
    </w:p>
    <w:p>
      <w:pPr>
        <w:spacing w:after="0" w:line="162"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 granted a U.S. patent which covers the use of MN-166 (ibudilast) for the treatment of amyotrophic lateral sclerosis (ALS) and it expires no earlier than January 2029. We have been granted a U.S. patent which covers the combination of MN-166 (ibudilast) and riluzole for the treatment of ALS and other neurodegenerative diseases and it expires no earlier than November 2035. Counterparts of this patent application have been granted in certain foreign jurisdictions. We have been granted two U.S. patents which cover the use of MN-166 (ibudilast) as part of a combination treatment for glioblastoma and these patents expire no earlier than February 2039.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right="20" w:firstLine="560"/>
        <w:spacing w:after="0" w:line="253"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own 9 U.S. patents and 65 foreign patents covering certain compositions, uses and manufacturing processes associated with MN-001 (tipelukast) and MN-002. Uses covered by these U.S.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92" w:lineRule="exact"/>
        <w:rPr>
          <w:sz w:val="20"/>
          <w:szCs w:val="20"/>
          <w:color w:val="auto"/>
        </w:rPr>
      </w:pPr>
    </w:p>
    <w:p>
      <w:pPr>
        <w:ind w:right="220" w:firstLine="56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87" w:lineRule="exact"/>
        <w:rPr>
          <w:sz w:val="20"/>
          <w:szCs w:val="20"/>
          <w:color w:val="auto"/>
        </w:rPr>
      </w:pPr>
    </w:p>
    <w:p>
      <w:pPr>
        <w:ind w:right="80" w:firstLine="560"/>
        <w:spacing w:after="0" w:line="266"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6" w:name="page27"/>
    <w:bookmarkEnd w:id="26"/>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6" w:lineRule="exact"/>
        <w:rPr>
          <w:sz w:val="20"/>
          <w:szCs w:val="20"/>
          <w:color w:val="auto"/>
        </w:rPr>
      </w:pPr>
    </w:p>
    <w:p>
      <w:pPr>
        <w:ind w:right="12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190" w:lineRule="exact"/>
        <w:rPr>
          <w:sz w:val="20"/>
          <w:szCs w:val="20"/>
          <w:color w:val="auto"/>
        </w:rPr>
      </w:pPr>
    </w:p>
    <w:p>
      <w:pPr>
        <w:ind w:right="40" w:firstLine="560"/>
        <w:spacing w:after="0" w:line="254"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92" w:lineRule="exact"/>
        <w:rPr>
          <w:sz w:val="20"/>
          <w:szCs w:val="20"/>
          <w:color w:val="auto"/>
        </w:rPr>
      </w:pPr>
    </w:p>
    <w:p>
      <w:pPr>
        <w:ind w:firstLine="560"/>
        <w:spacing w:after="0" w:line="256" w:lineRule="auto"/>
        <w:rPr>
          <w:sz w:val="20"/>
          <w:szCs w:val="20"/>
          <w:color w:val="auto"/>
        </w:rPr>
      </w:pPr>
      <w:r>
        <w:rPr>
          <w:rFonts w:ascii="Times New Roman" w:cs="Times New Roman" w:eastAsia="Times New Roman" w:hAnsi="Times New Roman"/>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7" w:name="page28"/>
    <w:bookmarkEnd w:id="27"/>
    <w:p>
      <w:pPr>
        <w:spacing w:after="0" w:line="86"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8" w:lineRule="exact"/>
        <w:rPr>
          <w:sz w:val="20"/>
          <w:szCs w:val="20"/>
          <w:color w:val="auto"/>
        </w:rPr>
      </w:pPr>
    </w:p>
    <w:p>
      <w:pPr>
        <w:ind w:right="220" w:firstLine="560"/>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Progressive Multiple Sclerosis (Progressive MS)</w:t>
      </w:r>
    </w:p>
    <w:p>
      <w:pPr>
        <w:spacing w:after="0" w:line="119" w:lineRule="exact"/>
        <w:rPr>
          <w:sz w:val="20"/>
          <w:szCs w:val="20"/>
          <w:color w:val="auto"/>
        </w:rPr>
      </w:pPr>
    </w:p>
    <w:p>
      <w:pPr>
        <w:ind w:right="200" w:firstLine="672"/>
        <w:spacing w:after="0" w:line="253" w:lineRule="auto"/>
        <w:rPr>
          <w:sz w:val="20"/>
          <w:szCs w:val="20"/>
          <w:color w:val="auto"/>
        </w:rPr>
      </w:pPr>
      <w:r>
        <w:rPr>
          <w:rFonts w:ascii="Times New Roman" w:cs="Times New Roman" w:eastAsia="Times New Roman" w:hAnsi="Times New Roman"/>
          <w:sz w:val="18"/>
          <w:szCs w:val="18"/>
          <w:color w:val="auto"/>
        </w:rPr>
        <w:t>Our MN-166 (ibudilast) product candidate is in development for the treatment of progressive MS. Mitoxantrone is approved for the treatment of secondary progressive MS but it cannot be used on a long-term basis because of the potential for cardiac toxicity. There are numerous drugs approved for the treatment of secondary progressive MS with relapses (also known as active secondary progressive MS) including Mayzent (siponimod), Mavenclad (cladribine), Vumerity (diroximel fumarate), Zeposia (ozanimod), Kesimpta (ofatumumab), Bafiertam (monomethyl fumarate), Ponvory (ponesimod), Briumvi (ublituximab-xiiy), Avonex (interferon beta-1a), Betaseron (interferon beta-1b), Rebif (interferon beta-1a), Extavia (interferon beta-1b), Plegridy (peginterferon beta-1a), Copaxone (glatiramer acetate), Glatopa (glatiramer acetate), Gilenya (fingolimod), Aubagio (teriflunomide), Tascenso ODT (fingolimod), Tecfidera (dimethyl fumarate), Lemtrada (alemtuzumab), Tysabri (natalizumab) and Tyruko (natalizumab-sztn). Ocrevus (ocrelizumab) is approved for the treatment of primary progressive MS and secondary progressive MS with relapses. There are no drugs specifically approved for the treatment of secondary progressive MS without relapses. Other programs in clinical development for progressive MS include Sanofi’s tolebrutinib, Roche’s fenebrutinib, and AB Science’s masitinib.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Amyotrophic Lateral Sclerosis (ALS)</w:t>
      </w:r>
    </w:p>
    <w:p>
      <w:pPr>
        <w:spacing w:after="0" w:line="119" w:lineRule="exact"/>
        <w:rPr>
          <w:sz w:val="20"/>
          <w:szCs w:val="20"/>
          <w:color w:val="auto"/>
        </w:rPr>
      </w:pPr>
    </w:p>
    <w:p>
      <w:pPr>
        <w:ind w:right="180" w:firstLine="672"/>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ALS. Generic riluzole, which is also sold under the brand names Rilutek and Tiglutik, Radicava (edaravone), Relyvrio (sodium phenylbutyrate and taurursodiol), and Qalsody (tofersen) are approved for the treatment of ALS. We are aware of additional compounds in clinical development for the treatment of ALS at other companies including BrainStorm Cell Therapeutics, AB Science, Biogen, Ionis Pharmaceuticals, and Clene.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Substance Dependence and Addiction</w:t>
      </w:r>
    </w:p>
    <w:p>
      <w:pPr>
        <w:spacing w:after="0" w:line="119" w:lineRule="exact"/>
        <w:rPr>
          <w:sz w:val="20"/>
          <w:szCs w:val="20"/>
          <w:color w:val="auto"/>
        </w:rPr>
      </w:pPr>
    </w:p>
    <w:p>
      <w:pPr>
        <w:ind w:right="480" w:firstLine="672"/>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and Indivior’s Sublocade (buprenorphine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extended-release injection). In May 2023, Braeburn announced FDA approval of BRIXADI (buprenorphine) extended-release injection for subcutaneous use, a new weekly and monthly medication for moderate to severe opioid use disorder in patients who have initiated treatment with a single dose of a transmucosal buprenorphine product or who are already being treated with a transmucosal buprenorphine-containing product.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InterveXion Therapeutics is developing a treatment for methamphetamine use disorder. Approved treatments for alcohol dependence include Antabuse (disulfiram), Vivitrol (naltrexone), and generic acamprosate. We are aware of additional treatments in development for the treatment of alcohol use disorder at other companies including Indivior and Adial Pharmaceuticals.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Chemotherapy-Induced Peripheral Neuropathy</w:t>
      </w:r>
    </w:p>
    <w:p>
      <w:pPr>
        <w:spacing w:after="0" w:line="119" w:lineRule="exact"/>
        <w:rPr>
          <w:sz w:val="20"/>
          <w:szCs w:val="20"/>
          <w:color w:val="auto"/>
        </w:rPr>
      </w:pPr>
    </w:p>
    <w:p>
      <w:pPr>
        <w:ind w:right="260" w:firstLine="560"/>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 We are aware of treatments in development for the treatment of chemotherapy-induced peripheral neuropathy at other companies including AlgoTherapeutix (AlgoTx), Sonnet BioTherapeutics, and WinSanTor.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Degenerative Cervical Myelopathy</w:t>
      </w:r>
    </w:p>
    <w:p>
      <w:pPr>
        <w:spacing w:after="0" w:line="119" w:lineRule="exact"/>
        <w:rPr>
          <w:sz w:val="20"/>
          <w:szCs w:val="20"/>
          <w:color w:val="auto"/>
        </w:rPr>
      </w:pPr>
    </w:p>
    <w:p>
      <w:pPr>
        <w:ind w:right="880" w:firstLine="560"/>
        <w:spacing w:after="0" w:line="282"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Glioblastoma</w:t>
      </w:r>
    </w:p>
    <w:p>
      <w:pPr>
        <w:spacing w:after="0" w:line="119" w:lineRule="exact"/>
        <w:rPr>
          <w:sz w:val="20"/>
          <w:szCs w:val="20"/>
          <w:color w:val="auto"/>
        </w:rPr>
      </w:pPr>
    </w:p>
    <w:p>
      <w:pPr>
        <w:ind w:right="180" w:firstLine="659"/>
        <w:spacing w:after="0" w:line="258" w:lineRule="auto"/>
        <w:rPr>
          <w:sz w:val="20"/>
          <w:szCs w:val="20"/>
          <w:color w:val="auto"/>
        </w:rPr>
      </w:pPr>
      <w:r>
        <w:rPr>
          <w:rFonts w:ascii="Times New Roman" w:cs="Times New Roman" w:eastAsia="Times New Roman" w:hAnsi="Times New Roman"/>
          <w:sz w:val="18"/>
          <w:szCs w:val="18"/>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Kazia Therapeutics, Kintara Therapeutics, Denovo Biopharma, Laminar Pharmaceuticals, and TVAX Biomedical.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Prevention of ARDS in patients with COVID-19</w:t>
      </w:r>
    </w:p>
    <w:p>
      <w:pPr>
        <w:spacing w:after="0" w:line="119" w:lineRule="exact"/>
        <w:rPr>
          <w:sz w:val="20"/>
          <w:szCs w:val="20"/>
          <w:color w:val="auto"/>
        </w:rPr>
      </w:pPr>
    </w:p>
    <w:p>
      <w:pPr>
        <w:ind w:firstLine="659"/>
        <w:spacing w:after="0" w:line="254"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9" w:name="page30"/>
    <w:bookmarkEnd w:id="29"/>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 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In February 2022, the FDA issued an EUA for Eli Lilly's bebtelovimab for the treatment of mild to moderate COVID-19 in adults and pediatric patients who are at high risk for progression to severe COVID-19 and for whom alternative COVID-19 treatment options are not accessible or clinically appropriate. In November 2022, the FDA issued an EUA for Swedish Orphan Biovitrum's Kineret (anakinra) for the treatment of hospitalized COVID-19 adults with pneumonia requiring supplemental oxygen who are at risk for progressing to severe respiratory failure and are likely to have an elevated plasma soluble urokinase plasminogen activator receptor (suPAR). In April 2023, the FDA issued an EUA for InflaRx's Gohibic (vilobelimab) for the treatment of COVID-19 in hospitalized adults when initiated within 48 hours of receiving invasive mechanical ventilation or extracorporeal membrane oxygenation (artificial life support). We are aware of additional treatments in development for the treatment of COVID-19 at other companies including Merck, AstraZeneca, Gilead Sciences, and Rigel Pharmaceuticals.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Long COVID</w:t>
      </w:r>
    </w:p>
    <w:p>
      <w:pPr>
        <w:spacing w:after="0" w:line="119" w:lineRule="exact"/>
        <w:rPr>
          <w:sz w:val="20"/>
          <w:szCs w:val="20"/>
          <w:color w:val="auto"/>
        </w:rPr>
      </w:pPr>
    </w:p>
    <w:p>
      <w:pPr>
        <w:ind w:right="200" w:firstLine="560"/>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patients with Long COVID, the lingering symptoms of COVID-19. There are no pharmaceuticals currently approved for the treatment of Long COVID. We are aware of compounds in clinical development for the treatment of Long COVID at other companies including Axcella Therapeutics, AIM ImmunoTech, Tonix Pharmaceuticals, Humanetics, and Aerium Therapeutics.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Nonalcoholic Steatohepatitis (NASH) and Nonalcoholic Fatty Liver Disease (NAFLD)</w:t>
      </w:r>
    </w:p>
    <w:p>
      <w:pPr>
        <w:spacing w:after="0" w:line="133" w:lineRule="exact"/>
        <w:rPr>
          <w:sz w:val="20"/>
          <w:szCs w:val="20"/>
          <w:color w:val="auto"/>
        </w:rPr>
      </w:pPr>
    </w:p>
    <w:p>
      <w:pPr>
        <w:ind w:right="40" w:firstLine="560"/>
        <w:spacing w:after="0" w:line="266" w:lineRule="auto"/>
        <w:rPr>
          <w:sz w:val="20"/>
          <w:szCs w:val="20"/>
          <w:color w:val="auto"/>
        </w:rPr>
      </w:pPr>
      <w:r>
        <w:rPr>
          <w:rFonts w:ascii="Times New Roman" w:cs="Times New Roman" w:eastAsia="Times New Roman" w:hAnsi="Times New Roman"/>
          <w:sz w:val="18"/>
          <w:szCs w:val="18"/>
          <w:color w:val="auto"/>
        </w:rPr>
        <w:t>Our MN-001 (tipelukast) product candidate has been developed for the treatment of NASH and NAFLD. There are currently no pharmaceuticals approved for the treatment of NASH or NAFLD. We are aware of compounds in clinical development for the treatment of NASH or NAFLD at other companies including Galectin Therapeutics, Gilead Sciences, Galmed Pharmaceuticals, Pfizer, Novo Nordisk, Merck, and Madrigal Pharmaceuticals.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35" w:lineRule="exact"/>
        <w:rPr>
          <w:sz w:val="20"/>
          <w:szCs w:val="20"/>
          <w:color w:val="auto"/>
        </w:rPr>
      </w:pPr>
    </w:p>
    <w:p>
      <w:pPr>
        <w:ind w:firstLine="56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w:t>
      </w: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0" w:name="page31"/>
    <w:bookmarkEnd w:id="30"/>
    <w:p>
      <w:pPr>
        <w:ind w:right="740"/>
        <w:spacing w:after="0" w:line="282" w:lineRule="auto"/>
        <w:rPr>
          <w:sz w:val="20"/>
          <w:szCs w:val="20"/>
          <w:color w:val="auto"/>
        </w:rPr>
      </w:pPr>
      <w:r>
        <w:rPr>
          <w:rFonts w:ascii="Times New Roman" w:cs="Times New Roman" w:eastAsia="Times New Roman" w:hAnsi="Times New Roman"/>
          <w:sz w:val="18"/>
          <w:szCs w:val="18"/>
          <w:color w:val="auto"/>
        </w:rPr>
        <w:t>applications, fines, warning letters, product recalls, product seizures, total or partial suspension of manufacturing or marketing, injunctions and/or criminal prosecution.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Regulatory Approval</w:t>
      </w:r>
    </w:p>
    <w:p>
      <w:pPr>
        <w:spacing w:after="0" w:line="117" w:lineRule="exact"/>
        <w:rPr>
          <w:sz w:val="20"/>
          <w:szCs w:val="20"/>
          <w:color w:val="auto"/>
        </w:rPr>
      </w:pPr>
    </w:p>
    <w:p>
      <w:pPr>
        <w:ind w:right="6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United States, drugs and drug testing are regulated by the FDA under the Federal Food, Drug and Cosmetic Act (FDCA)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99" w:lineRule="exact"/>
        <w:rPr>
          <w:sz w:val="20"/>
          <w:szCs w:val="20"/>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animal studies, and formulation studies;</w:t>
      </w:r>
    </w:p>
    <w:p>
      <w:pPr>
        <w:spacing w:after="0" w:line="252"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application which must become effective before human clinical trials may begin in the United States;</w:t>
      </w:r>
    </w:p>
    <w:p>
      <w:pPr>
        <w:spacing w:after="0" w:line="238" w:lineRule="exact"/>
        <w:rPr>
          <w:rFonts w:ascii="Times New Roman" w:cs="Times New Roman" w:eastAsia="Times New Roman" w:hAnsi="Times New Roman"/>
          <w:sz w:val="18"/>
          <w:szCs w:val="18"/>
          <w:color w:val="auto"/>
        </w:rPr>
      </w:pPr>
    </w:p>
    <w:p>
      <w:pPr>
        <w:ind w:left="1320" w:right="320" w:hanging="378"/>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adequate and well-controlled human clinical trials to establish the safety and efficacy of the product candidate for each indication for which approval is sought;</w:t>
      </w:r>
    </w:p>
    <w:p>
      <w:pPr>
        <w:spacing w:after="0" w:line="175"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accompanied by a substantial user fee;</w:t>
      </w:r>
    </w:p>
    <w:p>
      <w:pPr>
        <w:spacing w:after="0" w:line="252" w:lineRule="exact"/>
        <w:rPr>
          <w:rFonts w:ascii="Times New Roman" w:cs="Times New Roman" w:eastAsia="Times New Roman" w:hAnsi="Times New Roman"/>
          <w:sz w:val="18"/>
          <w:szCs w:val="18"/>
          <w:color w:val="auto"/>
        </w:rPr>
      </w:pPr>
    </w:p>
    <w:p>
      <w:pPr>
        <w:ind w:left="1320" w:hanging="378"/>
        <w:spacing w:after="0" w:line="266"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89" w:lineRule="exact"/>
        <w:rPr>
          <w:rFonts w:ascii="Times New Roman" w:cs="Times New Roman" w:eastAsia="Times New Roman" w:hAnsi="Times New Roman"/>
          <w:sz w:val="18"/>
          <w:szCs w:val="18"/>
          <w:color w:val="auto"/>
        </w:rPr>
      </w:pPr>
    </w:p>
    <w:p>
      <w:pPr>
        <w:ind w:left="1320" w:right="300" w:hanging="378"/>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2"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78"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80" w:lineRule="exact"/>
        <w:rPr>
          <w:sz w:val="20"/>
          <w:szCs w:val="20"/>
          <w:color w:val="auto"/>
        </w:rPr>
      </w:pPr>
    </w:p>
    <w:p>
      <w:pPr>
        <w:ind w:right="140" w:firstLine="5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must be effective to administer an investigational drug to humans. The IND will automatically become effective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280" w:firstLine="560"/>
        <w:spacing w:after="0" w:line="266"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241" w:lineRule="exact"/>
        <w:rPr>
          <w:sz w:val="20"/>
          <w:szCs w:val="20"/>
          <w:color w:val="auto"/>
        </w:rPr>
      </w:pPr>
    </w:p>
    <w:p>
      <w:pPr>
        <w:ind w:left="1320" w:hanging="376"/>
        <w:spacing w:after="0" w:line="266"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202" w:lineRule="exact"/>
        <w:rPr>
          <w:rFonts w:ascii="Times New Roman" w:cs="Times New Roman" w:eastAsia="Times New Roman" w:hAnsi="Times New Roman"/>
          <w:sz w:val="18"/>
          <w:szCs w:val="18"/>
          <w:color w:val="auto"/>
        </w:rPr>
      </w:pPr>
    </w:p>
    <w:p>
      <w:pPr>
        <w:ind w:left="1320" w:right="700" w:hanging="376"/>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75" w:lineRule="exact"/>
        <w:rPr>
          <w:rFonts w:ascii="Times New Roman" w:cs="Times New Roman" w:eastAsia="Times New Roman" w:hAnsi="Times New Roman"/>
          <w:sz w:val="18"/>
          <w:szCs w:val="18"/>
          <w:color w:val="auto"/>
        </w:rPr>
      </w:pPr>
    </w:p>
    <w:p>
      <w:pPr>
        <w:ind w:left="1320" w:right="280" w:hanging="376"/>
        <w:spacing w:after="0" w:line="261"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80"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62" w:lineRule="exact"/>
        <w:rPr>
          <w:sz w:val="20"/>
          <w:szCs w:val="20"/>
          <w:color w:val="auto"/>
        </w:rPr>
      </w:pPr>
    </w:p>
    <w:p>
      <w:pPr>
        <w:ind w:right="140" w:firstLine="560"/>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89" w:lineRule="exact"/>
        <w:rPr>
          <w:sz w:val="20"/>
          <w:szCs w:val="20"/>
          <w:color w:val="auto"/>
        </w:rPr>
      </w:pPr>
    </w:p>
    <w:p>
      <w:pPr>
        <w:ind w:right="120" w:firstLine="560"/>
        <w:spacing w:after="0" w:line="255" w:lineRule="auto"/>
        <w:rPr>
          <w:sz w:val="20"/>
          <w:szCs w:val="20"/>
          <w:color w:val="auto"/>
        </w:rPr>
      </w:pPr>
      <w:r>
        <w:rPr>
          <w:rFonts w:ascii="Times New Roman" w:cs="Times New Roman" w:eastAsia="Times New Roman" w:hAnsi="Times New Roman"/>
          <w:sz w:val="18"/>
          <w:szCs w:val="18"/>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87" w:lineRule="exact"/>
        <w:rPr>
          <w:sz w:val="20"/>
          <w:szCs w:val="20"/>
          <w:color w:val="auto"/>
        </w:rPr>
      </w:pPr>
    </w:p>
    <w:p>
      <w:pPr>
        <w:ind w:right="480" w:firstLine="5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has a Fast Track program that is intended to expedite or facilitate the process for reviewing new drugs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right="500"/>
        <w:spacing w:after="0" w:line="266" w:lineRule="auto"/>
        <w:rPr>
          <w:sz w:val="20"/>
          <w:szCs w:val="20"/>
          <w:color w:val="auto"/>
        </w:rPr>
      </w:pPr>
      <w:r>
        <w:rPr>
          <w:rFonts w:ascii="Times New Roman" w:cs="Times New Roman" w:eastAsia="Times New Roman" w:hAnsi="Times New Roman"/>
          <w:sz w:val="18"/>
          <w:szCs w:val="18"/>
          <w:color w:val="auto"/>
        </w:rPr>
        <w:t>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8"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United States Patent Term Restoration and Marketing Exclusivity: </w:t>
      </w:r>
      <w:r>
        <w:rPr>
          <w:rFonts w:ascii="Times New Roman" w:cs="Times New Roman" w:eastAsia="Times New Roman" w:hAnsi="Times New Roman"/>
          <w:sz w:val="18"/>
          <w:szCs w:val="18"/>
          <w:color w:val="auto"/>
        </w:rPr>
        <w:t>Depending upon the timing, duration and specifics of the FDA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94" w:lineRule="exact"/>
        <w:rPr>
          <w:sz w:val="20"/>
          <w:szCs w:val="20"/>
          <w:color w:val="auto"/>
        </w:rPr>
      </w:pPr>
    </w:p>
    <w:p>
      <w:pPr>
        <w:ind w:right="80" w:firstLine="560"/>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3" w:name="page34"/>
    <w:bookmarkEnd w:id="33"/>
    <w:p>
      <w:pPr>
        <w:spacing w:after="0" w:line="254" w:lineRule="auto"/>
        <w:rPr>
          <w:sz w:val="20"/>
          <w:szCs w:val="20"/>
          <w:color w:val="auto"/>
        </w:rPr>
      </w:pPr>
      <w:r>
        <w:rPr>
          <w:rFonts w:ascii="Times New Roman" w:cs="Times New Roman" w:eastAsia="Times New Roman" w:hAnsi="Times New Roman"/>
          <w:sz w:val="18"/>
          <w:szCs w:val="18"/>
          <w:color w:val="auto"/>
        </w:rPr>
        <w:t>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90" w:lineRule="exact"/>
        <w:rPr>
          <w:sz w:val="20"/>
          <w:szCs w:val="20"/>
          <w:color w:val="auto"/>
        </w:rPr>
      </w:pPr>
    </w:p>
    <w:p>
      <w:pPr>
        <w:ind w:right="280" w:firstLine="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Regulation Outside the United States: </w:t>
      </w:r>
      <w:r>
        <w:rPr>
          <w:rFonts w:ascii="Times New Roman" w:cs="Times New Roman" w:eastAsia="Times New Roman" w:hAnsi="Times New Roman"/>
          <w:sz w:val="18"/>
          <w:szCs w:val="18"/>
          <w:color w:val="auto"/>
        </w:rPr>
        <w:t>In addition to regulations in the United States, we and our strategic alliance partners will be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regulations in other jurisdictions governing, among other things, clinical trials and any commercial sales and distribution of our products.</w:t>
      </w:r>
    </w:p>
    <w:p>
      <w:pPr>
        <w:spacing w:after="0" w:line="160" w:lineRule="exact"/>
        <w:rPr>
          <w:sz w:val="20"/>
          <w:szCs w:val="20"/>
          <w:color w:val="auto"/>
        </w:rPr>
      </w:pPr>
    </w:p>
    <w:p>
      <w:pPr>
        <w:ind w:right="120" w:firstLine="560"/>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7" w:lineRule="exact"/>
        <w:rPr>
          <w:sz w:val="20"/>
          <w:szCs w:val="20"/>
          <w:color w:val="auto"/>
        </w:rPr>
      </w:pPr>
    </w:p>
    <w:p>
      <w:pPr>
        <w:ind w:right="220" w:firstLine="56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40" w:firstLine="56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76" w:lineRule="exact"/>
        <w:rPr>
          <w:sz w:val="20"/>
          <w:szCs w:val="20"/>
          <w:color w:val="auto"/>
        </w:rPr>
      </w:pPr>
    </w:p>
    <w:p>
      <w:pPr>
        <w:jc w:val="both"/>
        <w:ind w:right="120" w:firstLine="56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100" w:firstLine="560"/>
        <w:spacing w:after="0" w:line="282" w:lineRule="auto"/>
        <w:rPr>
          <w:sz w:val="20"/>
          <w:szCs w:val="20"/>
          <w:color w:val="auto"/>
        </w:rPr>
      </w:pPr>
      <w:r>
        <w:rPr>
          <w:rFonts w:ascii="Times New Roman" w:cs="Times New Roman" w:eastAsia="Times New Roman" w:hAnsi="Times New Roman"/>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280" w:firstLine="560"/>
        <w:spacing w:after="0" w:line="266"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We have 13 employees as of the date of this report, all of which are full-time. We believe that our relations with our employees are good, and we have no history of work stoppages.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34" w:name="page35"/>
    <w:bookmarkEnd w:id="3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35" w:lineRule="exact"/>
        <w:rPr>
          <w:sz w:val="20"/>
          <w:szCs w:val="20"/>
          <w:color w:val="auto"/>
        </w:rPr>
      </w:pPr>
    </w:p>
    <w:p>
      <w:pPr>
        <w:ind w:right="140" w:firstLine="56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(SEC). The information contained in, or that can be accessed through, our website is not part of, and is not incorporated into,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Securities and Exchange Commission (SEC). Other events that we do not currently anticipate or that we currently deem immaterial may also affect our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incur continued losses for the foreseeable future.</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in September 2000. For the years ended December 31, 2024 and 2023, we had a net loss of $11.0 million and $8.6 million, respectively. As of December 31, 2024 and December 31, 2023, our accumulated deficit was $426.8 million and $415.7 million, respectively. We expect to incur substantial net losses for the next several years as we continue to develop certain of our existing product candidates, and over the long-term if we expand our research and development programs and acquire or in-license products, technologies or businesses that are complementary to our own. Additionally, the net losses we incur may fluctuate significantly from quarter to quarter such that a period-to-period comparison of our results of operations may not be a good indicator of our future performance. As of December 31, 2024, we had available cash and cash equivalents of $40.4 million and working capital of $38.1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cash requirements will also depend on many factors, including:</w:t>
      </w:r>
    </w:p>
    <w:p>
      <w:pPr>
        <w:spacing w:after="0" w:line="252"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agreements and other arrangements;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2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rapid increases in interest rates;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moderately in 2025 relative to 2024 as we continue development of MN-166 (ibudilast), MN-001 (tipelukast), and any other future product candidates.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53"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If we have taxable income in the future, utilization of the net operating losses (NOL) and tax credit carryforwards will be subject to a substantial annual limitation under Sections 382 and 383 of the Internal Revenue Code of 1986, and similar state provisions due to ownership change limitations that have occurred, which will limit the amount of NOL and tax credit carryforwards that can be utilized to offset future taxable income and tax, respectively. We have conducted a study and determined that, through December 31, 2023, no ownership changes have occurred. There is a risk that additional changes in ownership have occurred since the completion of our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additional funding to complete the development and any commercialization of our product candidates, if approved. If we fail to obtain this capital necessary to fund our operations, we will be forced to significantly delay, scale back or eliminate some or all of our clinical or regulatory activities or other operations.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consumed substantial amounts of capital since our inception in September 2000.</w:t>
      </w:r>
    </w:p>
    <w:p>
      <w:pPr>
        <w:spacing w:after="0" w:line="19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believe we have sufficient working capital to fund operations at least through the next twelve months following the filing of this Annual Report on Form 10-K. 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currently generate no revenues from sales of any products and may never generate any revenues from product sales or be profitable in the foreseeable future, if ever.</w:t>
      </w:r>
    </w:p>
    <w:p>
      <w:pPr>
        <w:spacing w:after="0" w:line="6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from sales of our securities and, to a lesser extent, debt financing. We do not have any products that are approved for commercial sale and do not anticipate generating any product revenue unless and until one of our product candidates receives the regulatory approvals necessary for commercialization in one or more jurisdictions. We do not expect to receive any revenues from the commercialization of our product candidates for the next several years, if at all. We anticipate that, prior to our commercialization of a product candidate, out-licensing upfront and milestone payments will be our primary source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commercial sale. We cannot guarantee that we will ever have any drug products approved for sale. The research, testing, manufacturing, labeling, approval, sales, marketing and distribution of drug products are subject to extensive regulation by the Food and Drug Administration (FDA) and comparable regulatory authorities in other countries. We are not permitted to market any of our product candidates in the United States or other jurisdictions until we submit and receive approval of a New Drug Application (NDA) for a product candidate from the FDA or its foreign equivalent from a foreign regulatory authority, as applicable. Obtaining FDA approval is a lengthy, expensive and uncertain process. To date we have invested a substantial majority of our business efforts and financial resources to the development and commercialization of our MN-166 (ibudilast) and MN-001 (tipelukast) product candidates. Our future success is dependent on our ability to successfully develop, obtain regulatory approval for, and commercialize MN-166 (ibudilast) and MN-001 (tipelukast) and we cannot accurately predict when or if either MN-166 (ibudilast) or MN-001 (tipelukast) will receive regulatory approval. Neither of these product candidates have completed the clinical development process, and therefore we have not submitted an NDA or foreign equivalent or received marketing approval for either product candidate.</w:t>
      </w:r>
    </w:p>
    <w:p>
      <w:pPr>
        <w:spacing w:after="0" w:line="15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4"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 For example, we may not be able replicate the positive results from our Phase 2 trial of MN-166 (ibudilast) in alcohol use disorder in clinical trials for other indications in the future.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w:t>
      </w:r>
    </w:p>
    <w:p>
      <w:pPr>
        <w:spacing w:after="0" w:line="15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 number of companies have suffered significant setbacks in the advancement of clinical trials, even after earlier clinical trials have shown promising results and we cannot be certain that we will not face similar setbacks.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 Significant clinical trial delays could also allow our competitors to bring products to market before we do or shorten any periods during which we have the exclusive right to commercialize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and impair our ability to commercialize our product candidates and may harm our business and results of operations.</w:t>
      </w:r>
    </w:p>
    <w:p>
      <w:pPr>
        <w:spacing w:after="0" w:line="22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"top-line" data from our clinical trials that we announce or publish from time to time may change as more patient data becomes available and is subject to audit and verification procedures that could result in material changes in the final data.</w:t>
      </w:r>
    </w:p>
    <w:p>
      <w:pPr>
        <w:spacing w:after="0" w:line="5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have, and from time to time, we may publicly disclose interim, top-line or preliminary data from the clinical trials we conduct, which are based on a preliminary analysis of then-available data. The final results from these clinical trials and any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In addition, interim data from clinical trials that we may complete are subject to the risk that one or more of the clinical outcomes may materially change as patient enrollment continues and more patient data becomes available. As a result, the top-line or preliminary results that we report may differ from future results of the same trial, or different conclusions or considerations may qualify such results, once additional data has been received and fully evaluated. Top-line or preliminary data also remains subject to audit and verification procedures that may result in the final data being materially different from the top-line or preliminary data we previously published. As a result, top-line and preliminary data should be viewed with caution until final data is available and published. Adverse differences between interim data and final data could significantly harm our business prospects. Further, disclosure of interim data by us or by our competitors could result in volatility in the price of our common stock.</w:t>
      </w:r>
    </w:p>
    <w:p>
      <w:pPr>
        <w:spacing w:after="0" w:line="84"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the product candidates we develop may be harmed, which could harm our business, financial condition, results of operations and prospects.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attempts to develop MN-001 (tipelukast) in Nonalcoholic Steatohepatitis (NASH) and Nonalcoholic Fatty Liver Disease (NAFLD) may detract from our efforts to develop other product candidates and may limit the effectiveness of our product development efforts as a whole.</w:t>
      </w:r>
    </w:p>
    <w:p>
      <w:pPr>
        <w:spacing w:after="0" w:line="51"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We have decided to pursue development of MN-001 (tipelukast) in NASH and NAFLD. These activities may divert financial and management resources from our other product development activities and may limit our ability to complete or continue those other programs.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receive regulatory approval after the successful completion of clinical trials, which can be lengthy, complex and costly, have a high risk of failure and can be delayed or terminated at any time.</w:t>
      </w:r>
    </w:p>
    <w:p>
      <w:pPr>
        <w:spacing w:after="0" w:line="64"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 regulations related to development, clinical trials, manufacturing and commercialization. The process of obtaining FDA and other regulatory approvals is lengthy,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complex, expensive, takes many years and has an uncertain outcome. To date, we have obtained regulatory authorization to conduct clinical trials for our product development programs. Investigational New Drug Applications were approved by the FDA and are active for our product candidates.</w:t>
      </w:r>
    </w:p>
    <w:p>
      <w:pPr>
        <w:spacing w:after="0" w:line="147" w:lineRule="exact"/>
        <w:rPr>
          <w:sz w:val="20"/>
          <w:szCs w:val="20"/>
          <w:color w:val="auto"/>
        </w:rPr>
      </w:pPr>
    </w:p>
    <w:p>
      <w:pPr>
        <w:jc w:val="both"/>
        <w:ind w:right="400" w:firstLine="374"/>
        <w:spacing w:after="0" w:line="266" w:lineRule="auto"/>
        <w:rPr>
          <w:sz w:val="20"/>
          <w:szCs w:val="20"/>
          <w:color w:val="auto"/>
        </w:rPr>
      </w:pPr>
      <w:r>
        <w:rPr>
          <w:rFonts w:ascii="Times New Roman" w:cs="Times New Roman" w:eastAsia="Times New Roman" w:hAnsi="Times New Roman"/>
          <w:sz w:val="18"/>
          <w:szCs w:val="18"/>
          <w:color w:val="auto"/>
        </w:rPr>
        <w:t>It may take years to complete the clinical development necessary to commercialize our product candidates, and delays or failure can occur at any stage, which may result in our inability to market and sell any of our product candidates that are ultimately approved by the FDA or foreign regulatory authorities. Our clinical trials may produce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conduct of clinical trials for each of our product candidates, we face many risks, including the risks that:</w:t>
      </w:r>
    </w:p>
    <w:p>
      <w:pPr>
        <w:spacing w:after="0" w:line="239"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effective in treating the targeted indication;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participants and/or patients may experience serious adverse events or other undesirable drug-related side effects;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agree with our proposed development plans or accept the results of completed clinical trials; and</w:t>
      </w:r>
    </w:p>
    <w:p>
      <w:pPr>
        <w:spacing w:after="0" w:line="252"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3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 candidates.</w:t>
      </w:r>
    </w:p>
    <w:p>
      <w:pPr>
        <w:spacing w:after="0" w:line="135"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54"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including requirements related to testing, manufacturing, quality control, labeling,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60"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48"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3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commercial good manufacturing practices (cGMPs), a regulatory agency may:</w:t>
      </w:r>
    </w:p>
    <w:p>
      <w:pPr>
        <w:spacing w:after="0" w:line="21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3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2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225"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FDA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Moreover, 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w:t>
      </w:r>
    </w:p>
    <w:p>
      <w:pPr>
        <w:spacing w:after="0" w:line="187"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Further,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However, the specific, lasting effects of these decisions, which may vary within different judicial districts and circuits, is unknown. We also cannot predict the extent to which FDA and SEC regulations, policies, and decisions may become subject to increasing legal challenges, delays, and changes. For example, these cases may result in increased litigation by companies against the FDA, and impact the FDA’s authority, lead to uncertainties in the industry, and disrupt the FDA’s normal operations, which could impact the timely review of any regulatory filings or applications we submit to the FDA.</w:t>
      </w:r>
    </w:p>
    <w:p>
      <w:pPr>
        <w:spacing w:after="0" w:line="188"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Further,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and/or Orphan Drug designation for certain of our product candidates and may seek such designation, breakthrough therapy and/or priority review for other product candidates in the future. We may not receive such designations, and even if we do, we may not maintain such designations, and such designations may not lead to faster development, regulatory review or approval, and will not increase the likelihood that the product candidate will receive marketing approval.</w:t>
      </w:r>
    </w:p>
    <w:p>
      <w:pPr>
        <w:spacing w:after="0" w:line="153"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We have received Fast Track designation for certain of our product candidates, including MN-001 (tipelukast) for the potential treatment of NASH with fibrosis and MN-166 (ibudilast) for the potential treatment of progressive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MS, the potential treatment of Amyotrophic Lateral Sclerosis (ALS), and the potential treatment of methamphetamine dependence and we hope to benefit from the FDA’s Fast Track and priority review programs.</w:t>
      </w:r>
    </w:p>
    <w:p>
      <w:pPr>
        <w:spacing w:after="0" w:line="13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Product candidates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The receipt of Fast Track designation for a product candidate may not result in a faster development or regulatory review or approval process compared to products considered for approval under conventional FDA procedures and does not assure ultimate approval by the FDA. In addition, even if any product candidate qualifies for Fast Track designation, the FDA may later decide that the product candidates no longer meet the conditions for qualification or decide that the time period for FDA review or approval will not be shortened. Fast Track designation alone does not guarantee qualification for the FDA’s priority review procedures.</w:t>
      </w:r>
    </w:p>
    <w:p>
      <w:pPr>
        <w:spacing w:after="0" w:line="154"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8"/>
          <w:szCs w:val="18"/>
          <w:color w:val="auto"/>
        </w:rPr>
        <w:t>We have also received Orphan Drug designation for several of our product candidates, including for MN-166 (ibudilast) for the potential treatment of ALS. We may not be able to obtain or maintain Orphan Drug exclusivity in the United States for those product candidates.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FDA marketing approval for an indication broader than the orphan designated indication. Additionally, any product candidate with Orphan Drug designation may lose such designation if the FDA later determines that the request for designation was materially defective or if the manufacturer is unable to assure sufficient quantities of the product to meet the needs of patients with the rare disease or condition.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In addition, others may obtain Orphan Drug exclusivity for products addressing the same diseases or conditions as products we are developing, thus limiting our ability to compete in the markets addressing such diseases or conditions for a significant period of time.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57"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or for which there is no reasonable expectation that the cost of developing and making available in the United States a drug for a disease or condition will be recovered from sales in the United States for that drug. If a product that has Orphan Drug designation subsequently receives the first FDA approval for the indication for which it has such designation, the product is entitled to orphan product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w:t>
      </w:r>
    </w:p>
    <w:p>
      <w:pPr>
        <w:spacing w:after="0" w:line="160"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We may seek priority review with the FDA (review within a six-month time frame from the time a complete NDA is accepted for filing compared to 10 months under standard review) for one or more of our current or future product candidates. Under FDA policies, a product candidate is eligible for priority review if the product candidate provides a significant improvement compared to marketed drugs in the treatment, diagnosis or prevention of a disease. The FDA determines whether a drug qualifies for priority review after an NDA for such drug is submitted to the FDA. Therefore, until NDAs are submitted for our product candidates, we cannot be assured that they will be granted priority review. Additionally, even if priority review is granted for one of our product candidates, the FDA does not always meet its six-month Prescription Drug User Fee Act (PDUFA) goal date for priority review and the review process is often extended by FDA requests for additional information or clarification.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may seek Breakthrough Therapy designation for one or more of our current or future product candidates. Designation as a Breakthrough Therapy is largely within the discretion of the FDA. Accordingly, even if we believe that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product candidates qualify as breakthrough therapies, the FDA may later decide that the product candidate no longer meets the conditions for qualification and revoke the designation.</w:t>
      </w:r>
    </w:p>
    <w:p>
      <w:pPr>
        <w:spacing w:after="0" w:line="16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FDA has broad discretion whether or not to grant Breakthrough Therapy, Fast Track and/or Orphan Drug designation to any product candidate. Accordingly, even if we believe that a product candidate meets the criteria for designation as a Breakthrough Therapy or Orphan Drug designation, the FDA may disagree and instead determine not to make such designation. Even if we receive breakthrough therapy and/or Orphan Drug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Orphan Drug, the FDA may later decide that it no longer meets the conditions for qualification or decide that the time period for FDA review or approval will not be shortened. The failure to obtain a Breakthrough Therapy, Fast Track and/or Orphan Drug designation or admission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 The FDA may withdraw Fast Track designation if it believes that the designation is no longer supported by data from our clinical development program. Fast track designation alone does not guarantee qualification for the FDA’s priority review procedures. Fast Track or Breakthrough Therapy designation for our product candidates may not actually lead to a faster review process, and a delay in the review process or in the approval of our product candidates will delay revenue from their potential sales and will increase the capital necessary to fund these product candidate development programs.</w:t>
      </w:r>
    </w:p>
    <w:p>
      <w:pPr>
        <w:spacing w:after="0" w:line="1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51"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53"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7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place restrictions on the way it is prescribed;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larger clinical benefit for approval to offset the risk;</w:t>
      </w:r>
    </w:p>
    <w:p>
      <w:pPr>
        <w:spacing w:after="0" w:line="252"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product;</w:t>
      </w:r>
    </w:p>
    <w:p>
      <w:pPr>
        <w:spacing w:after="0" w:line="17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221"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our business model;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4"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delayed for a variety of other reasons, including delays in:</w:t>
      </w:r>
    </w:p>
    <w:p>
      <w:pPr>
        <w:spacing w:after="0" w:line="25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to commence or amend a clinical trial;</w:t>
      </w:r>
    </w:p>
    <w:p>
      <w:pPr>
        <w:spacing w:after="0" w:line="238"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or Contract Research Organizations (CROs), and trial sites, the terms of which can be subject to extensive negotiation and may vary significantly among different CROs and trial sites;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w:t>
      </w:r>
    </w:p>
    <w:p>
      <w:pPr>
        <w:spacing w:after="0" w:line="23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Review Board (IRB) approval or approval from foreign counterparts to conduct or amend a clinical trial at a prospective site.</w:t>
      </w:r>
    </w:p>
    <w:p>
      <w:pPr>
        <w:spacing w:after="0" w:line="198"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In addition, a clinical trial may be delayed, suspended or terminated by us, the FDA or other regulatory authorities due to a number of factors, including:</w:t>
      </w:r>
    </w:p>
    <w:p>
      <w:pPr>
        <w:spacing w:after="0" w:line="162" w:lineRule="exact"/>
        <w:rPr>
          <w:sz w:val="20"/>
          <w:szCs w:val="20"/>
          <w:color w:val="auto"/>
        </w:rPr>
      </w:pPr>
    </w:p>
    <w:p>
      <w:pPr>
        <w:ind w:left="76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79"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4" w:name="page45"/>
    <w:bookmarkEnd w:id="44"/>
    <w:p>
      <w:pPr>
        <w:spacing w:after="0" w:line="194" w:lineRule="exact"/>
        <w:rPr>
          <w:sz w:val="20"/>
          <w:szCs w:val="20"/>
          <w:color w:val="auto"/>
        </w:rPr>
      </w:pPr>
    </w:p>
    <w:p>
      <w:pPr>
        <w:ind w:left="760" w:right="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enrollment or retention rates of patients in clinical trials;</w:t>
      </w:r>
    </w:p>
    <w:p>
      <w:pPr>
        <w:spacing w:after="0" w:line="225"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suggesting unacceptable risk to subjects or unforeseen safety issues or any determination that a clinical trial presents unacceptable health risks;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2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license the rights to certain compounds to develop and market our product candidates.</w:t>
      </w:r>
    </w:p>
    <w:p>
      <w:pPr>
        <w:spacing w:after="0" w:line="18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53"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 regions where we or third parties on which we rely have significant manufacturing facilities, concentrations of clinical trial sites or other business operations, which could materially affect our operations globally, including at our headquarters in San Diego and at our clinical trial sites, as well as the business or operations of our manufacturers, CROs or other third parties with whom we conduct business.</w:t>
      </w:r>
    </w:p>
    <w:p>
      <w:pPr>
        <w:spacing w:after="0" w:line="14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could be adversely affected by health pandemics, epidemics or any other health crisis in regions where we have clinical trial sites or other business operations, and could cause significant disruption in the operations of CROs upon whom we rely. Site initiation and patient enrollment could be delayed or suspended due to prioritization of hospital resources toward the health epidemics or patients not having a desire to enroll in clinical trials due to concerns. For example, during the COVID-19 pandemic, we saw a decrease in the number of patient visits at some clinical trial sites, which we believe resulted in slower enrollment in our clinical trials than would have occurred without the COVID-19 pandemic. In addition,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some patients may not be able to comply with clinical trial protocols and the ability to conduct follow-up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could be negatively impacted by any other illness or communicable disease, or any other public health crisis that, like the COVID-19 pandemic, results in economic and trade disruptions, including the disruption of global supply chains.</w:t>
      </w:r>
    </w:p>
    <w:p>
      <w:pPr>
        <w:spacing w:after="0" w:line="16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spacing w:after="0" w:line="14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extent to which a health pandemic or epidemic impacts our business, clinical trials, results of operations and financial condition will depend on future developments, which are highly uncertain and cannot be predicted, including, but not limited to, the duration of the pandemic or epidemic, its severity, the actions to contain the virus or address its impact, and how quickly and to what extent government orders and mandates are lifted and normal economic and operating activities can resume. Further, while the potential economic impact of any health pandemic or epidemic may be difficult to assess or predict, it could result in significant disruptions of global financial markets, which could reduce our ability to access capital, which could in the future negatively affect our liquidity. To the extent a health pandemic or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more rapidly than we do or that are more effective, safer or more affordable than our product candidates, our commercial opportunities may be negatively impacted.</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54"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4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party partners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67"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 key aspect of our strategy is to seek strategic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3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we will not have control over a number of key elements relating to the development and commercialization of these product candidates. Further, our partner may fail to develop or effectively commercialize the product candidate because such partner:</w:t>
      </w:r>
    </w:p>
    <w:p>
      <w:pPr>
        <w:spacing w:after="0" w:line="207" w:lineRule="exact"/>
        <w:rPr>
          <w:sz w:val="20"/>
          <w:szCs w:val="20"/>
          <w:color w:val="auto"/>
        </w:rPr>
      </w:pPr>
    </w:p>
    <w:p>
      <w:pPr>
        <w:ind w:left="11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sufficient resources or decides not to devote the necessary resources due to internal constraints such as limited cash or human resources;</w:t>
      </w:r>
    </w:p>
    <w:p>
      <w:pPr>
        <w:spacing w:after="0" w:line="18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decides to pursue a competitive potential product developed outside of the collaboration;</w:t>
      </w:r>
    </w:p>
    <w:p>
      <w:pPr>
        <w:spacing w:after="0" w:line="23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market opportunity is not attractive; or</w:t>
      </w:r>
    </w:p>
    <w:p>
      <w:pPr>
        <w:spacing w:after="0" w:line="23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19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35"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 which may have an adverse effect on our business and prospects.</w:t>
      </w:r>
    </w:p>
    <w:p>
      <w:pPr>
        <w:spacing w:after="0" w:line="8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extensively on third parties, such as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 We expect to continue to rely upon third parties to conduct additional clinical trials of potential future product candidates.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48"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The FDA requires us and our third parties to comply with regulations and standards, commonly referred to as good clinical practices (GCPs) for conducting, monitoring, recording and reporting the results of clinical trials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ensure that the data and results are scientifically credible and accurate and that the trial subjects are adequately informed of the potential risks of participating in clinical trials. Our reliance on these third parties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and other third party service providers with which we contract for execution of our clinical trials play a significant role in the conduct of the clinical trials and the subsequent collection and analysis of data. Any failure of the CROs and other third party service providers to meet their obligations could adversely affect clinical development of our product candidates. Moreover, these third parties may have relationships with other commercial entities, some of which may have competitive products under development or currently marketed, and our competitive position could be harmed if they assist our competitors. In addition, the operations of our CROs and other third party service providers may be constrained or disrupted by widespread health pandemics or epidemics.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Government measures taken in response to global health pandemics or epidemics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rely, on third party manufacturers to produce our product candidates, which may result in delays in our clinical trials and the commercialization of products, as well as increased costs.</w:t>
      </w:r>
    </w:p>
    <w:p>
      <w:pPr>
        <w:spacing w:after="0" w:line="64"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our product candidates for clinical trials or commercial purposes in the foreseeable future. We rely, and expect to continue to rely, on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4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In addition, the global health pandemics or epidemics may impact our third party manufacturers from producing sufficient quantities of any product candidate.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61"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We may not be able to establish or maintain any commercial manufacturing and supply arrangements on commercially reasonable terms that we require for purposes of commercializing a product. Any failure by us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216"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Our manufacturers are obligated to operate in accordance with FDA-mandated cGMPs and, in some cases, International Convention on Harmonization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 party manufacturers, may not be able to manufacture our product candidates in sufficient quality or commercial quantities, which would delay or prevent us from commercializing our product candidates.</w:t>
      </w:r>
    </w:p>
    <w:p>
      <w:pPr>
        <w:spacing w:after="0" w:line="64"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or our third party manufacturers will need to manufacture such product candidate in larger quantities. We or our third party manufacturers may not be able to increase successfully the manufacturing capacity for any of our product candidates in a timely or economic manner, or at all. Significant scale-up of manufacturing may require additional validation studies, which the FDA must review and approve. If we or our third party manufacturers are unable to increase successfully the manufacturing capacity for a product candidate, the regulatory approval or commercial launch of that product candidate may be delayed or there may be a shortage in supply. Our product candidates require precise, high-quality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rely on the third party manufacturers of our product candidates to purchase from third party suppliers the materials necessary to produce the active pharmaceutical ingredients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3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4"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189"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efficacy and safety;</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potential advantages of alternative treatments, including less expensive generic drugs;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labeling or product insert required by the FDA or regulatory authority in other countries;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 party insurance coverage or reimbursement.</w:t>
      </w:r>
    </w:p>
    <w:p>
      <w:pPr>
        <w:spacing w:after="0" w:line="18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9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43"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47"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current or future product candidates will depend in large part on global reimbursement policies and may be affected by future health 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8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80"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our founder and our President, Chief Executive Officer and Chairman of our board of directors,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6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7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51"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 programs, marketing, or research collaborations in the European Economic Area (EEA) will subject us to the General Data Protection Regulation, including as implemented in the UK (GDPR).</w:t>
      </w:r>
    </w:p>
    <w:p>
      <w:pPr>
        <w:spacing w:after="0" w:line="5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GDPR applies to companies established in the EEA, as well as to companies that are not established in the EEA and which, inter alia, collect and use personal data in relation to (i) offering goods or services to, or (ii) monitoring the behavior of, individuals located in the EEA. If we conduct clinical trial programs in the EEA (whether the trials are conducted directly by us or through a clinical vendor or collaborator), or enter into research collaborations involving the monitoring of individuals in the EEA, or market our products to individuals in the EEA, we will be subject to the GDPR. The GDPR puts in place stringent operational requirements for processors and controllers of personal data, including, for example, high standards for obtaining consent from individuals to process their personal data (or reliance on another appropriate legal basis), the provision of robust and detailed disclosures to individuals about how personal data is collected and processed (in a concise, intelligible and easily accessible form), a comprehensive individual data rights regime (including access, erasure, objection, restriction, rectification and portability), maintaining a record of data processing, data export restrictions governing transfers of data from the EEA, short timelines for certain data breach notifications to be given to data protection regulators or supervisory authorities (and in certain cases, affected individuals), and limitations on retention of personal data. The GDPR also puts in place increased requirements pertaining to health data and other special categories of personal data, and includes within scope, pseudonymized (i.e., key-coded) data. Further, the GDPR provides that EEA member states may establish their own laws and regulations limiting the processing of genetic, biometric, or health data, which</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could limit our ability to collect, use, and share such data and/or could cause our costs to increase. In addition, there are certain obligations if we contract third party processors in connection with the processing of personal data. If our or our collaborators’ or service providers’ privacy or data security measures fail to comply with the GDPR requirements, we may be subject to litigation, regulatory investigations, enforcement notices requiring us to change the way we use personal data, or fines of up to 20 million Euros or up to 4% of our total worldwide annual revenue of the preceding financial year, whichever is higher, as well as compensation claims by affected individuals, including class-action type litigation, negative publicity, reputational harm and a potential loss of business and goodwill. Additionally, following the United Kingdom’s withdrawal from the European Union, we will have to comply with the GDPR and the GDPR as implemented in the United Kingdom, each regime having the ability to fine up to the greater of €20 million/ £17.5 million, respectively, or 4% of global turnover. The relationship between the United Kingdom and the European Union in relation to certain aspects of data protection law remains subject to change, for example around how data can lawfully be transferred between each jurisdiction, which exposes us to further compliance risk.</w:t>
      </w:r>
    </w:p>
    <w:p>
      <w:pPr>
        <w:spacing w:after="0" w:line="19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5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75"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 party manufacturers or our development efforts may be interrupted or delayed.</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United States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United States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Exports of our products are further subject to export controls and sanctions laws and regulations imposed by the United States government and administered by the United States Departments of State, Commerce, and Treasury. United States export control laws may require a license or other authorization to export products to certain destinations and end users. In addition, United States economic sanctions laws include restrictions or prohibitions on engaging in any transactions or dealings, including receiving investment or financing from, or engaging in the sale or supply of products and services to, United States sanctioned countries, governments, persons and entities.</w:t>
      </w:r>
    </w:p>
    <w:p>
      <w:pPr>
        <w:spacing w:after="0" w:line="8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non-United States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 Any changes in Trade Laws could result in a decreased ability to export or sell our solutions to, existing or potential customers with international operations. Future changes in Trade Laws and enforcement could also result in increased compliance requirements and related costs which could materially adversely affect our business, results of operations, financial condition and/or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product liability, which could result in substantial liabilities that exceed our available resources and damage our reputation.</w:t>
      </w:r>
    </w:p>
    <w:p>
      <w:pPr>
        <w:spacing w:after="0" w:line="1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0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clinical trial programs;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13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75" w:lineRule="exact"/>
        <w:rPr>
          <w:sz w:val="20"/>
          <w:szCs w:val="20"/>
          <w:color w:val="auto"/>
        </w:rPr>
      </w:pPr>
    </w:p>
    <w:p>
      <w:pPr>
        <w:ind w:left="760" w:right="6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88"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other collaboration, licensing and similar arrangements and the timing of payments we may make or receive under these arrangements;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product development programs;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221"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research and development efforts;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litigation;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indications of our future performance.</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(Sarbanes-Oxley Act), as well as rules and regulations implemented by the SEC, the Nasdaq Stock Market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6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of the Sarbanes-Oxley Act (Section 404). Our listing obligations under the Standard Market of the Tokyo Stock Exchange (TSE) also require that we comply either with Section 404 or equivalent regulations in Japan and we elected to comply with Section 404. Additionally, we are subject to attestation by our independent registered public accounting firm regarding our internal controls over financial reporting as of December 31, 2024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54"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Additionally, there are significant corporate governance and executive compensation related provisions in the Dodd-Frank Wall Street Reform and Consumer Protection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third party CROs or other contractors or consultants, may be subject to information technology systems failures, network disruptions, breaches in data security and computer crime and cyber-attacks,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 party contractors who have access to our confidential information.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194"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 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91"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Macroeconomic pressures, including those resulting from ongoing geopolitical matters, unfavorable market conditions, health epidemics, and regulatory and policy changes, may have an adverse impact on our business, financial results, stock price and results of operations as well as the business of our current and potential customers.</w:t>
      </w:r>
    </w:p>
    <w:p>
      <w:pPr>
        <w:spacing w:after="0" w:line="67"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unfavorable global and geopolitical economic conditions, such as decreases in per capital income and level of disposable income, inflation, rising interest rates, and supply chain issues. Ongoing geopolitical matters have also contributed to difficult macroeconomic conditions and exacerbated supply chain issues, resulting in significant economic uncertainty as well as volatility in the financial markets and new regulatory and policy initiatives particularly in the United States. Such conditions may adversely impact our business, financial results, and prospects and our target customers’ businesses. 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8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To the extent macroeconomic conditions worsen, our business, operations and results of operation could be negatively impacted. Additionally, to the extent that there are health pandemics, epidemics or any other health crisis, our operations could be disrupted and our business adversely impacted. Such disruptions or impacts may be similar to those we faced during the COVID-19 pandemic, such as mandated business closures in impacted areas, limitations with employee resources due to stay at home orders or sickness of employees or their families, reduction of our business operations and the business operations of our targeted utility and critical infrastructure customers, all of which may have an adverse impact on our business, financial results, stock price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21"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business, results of operations, financial position and liquidity by increasing our overall cost structure, particularly if we are unable to achieve commensurate increases in the prices we charge our customers. The existence of inflation in the economy has the potential to result in higher interest rates and capital costs, supply shortages, increased costs of labor and other similar effects. As a result of inflation, we may experience increases in the costs of labor, materials, and other inputs, such as engineering consultants. Although we may take measures to mitigate the impact of this inflation,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and marketing our products internationally could materially adversely affect our business.</w:t>
      </w:r>
    </w:p>
    <w:p>
      <w:pPr>
        <w:spacing w:after="0" w:line="135"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8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or unexpected regulatory requirements for our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tariffs, trade restrictions, price and exchange controls and other regulatory requirements;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natural disasters, war, events of terrorism or political instability in particular foreign countries;</w:t>
      </w:r>
    </w:p>
    <w:p>
      <w:pPr>
        <w:spacing w:after="0" w:line="252"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result in increased operating expenses and reduced revenues, and other obligations related to doing business in another country;</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regulations and restrictions for employees living or traveling abroad;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238"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3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and MN-001 (tipelukast)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and MN-001 (tipelukast) product candidates so long as such competitors do not infringe any methods of use, methods of manufacture, formulation or, in the case of</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MN-001 (tipelukast), specific polymorph patents that we hold or have exclusive rights to through our licensors. For example, we currently rely on method of use patents for MN-166 (ibudilast) and MN-001 (tipelukast).</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65"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4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239"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each of our pending patent applications or issued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for these inventions;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21"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238"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United States or foreign laws; or</w:t>
      </w:r>
    </w:p>
    <w:p>
      <w:pPr>
        <w:spacing w:after="0" w:line="202"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6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in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Recent patent reform legislation in the U.S.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 party submission of prior art to the U.S. Patent and Trademark Office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9" w:lineRule="exact"/>
        <w:rPr>
          <w:sz w:val="20"/>
          <w:szCs w:val="20"/>
          <w:color w:val="auto"/>
        </w:rPr>
      </w:pPr>
    </w:p>
    <w:p>
      <w:pPr>
        <w:jc w:val="both"/>
        <w:ind w:right="40" w:firstLine="374"/>
        <w:spacing w:after="0" w:line="261" w:lineRule="auto"/>
        <w:rPr>
          <w:sz w:val="20"/>
          <w:szCs w:val="20"/>
          <w:color w:val="auto"/>
        </w:rPr>
      </w:pPr>
      <w:r>
        <w:rPr>
          <w:rFonts w:ascii="Times New Roman" w:cs="Times New Roman" w:eastAsia="Times New Roman" w:hAnsi="Times New Roman"/>
          <w:sz w:val="18"/>
          <w:szCs w:val="18"/>
          <w:color w:val="auto"/>
        </w:rPr>
        <w:t>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8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of 1980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94" w:lineRule="exact"/>
        <w:rPr>
          <w:sz w:val="20"/>
          <w:szCs w:val="20"/>
          <w:color w:val="auto"/>
        </w:rPr>
      </w:pPr>
    </w:p>
    <w:p>
      <w:pPr>
        <w:ind w:right="220" w:firstLine="374"/>
        <w:spacing w:after="0" w:line="256" w:lineRule="auto"/>
        <w:rPr>
          <w:sz w:val="20"/>
          <w:szCs w:val="20"/>
          <w:color w:val="auto"/>
        </w:rPr>
      </w:pPr>
      <w:r>
        <w:rPr>
          <w:rFonts w:ascii="Times New Roman" w:cs="Times New Roman" w:eastAsia="Times New Roman" w:hAnsi="Times New Roman"/>
          <w:sz w:val="18"/>
          <w:szCs w:val="18"/>
          <w:color w:val="auto"/>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220" w:lineRule="exact"/>
        <w:rPr>
          <w:sz w:val="20"/>
          <w:szCs w:val="20"/>
          <w:color w:val="auto"/>
        </w:rPr>
      </w:pPr>
    </w:p>
    <w:p>
      <w:pPr>
        <w:ind w:left="760" w:right="1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221"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enter into license arrangements that may not be available on reasonable or commercially acceptable terms;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 as well as distraction of our management from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result, we could lose our ability to develop and commercialize current or future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Investment in Our Common Stock</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decline regardless of our operating performance, and you may not be able to resell our shares at a profit or at all.</w:t>
      </w:r>
    </w:p>
    <w:p>
      <w:pPr>
        <w:spacing w:after="0" w:line="64"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Despite the listing of our common stock on the Nasdaq Global Market and the TSE in Japan, trading volume in our securities has been light and an active trading market may not develop for our common stock. In 2024, our average trading volume was approximately 49,188 shares per day on Nasdaq and approximately 163,556 shares per day on the TSE.</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2024, our common stock has traded as high as approximately $42.00 and as low as approximately $1.13. The following factors, in addition to other risk factors described in this section, may have a significant impact on the market price of our common stock, many of which are beyond our control:</w:t>
      </w:r>
    </w:p>
    <w:p>
      <w:pPr>
        <w:spacing w:after="0" w:line="197" w:lineRule="exact"/>
        <w:rPr>
          <w:sz w:val="20"/>
          <w:szCs w:val="20"/>
          <w:color w:val="auto"/>
        </w:rPr>
      </w:pPr>
    </w:p>
    <w:p>
      <w:pPr>
        <w:ind w:left="760" w:right="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status of our product candidates, including clinical trial results and determinations by regulatory authorities with respect to our product candidates;</w:t>
      </w:r>
    </w:p>
    <w:p>
      <w:pPr>
        <w:spacing w:after="0" w:line="188"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termination, or reduction in the scope of any collaboration arrangements or any disputes or developments regarding such collaborations;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regulatory actions, including failure to receive regulatory approval for any of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other material events by us or our competitors;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1" w:name="page62"/>
    <w:bookmarkEnd w:id="61"/>
    <w:p>
      <w:pPr>
        <w:spacing w:after="0" w:line="221"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securities analysts’ or investors’ expectations of our financial performance;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w:t>
      </w:r>
    </w:p>
    <w:p>
      <w:pPr>
        <w:spacing w:after="0" w:line="252"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of our business, management, products, financial performance, prospects or stock price by the financial and scientific press and online investor communities;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3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and legislative action with respect to, the pricing and availability of prescription drugs or the safety of drugs and drug delivery techniques; or</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 foreign countries.</w:t>
      </w:r>
    </w:p>
    <w:p>
      <w:pPr>
        <w:spacing w:after="0" w:line="185"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as well as economic and political factors, also may materially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Global Market or the Standard Market of the Tokyo Stock Exchange.</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additional common stock, including under our existing shelf registration statement and at market issuance sales agreement may cause substantial dilution to our existing stockholders and/or the price of our common stock to decline.</w:t>
      </w:r>
    </w:p>
    <w:p>
      <w:pPr>
        <w:spacing w:after="0" w:line="64"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could cause our stock price to decline. Sales of a substantial number of shares of our common stock could occur at any time. These sales, or the perception in the market that the holders of a large number of shares intend to sell shares, could reduce the market price of our common stock. As of February 17, 2025, we had 49,046,246 shares of common stock outstanding. Shares held by directors, executive officers and other affiliates will be subject to volume limitations under Rule 144 under the Securities Act and various vesting agreements.</w:t>
      </w:r>
    </w:p>
    <w:p>
      <w:pPr>
        <w:spacing w:after="0" w:line="153"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Further, 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Times New Roman" w:cs="Times New Roman" w:eastAsia="Times New Roman" w:hAnsi="Times New Roman"/>
          <w:sz w:val="18"/>
          <w:szCs w:val="18"/>
          <w:color w:val="0070C0"/>
        </w:rPr>
        <w:t>,</w:t>
      </w:r>
      <w:r>
        <w:rPr>
          <w:rFonts w:ascii="Times New Roman" w:cs="Times New Roman" w:eastAsia="Times New Roman" w:hAnsi="Times New Roman"/>
          <w:sz w:val="18"/>
          <w:szCs w:val="18"/>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 From time to time, we may sell additional shares of our common stock under the Shelf Registration Statement or the ATM Agreement. Depending upon market liquidity at the time, sales of shares of our common stock under the Shelf Registration Statement or the ATM Agreement may cause the trading price of our common stock to decline and may result in substantial dilution to the interests of other holders of our common stock. The sale of a substantial number of shares of our common stock, including under the Shelf Registration Statement or the ATM Agreement, or anticipation of such sales, could make it more difficult for us to sell equity or equity-related securities in the future at a time and at a price that we might otherwise wish to sell equity or equity-related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w:t>
      </w:r>
    </w:p>
    <w:p>
      <w:pPr>
        <w:spacing w:after="0" w:line="121"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4"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35"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the expectations of securities analysts and investors, resulting in a decline in the market price of our common stock.</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as of December 31, 2024, we performed a qualitative impairment assessment of goodwill and indefinite-lived intangible assets which included an evaluation of changes in industry, market, and macroeconomic conditions as well as consideration of our financial performance and any significant trends.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spacing w:after="0" w:line="165"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If our assumptions underlying our estimates and judgments relating to our critical accounting policies change or if actual circumstances differ from our assumptions, estimates or judgments, our operating results may be adversely affected and could fall below the expectations of securities analysts and investors, resulting in a decline in the market price of our common stock.</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118" w:lineRule="exact"/>
        <w:rPr>
          <w:sz w:val="20"/>
          <w:szCs w:val="20"/>
          <w:color w:val="auto"/>
        </w:rPr>
      </w:pPr>
    </w:p>
    <w:p>
      <w:pPr>
        <w:ind w:right="380" w:firstLine="374"/>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15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07" w:lineRule="exact"/>
        <w:rPr>
          <w:sz w:val="20"/>
          <w:szCs w:val="20"/>
          <w:color w:val="auto"/>
        </w:rPr>
      </w:pPr>
    </w:p>
    <w:p>
      <w:pPr>
        <w:ind w:left="760" w:right="4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our board of directors may be removed only for cause upon the affirmative vote of stockholders owning at least a majority of our capital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21" w:lineRule="exact"/>
        <w:rPr>
          <w:sz w:val="20"/>
          <w:szCs w:val="20"/>
          <w:color w:val="auto"/>
        </w:rPr>
      </w:pPr>
    </w:p>
    <w:p>
      <w:pPr>
        <w:ind w:left="760" w:right="3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52"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175"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making certain changes to our restated certificate of incorporation or amended and restated bylaws except with 66-2/3% stockholder approval; and</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185"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continue to augment the capabilities of our people, processes, and technologies in order to address our cybersecurity risks. Our cybersecurity risks, and the controls designed to mitigate those risks, are integrated into our overall risk management governance and are reviewed yearly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8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we have implemented a set of comprehensive cybersecurity and data protection policies and procedures. Risks from cybersecurity threats are regularly evaluated as a part of our broader risk management activities and as a fundamental component of our internal control system. Our employees and contractors receive annual cybersecurity awareness trainings, including specific topics related to social engineering and email frauds. We have capable employees and consultants with significant expertise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spacing w:after="0" w:line="14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Our Information Technology General Controls are firmly established based on recognized industry standards and cover areas such as risk management, data backup, and disaster recovery. We have utilized an outsourced information technology consultant to reduce and monitor security threats and vulnerabilities and respond to all cybersecurity incidents affecting us, including prompt escalation and communication of major security incidents to senior business leadership and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 security risk management and strategy. Our senior leadership, including our Chief Executive Officer and Chief Financial Officer, regularly meets with and provides periodic briefings to our board of directors regarding our cybersecurity risks and activities, including any recent cybersecurity incidents and related responses, cybersecurity systems testing, activities of third parties, and the like.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Threat Disclosure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date, we are not aware of any cybersecurity threats that have materially affected or are reasonably likely to materially affect the Company.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of cybersecurity risks, please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December 2017, we executed a sublease agreement for our San Diego headquarters (Sublease) with Cardinal Health 127 Inc., the sublessor, to which Irvine Company, the master lessor, had provided its consent. The Sublease was for approximately 4,400 square feet and had a term of four years and one month. We have extended this Sublease for an additional 5 years through January 31, 2027.</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June 2005, we leased office space in Tokyo, Japan under a non-cancelable operating lease with an original expiration date of May 2013 and an auto-renewal two-year extension. The lease was renewed in May 2023 and has a term of two years with an auto-renewal, two year extension. In April 2024, we provided notice to terminate the previous lease agreement, effective October 2024, and in May 2024, we entered into a new lease agreement, effective June 2024, for a different office space for the Tokyo location. The new lease has an initial lease term of 12 months ending May 2025 with an option to extend for an additional two months, after which there will be automatic two-month renewals until the lease is terminated.</w:t>
      </w:r>
    </w:p>
    <w:p>
      <w:pPr>
        <w:spacing w:after="0" w:line="143"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We have no laboratory, research or manufacturing facilities, and we currently do not plan to purchase or lease any such facilities, as such services are provided to us by third 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Standard Market of the Tokyo Stock Exchange and trades under the code “4875,” and is listed on the Nasdaq Global Market and trades under the symbol “MNOV.”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As of February 17, 2025, there were approximately 11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future earnings, if any, to fund the growth and development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can be found under Item 12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metabolic disorders such as nonalcoholic fatty liver disease (NAFLD) and hypertriglycedemia. We were incorporated in Delaware in September 2000.</w:t>
      </w:r>
    </w:p>
    <w:p>
      <w:pPr>
        <w:spacing w:after="0" w:line="147"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2024, we had a net loss of $11.0 million. At December 31, 2024, from inception, our accumulated deficit was $426.8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5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47"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accrued liabilities, in-process research and development ("IPR&amp;D") and goodwill.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 and Accrued Liabilities</w:t>
      </w:r>
    </w:p>
    <w:p>
      <w:pPr>
        <w:spacing w:after="0" w:line="12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spacing w:after="0" w:line="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We determine accrual estimates through reports from and discussions with applicable personnel and outside service providers as to the progress or state of completion of studies, or the services completed. Costs that are paid in advance of performance are deferred as a prepaid expense and recognized over the service period as the services are performed. Our estimates of accrued expenses as of each balance sheet date are based on the facts and circumstances known at the time. 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low in any particular period. To date, our accrued research, development and patent expenses have not differed significantly from the actual expenses incurred.</w:t>
      </w:r>
    </w:p>
    <w:p>
      <w:pPr>
        <w:spacing w:after="0" w:line="154"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2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10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MN-166</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3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MN-001</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personnel expense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expense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R&amp;D expense</w:t>
            </w: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3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Amounts incurred related to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7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2024.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is described in Note 1 of our consolidated financial statements included elsewhere in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Revenues were $0.0 million and $1.0 million for the years ended December 31, 2024 and 2023, respectively. The decrease of $1.0 million was due to the receipt of a milestone payment under an agreement with Genzyme Corporation in 2023, which did not recur in the current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Research, development and patent expenses for the year ended December 31, 2024 increased by $1.5 million to $7.2 million as compared to $5.7 million for the prior year, primarily due to an increase in MN-166 expenses. The increase in MN-166 related expenses is primarily due to ALS clinical trial related expenses and the evaluation of a new formulation. Additionally, in 2023 we received a $0.7 million payment from BARDA to partially reimburse us for pre-clinical study costs, which was recorded as an offset to MN-166 research and development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40"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increased by $0.3 million to $5.5 million compared to $5.2 million for the prior year, primarily driven by an increase in performance-based stock option expense and professional fees, partially offset by a reduction in headcount.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Other expense for the years ended December 31, 2024 and 2023 was approximately $0.0 million and $0.5 million, respectively. The decrease of $0.5 million was primarily driven by penalties on early disposal of bank certificates of deposit in 2023, which did not recur in the current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Interest income for the year ended December 31, 2024 decreased by $0.1 million to $1.7 million compared to $1.8 million for the prior year, primarily driven by lower interest rates on available cash and bank certificates of deposit. Interest income consists of interest earned on our cash and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incurred losses of $11.0 million and $8.6 million for the years ended December 31, 2024 and 2023, respectively. At December 31, 2024, our accumulated deficit was $426.8 million as compared to $415.7 million for the year ended December 31, 2023.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2024 and 2023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(10,643 )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(7,431 )</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39,908</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Financial Condition and Liquidity</w:t>
      </w:r>
    </w:p>
    <w:p>
      <w:pPr>
        <w:spacing w:after="0" w:line="12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2024, we had available cash and cash equivalents of $40.4 million and working capital of $38.1 million. As of the date of this report, we believe we have sufficient working capital to fund operations at least through the end of February 2026. This is based on our expected operating cash needs for 2025 to be approximately $21.3 million and assuming we keep our spend at a similar level for 2026 including expected inflation increases. We expect that this level of operating spend will be sufficient to meet the businesses needs for research and development to help monetize our products in development.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52"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3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 and to complete acquisitions of additional product candidates;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3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any of our product candidates.</w:t>
      </w:r>
    </w:p>
    <w:p>
      <w:pPr>
        <w:spacing w:after="0" w:line="12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At December 31, 2024,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11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Times New Roman" w:cs="Times New Roman" w:eastAsia="Times New Roman" w:hAnsi="Times New Roman"/>
          <w:sz w:val="18"/>
          <w:szCs w:val="18"/>
          <w:color w:val="0070C0"/>
        </w:rPr>
        <w:t>,</w:t>
      </w:r>
      <w:r>
        <w:rPr>
          <w:rFonts w:ascii="Times New Roman" w:cs="Times New Roman" w:eastAsia="Times New Roman" w:hAnsi="Times New Roman"/>
          <w:sz w:val="18"/>
          <w:szCs w:val="18"/>
          <w:color w:val="auto"/>
        </w:rPr>
        <w:t xml:space="preserve"> of which $10.3 million of our common stock was sold under a previous shelf registration statement on Form S-3, which expired in August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Sales of our common stock through B. Riley Securities,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Securities may also sell the common stock in privately negotiated transactions, subject to our prior approval. We agreed to pay B. Riley Securities an aggregate commission rate of up to 3.5% of the gross proceeds of any common stock sold under this agreement. Proceeds from sales of common stock will depend on the number of shares of common stock sold to B. Riley Securities and the per share purchase price of each transaction.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for the years ended December 31, 2024 and December 31,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the contractual obligations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right="240" w:firstLine="539"/>
        <w:spacing w:after="0" w:line="282" w:lineRule="auto"/>
        <w:rPr>
          <w:sz w:val="20"/>
          <w:szCs w:val="20"/>
          <w:color w:val="auto"/>
        </w:rPr>
      </w:pPr>
      <w:r>
        <w:rPr>
          <w:rFonts w:ascii="Times New Roman" w:cs="Times New Roman" w:eastAsia="Times New Roman" w:hAnsi="Times New Roman"/>
          <w:sz w:val="18"/>
          <w:szCs w:val="18"/>
          <w:color w:val="auto"/>
        </w:rPr>
        <w:t>Our operating lease commitments reflect payments due for our lease agreements in San Diego, California and Tokyo, Japan. As of December 31, 2024, our contractual commitments for our leases were $0.4 million, which will be paid over the lease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Obligations</w:t>
      </w:r>
    </w:p>
    <w:p>
      <w:pPr>
        <w:spacing w:after="0" w:line="121"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 Assuming the milestones are met, total future potential milestone payments aggregate to $26.5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3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Diego, California; PCAOB ID#243)</w:t>
            </w: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80" w:type="dxa"/>
            <w:vAlign w:val="bottom"/>
            <w:gridSpan w:val="8"/>
            <w:vMerge w:val="continue"/>
          </w:tcPr>
          <w:p>
            <w:pPr>
              <w:spacing w:after="0"/>
              <w:rPr>
                <w:sz w:val="14"/>
                <w:szCs w:val="14"/>
                <w:color w:val="auto"/>
              </w:rPr>
            </w:pPr>
          </w:p>
        </w:tc>
        <w:tc>
          <w:tcPr>
            <w:tcW w:w="78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8"/>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99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ind w:right="153"/>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6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280" w:type="dxa"/>
            <w:vAlign w:val="bottom"/>
          </w:tcPr>
          <w:p>
            <w:pPr>
              <w:spacing w:after="0"/>
              <w:rPr>
                <w:sz w:val="17"/>
                <w:szCs w:val="17"/>
                <w:color w:val="auto"/>
              </w:rPr>
            </w:pP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9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54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420" w:type="dxa"/>
            <w:vAlign w:val="bottom"/>
            <w:gridSpan w:val="3"/>
          </w:tcPr>
          <w:p>
            <w:pPr>
              <w:spacing w:after="0"/>
              <w:rPr>
                <w:sz w:val="17"/>
                <w:szCs w:val="17"/>
                <w:color w:val="auto"/>
              </w:rPr>
            </w:pP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9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ind w:right="153"/>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MediciNova, Inc. (the “Company”) as of December 31, 2024 and 2023,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 and Related Prepaid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Costs that are paid in advance of performance are deferred as a prepaid expense and recognized over the service period as the services are provided. In estimating the vendors’ progress toward completion of specific tasks, the Company uses data such as patient enrollment, clinical site activations or vendor information of actual costs incurred. This data is obtained through reports from or discussions with Company personnel and outside service providers as to the progress or state of completion of trials, or the completion of services. As of December 31, 2024, the Company recorded $0.7 million in clinical trial accruals and $0.5 million in total prepaid expenses.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clinical trial accruals and certain prepaid expenses related to clinical trials as a critical audit matter due to management judgment used to estimate the progress toward completion of specific tasks that is dependent upon data and information from internal clinical personnel and outside service providers. Auditing these elements involved especially challenging auditor judgment due to the nature and extent of audit effort required to address these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760" w:right="80" w:hanging="378"/>
        <w:spacing w:after="0" w:line="289" w:lineRule="auto"/>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appropriate measurement of clinical trial accruals and related prepaid expenses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57"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of the Company’s clinical trial accruals and related prepaid expenses by evaluating publicly available information (such as press releases and public databases that track clinical trials) and board of directors’ materials regarding the status of clinical trials and inquiring of clinical staff to gain an understanding of the status of significant on-going clinical trials.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714,541</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174,938</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41,074,279</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51,174,380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356,904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1,102,494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1,003,937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1,662,860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2,959,123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3,279,101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3,372,375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3,891,553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49,046,246 and 49,046,246</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December 31, 2024 and December 31,</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479,340,901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478,149,161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(135,154 )</w:t>
            </w: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(118,090 )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(426,751,242 )</w:t>
            </w: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(415,701,693 )</w:t>
            </w: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52,503,551</w:t>
            </w:r>
          </w:p>
        </w:tc>
        <w:tc>
          <w:tcPr>
            <w:tcW w:w="2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62,378,424</w:t>
            </w:r>
          </w:p>
        </w:tc>
        <w:tc>
          <w:tcPr>
            <w:tcW w:w="10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55,875,926</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-2965450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-2948305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-2116455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ectPr>
          <w:pgSz w:w="11900" w:h="16838" w:orient="portrait"/>
          <w:cols w:equalWidth="0" w:num="1">
            <w:col w:w="11180"/>
          </w:cols>
          <w:pgMar w:left="340" w:top="1413"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Research, development and patents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080"/>
        <w:spacing w:after="0" w:line="250" w:lineRule="auto"/>
        <w:rPr>
          <w:sz w:val="20"/>
          <w:szCs w:val="20"/>
          <w:color w:val="auto"/>
        </w:rPr>
      </w:pPr>
      <w:r>
        <w:rPr>
          <w:rFonts w:ascii="Times New Roman" w:cs="Times New Roman" w:eastAsia="Times New Roman" w:hAnsi="Times New Roman"/>
          <w:sz w:val="18"/>
          <w:szCs w:val="18"/>
          <w:color w:val="auto"/>
        </w:rPr>
        <w:t>Shares used to compute basic and diluted net loss per common share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7,194,731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5,657,895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12,675,331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10,900,265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(12,675,331</w:t>
            </w:r>
          </w:p>
        </w:tc>
        <w:tc>
          <w:tcPr>
            <w:tcW w:w="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(9,900,265</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(39,485 )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(502,869 )</w:t>
            </w:r>
          </w:p>
        </w:tc>
        <w:tc>
          <w:tcPr>
            <w:tcW w:w="0" w:type="dxa"/>
            <w:vAlign w:val="bottom"/>
          </w:tcPr>
          <w:p>
            <w:pPr>
              <w:spacing w:after="0"/>
              <w:rPr>
                <w:sz w:val="1"/>
                <w:szCs w:val="1"/>
                <w:color w:val="auto"/>
              </w:rPr>
            </w:pPr>
          </w:p>
        </w:tc>
      </w:tr>
      <w:tr>
        <w:trPr>
          <w:trHeight w:val="191"/>
        </w:trPr>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(11,044,012</w:t>
            </w: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(8,568,469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(3,047 )</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(11,049,549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(8,571,516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78"/>
        </w:trPr>
        <w:tc>
          <w:tcPr>
            <w:tcW w:w="360" w:type="dxa"/>
            <w:vAlign w:val="bottom"/>
          </w:tcPr>
          <w:p>
            <w:pPr>
              <w:jc w:val="right"/>
              <w:ind w:right="170"/>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ind w:right="170"/>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(0.17</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(11,049,549 )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(8,571,516 )</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(17,064 )</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(2,805 )</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(11,066,613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(8,574,321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440"/>
          </w:cols>
          <w:pgMar w:left="340" w:top="1413" w:right="379" w:bottom="1440" w:gutter="0" w:footer="0" w:header="0"/>
          <w:type w:val="continuous"/>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13" w:right="379" w:bottom="144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00" w:firstLine="180"/>
        <w:spacing w:after="0" w:line="236" w:lineRule="auto"/>
        <w:rPr>
          <w:sz w:val="20"/>
          <w:szCs w:val="20"/>
          <w:color w:val="auto"/>
        </w:rPr>
      </w:pPr>
      <w:r>
        <w:rPr>
          <w:rFonts w:ascii="Times New Roman" w:cs="Times New Roman" w:eastAsia="Times New Roman" w:hAnsi="Times New Roman"/>
          <w:sz w:val="14"/>
          <w:szCs w:val="14"/>
          <w:color w:val="auto"/>
        </w:rPr>
        <w:t>Balance at December 31, 2022 Share-based compensation Net loss</w:t>
      </w: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20" w:lineRule="exact"/>
        <w:rPr>
          <w:sz w:val="20"/>
          <w:szCs w:val="20"/>
          <w:color w:val="auto"/>
        </w:rPr>
      </w:pPr>
    </w:p>
    <w:p>
      <w:pPr>
        <w:ind w:right="400" w:firstLine="180"/>
        <w:spacing w:after="0" w:line="236" w:lineRule="auto"/>
        <w:rPr>
          <w:sz w:val="20"/>
          <w:szCs w:val="20"/>
          <w:color w:val="auto"/>
        </w:rPr>
      </w:pPr>
      <w:r>
        <w:rPr>
          <w:rFonts w:ascii="Times New Roman" w:cs="Times New Roman" w:eastAsia="Times New Roman" w:hAnsi="Times New Roman"/>
          <w:sz w:val="14"/>
          <w:szCs w:val="14"/>
          <w:color w:val="auto"/>
        </w:rPr>
        <w:t>Balance at December 31, 2023 Share-based compensation Net loss</w:t>
      </w: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Balance at December 31, 2024</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1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100" w:type="dxa"/>
            <w:vAlign w:val="bottom"/>
            <w:gridSpan w:val="3"/>
            <w:vMerge w:val="continue"/>
          </w:tcPr>
          <w:p>
            <w:pPr>
              <w:spacing w:after="0"/>
              <w:rPr>
                <w:sz w:val="13"/>
                <w:szCs w:val="13"/>
                <w:color w:val="auto"/>
              </w:rPr>
            </w:pPr>
          </w:p>
        </w:tc>
        <w:tc>
          <w:tcPr>
            <w:tcW w:w="10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$ 477,438,451</w:t>
            </w:r>
          </w:p>
        </w:tc>
        <w:tc>
          <w:tcPr>
            <w:tcW w:w="3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(115,285 )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(407,130,17</w:t>
            </w:r>
          </w:p>
        </w:tc>
        <w:tc>
          <w:tcPr>
            <w:tcW w:w="2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70,242,035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7 )</w:t>
            </w: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710,710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710,710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(8,571,516 )</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(8,571,516 )</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(2,805 )</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(2,805 )</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478,149,161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(118,090 )</w:t>
            </w: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(415,701,69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62,378,424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3 )</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1,191,740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(11,049,549 )</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(11,049,549 )</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(17,064 )</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(17,064 )</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20" w:type="dxa"/>
            <w:vAlign w:val="bottom"/>
            <w:vMerge w:val="restart"/>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20" w:type="dxa"/>
            <w:vAlign w:val="bottom"/>
            <w:vMerge w:val="restart"/>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$ 479,340,901</w:t>
            </w:r>
          </w:p>
        </w:tc>
        <w:tc>
          <w:tcPr>
            <w:tcW w:w="200" w:type="dxa"/>
            <w:vAlign w:val="bottom"/>
            <w:vMerge w:val="restart"/>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(135,154 )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(426,751,24</w:t>
            </w:r>
          </w:p>
        </w:tc>
        <w:tc>
          <w:tcPr>
            <w:tcW w:w="2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52,503,551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-1174115</wp:posOffset>
            </wp:positionV>
            <wp:extent cx="713232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-890905</wp:posOffset>
            </wp:positionV>
            <wp:extent cx="713232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-694055</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-410845</wp:posOffset>
            </wp:positionV>
            <wp:extent cx="713232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-213995</wp:posOffset>
            </wp:positionV>
            <wp:extent cx="713232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540"/>
            <w:col w:w="8280"/>
          </w:cols>
          <w:pgMar w:left="340" w:top="1413" w:right="3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(11,049,549 )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(8,571,516 )</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710,710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on investments</w:t>
            </w:r>
          </w:p>
        </w:tc>
        <w:tc>
          <w:tcPr>
            <w:tcW w:w="3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(346,390 )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investments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448,903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(491,005 )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287,628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(312,347 )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(176,204 )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(194,880 )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(10,642,964 )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(7,431,038 )</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disposal of investments</w:t>
            </w:r>
          </w:p>
        </w:tc>
        <w:tc>
          <w:tcPr>
            <w:tcW w:w="3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39,929,015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(21,299 )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(697 )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39,907,716</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(10,639,704 )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32,493,949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carrying amount of right-of-use asset due to termination of lease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79,229</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-1139190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-573405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-556895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metabolic disorders such as nonalcoholic fatty liver disease (NAFLD) and hypertriglycedemia.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w:t>
      </w:r>
    </w:p>
    <w:p>
      <w:pPr>
        <w:spacing w:after="0" w:line="15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including significant segment expenses, which are regularly provided to the CODM and included within segment and consolidated net loss: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80" w:name="page81"/>
    <w:bookmarkEnd w:id="80"/>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center"/>
              <w:ind w:right="6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stock-based compensation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6,751,167</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5,417,627</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4,732,424</w:t>
            </w:r>
          </w:p>
        </w:tc>
        <w:tc>
          <w:tcPr>
            <w:tcW w:w="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4,771,928</w:t>
            </w:r>
          </w:p>
        </w:tc>
        <w:tc>
          <w:tcPr>
            <w:tcW w:w="100" w:type="dxa"/>
            <w:vAlign w:val="bottom"/>
          </w:tcPr>
          <w:p>
            <w:pPr>
              <w:spacing w:after="0"/>
              <w:rPr>
                <w:sz w:val="18"/>
                <w:szCs w:val="18"/>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 excluding stock-based compensation</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11,483,591</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10,189,555</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443,564</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240,268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748,176</w:t>
            </w:r>
          </w:p>
        </w:tc>
        <w:tc>
          <w:tcPr>
            <w:tcW w:w="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470,442</w:t>
            </w:r>
          </w:p>
        </w:tc>
        <w:tc>
          <w:tcPr>
            <w:tcW w:w="100" w:type="dxa"/>
            <w:vAlign w:val="bottom"/>
          </w:tcPr>
          <w:p>
            <w:pPr>
              <w:spacing w:after="0"/>
              <w:rPr>
                <w:sz w:val="18"/>
                <w:szCs w:val="18"/>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3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12,675,331</w:t>
            </w:r>
          </w:p>
        </w:tc>
        <w:tc>
          <w:tcPr>
            <w:tcW w:w="3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10,900,265</w:t>
            </w:r>
          </w:p>
        </w:tc>
        <w:tc>
          <w:tcPr>
            <w:tcW w:w="100" w:type="dxa"/>
            <w:vAlign w:val="bottom"/>
          </w:tcPr>
          <w:p>
            <w:pPr>
              <w:spacing w:after="0"/>
              <w:rPr>
                <w:sz w:val="18"/>
                <w:szCs w:val="18"/>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(12,675,331 )</w:t>
            </w:r>
          </w:p>
        </w:tc>
        <w:tc>
          <w:tcPr>
            <w:tcW w:w="8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(9,900,265 )</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1,670,804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1,834,665</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(39,485 )</w:t>
            </w:r>
          </w:p>
        </w:tc>
        <w:tc>
          <w:tcPr>
            <w:tcW w:w="8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(502,869 )</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(5,537 )</w:t>
            </w:r>
          </w:p>
        </w:tc>
        <w:tc>
          <w:tcPr>
            <w:tcW w:w="8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(3,047 )</w:t>
            </w:r>
          </w:p>
        </w:tc>
      </w:tr>
      <w:tr>
        <w:trPr>
          <w:trHeight w:val="20"/>
        </w:trPr>
        <w:tc>
          <w:tcPr>
            <w:tcW w:w="7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(11,049,549 )</w:t>
            </w:r>
          </w:p>
        </w:tc>
        <w:tc>
          <w:tcPr>
            <w:tcW w:w="860" w:type="dxa"/>
            <w:vAlign w:val="bottom"/>
            <w:shd w:val="clear" w:color="auto" w:fill="CFF0FC"/>
          </w:tcPr>
          <w:p>
            <w:pPr>
              <w:jc w:val="center"/>
              <w:ind w:right="6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(8,571,516 )</w:t>
            </w:r>
          </w:p>
        </w:tc>
      </w:tr>
      <w:tr>
        <w:trPr>
          <w:trHeight w:val="20"/>
        </w:trPr>
        <w:tc>
          <w:tcPr>
            <w:tcW w:w="7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-873760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funds accounts, with original maturities of three months or less from the date of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There were no investments held as of December 31, 2024 and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maintains cash balances and has purchased certificates of deposit at various financial institutions and such balances and certificates of deposit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Financial instruments, including cash equivalents and accounts payable, are carried at cost, which management believes approximates fair value because of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Long-Lived Assets and Goodwill</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54"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There were no events or changes in circumstances to indicate that the carrying value of an asset (or asset group) may not be recoverable for any of the periods presented.</w:t>
      </w:r>
    </w:p>
    <w:p>
      <w:pPr>
        <w:spacing w:after="0" w:line="160"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$6.8 million and $5.3 million for the years ended December 31, 2024 and 2023, respectively.</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2024 and 2023, respectively.</w:t>
      </w:r>
    </w:p>
    <w:p>
      <w:pPr>
        <w:spacing w:after="0" w:line="68"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 xml:space="preserve">For transactions with a government where the Company receives government assistance in performing research and development activities and the accounting for a transaction is not specified within the scope of authoritative GAAP, the Company follows ASC 832,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applying a grant or contribution model by analogy to Subtopic 958-605, </w:t>
      </w:r>
      <w:r>
        <w:rPr>
          <w:rFonts w:ascii="Times New Roman" w:cs="Times New Roman" w:eastAsia="Times New Roman" w:hAnsi="Times New Roman"/>
          <w:sz w:val="18"/>
          <w:szCs w:val="18"/>
          <w:i w:val="1"/>
          <w:iCs w:val="1"/>
          <w:color w:val="auto"/>
        </w:rPr>
        <w:t>Not-for-Profit Entities-Revenue Recognition</w:t>
      </w:r>
      <w:r>
        <w:rPr>
          <w:rFonts w:ascii="Times New Roman" w:cs="Times New Roman" w:eastAsia="Times New Roman" w:hAnsi="Times New Roman"/>
          <w:sz w:val="18"/>
          <w:szCs w:val="18"/>
          <w:color w:val="auto"/>
        </w:rPr>
        <w:t xml:space="preserve"> (ASC 958-605).</w:t>
      </w:r>
    </w:p>
    <w:p>
      <w:pPr>
        <w:spacing w:after="0" w:line="135"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an agreement with the Biomedical Advanced Research and Development Authority (BARDA), part of the Administration for Strategic Preparedness and Response (ASPR) at the U.S. Department of Health and Human Services, to develop MN-166 (ibudilast) as a potential medical countermeasure against chlorine gas-induced lung damage such as ARDS and acute lung injury (ALI). Under the agreement, BARDA agreed to provide federal funding for specified preclinical studies under Contract No. 75A50121C00022.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5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studies were completed in August 2023, and in September 2023, BARDA paid the Company $0.7 million to partially reimburse the costs of the studies. Contractual arrangements that are not considered an exchange of services are considered contributions under ASC 958-605, and the Company elected to recognize the $0.7 million in funding as an offset to research and development costs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firstLine="656"/>
        <w:spacing w:after="0" w:line="258"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recognized over the service period as the services are provided. As of December 31, 2024, the Company recorded $0.7 million and $0.5 million in clinical trial accruals and prepaid expenses, respectively. As of December 31, 2023, the Company recorded $1.0 million and $0.0 million in clinical trial accruals and prepaid expenses,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53"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53"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securities of 7,040,894 and 7,781,749 consisting of stock options for the years ended December 31, 2024 and 2023, respectively, were excluded from diluted net loss per common share because of their anti-dilutive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ind w:right="80" w:firstLine="424"/>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w:t>
      </w:r>
      <w:r>
        <w:rPr>
          <w:rFonts w:ascii="Times New Roman" w:cs="Times New Roman" w:eastAsia="Times New Roman" w:hAnsi="Times New Roman"/>
          <w:sz w:val="18"/>
          <w:szCs w:val="18"/>
          <w:color w:val="auto"/>
        </w:rPr>
        <w:t>(ASU 2020-06). ASU 2020-06 simplifies the accounting for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was effective for the Company on January 1, 2024. There was no impact on the consolidated financial statements upon adoption of this standard on January 1, 2024.</w:t>
      </w:r>
    </w:p>
    <w:p>
      <w:pPr>
        <w:spacing w:after="0" w:line="144" w:lineRule="exact"/>
        <w:rPr>
          <w:sz w:val="20"/>
          <w:szCs w:val="20"/>
          <w:color w:val="auto"/>
        </w:rPr>
      </w:pPr>
    </w:p>
    <w:p>
      <w:pPr>
        <w:ind w:firstLine="424"/>
        <w:spacing w:after="0" w:line="268"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ASU 2023-07 improves the disclosures about a public entity’s reportable segments and addresses requests from investors for additional, more detailed information about a reportable segment’s expenses. Specifically, it requires that a public entity: 1) disclose, on an annual and interim basis, significant segment expenses that are regularly provided to the CODM and included within each reported measure of segment profit or loss, 2)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provide all annual disclosures about a reportable segment’s profit or loss and assets currently required by Topic 280 in interim periods, and</w:t>
      </w:r>
    </w:p>
    <w:p>
      <w:pPr>
        <w:spacing w:after="0" w:line="4" w:lineRule="exact"/>
        <w:rPr>
          <w:sz w:val="20"/>
          <w:szCs w:val="20"/>
          <w:color w:val="auto"/>
        </w:rPr>
      </w:pPr>
    </w:p>
    <w:p>
      <w:pPr>
        <w:ind w:right="120" w:firstLine="8"/>
        <w:spacing w:after="0" w:line="251" w:lineRule="auto"/>
        <w:tabs>
          <w:tab w:leader="none" w:pos="1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title and position of the CODM and an explanation of how the CODM uses the reported measure(s) of segment profit or loss in assessing segment performance and deciding how to allocate resources. The ASU also requires a public entity that has a single reportable segment to provide all the disclosures required by the amendments in this ASU and all existing segment disclosures in Topic 280. Further, the ASU clarifies that if the CODM uses more than one measure of a segment’s profit or loss in assessing segment performance and deciding how to allocate resources, a public entity may report one or more of those additional measures. However, at least one of the reported segment profit or loss measures should be the measure that is most consistent with the measurement principles used in measuring the corresponding amounts in the public entity’s consolidated financial statements. The amendments are effective for all public entities that are required to report segment information for fiscal years beginning after December 15, 2023 and interim periods beginning after December 15, 2024. The amendments should be applied retrospectively to all prior periods presented. The Company adopted this standard effective January 1, 2024 using a retrospective method. The adoption of ASU 2023-07 resulted in additional segment disclosures, including the identification of the CODM and how the CODM assesses the operating performance of the segment, as well as disclosure of segment expenses that are regularly provided to the CODM.</w:t>
      </w:r>
    </w:p>
    <w:p>
      <w:pPr>
        <w:spacing w:after="0" w:line="150" w:lineRule="exact"/>
        <w:rPr>
          <w:sz w:val="20"/>
          <w:szCs w:val="20"/>
          <w:color w:val="auto"/>
        </w:rPr>
      </w:pPr>
    </w:p>
    <w:p>
      <w:pPr>
        <w:ind w:right="20" w:firstLine="4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spacing w:after="0" w:line="147" w:lineRule="exact"/>
        <w:rPr>
          <w:sz w:val="20"/>
          <w:szCs w:val="20"/>
          <w:color w:val="auto"/>
        </w:rPr>
      </w:pPr>
    </w:p>
    <w:p>
      <w:pPr>
        <w:ind w:firstLine="4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requires additional disclosure of the nature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20" w:firstLine="514"/>
        <w:spacing w:after="0" w:line="256"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12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upfront payment and potential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4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 and there is no further substantive service effort required by the Company. In September 2023, the Company received notice that a gene therapy product based on AAV (adeno-associated virus) vector technology, which was covered under the Genzyme Agreement, achieved one clinical development milestone, triggering a milestone payment of $1.0 million. Accordingly, the Company recognized revenue of $1.0 million for the year ended December 31, 2023.</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80" w:lineRule="exact"/>
        <w:rPr>
          <w:sz w:val="20"/>
          <w:szCs w:val="20"/>
          <w:color w:val="auto"/>
        </w:rPr>
      </w:pPr>
    </w:p>
    <w:p>
      <w:pPr>
        <w:ind w:left="520"/>
        <w:spacing w:after="0"/>
        <w:tabs>
          <w:tab w:leader="none" w:pos="15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31" w:lineRule="exact"/>
        <w:rPr>
          <w:sz w:val="20"/>
          <w:szCs w:val="20"/>
          <w:color w:val="auto"/>
        </w:rPr>
      </w:pPr>
    </w:p>
    <w:p>
      <w:pPr>
        <w:ind w:left="1580" w:right="580" w:hanging="1052"/>
        <w:spacing w:after="0" w:line="282" w:lineRule="auto"/>
        <w:tabs>
          <w:tab w:leader="none" w:pos="15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67" w:lineRule="exact"/>
        <w:rPr>
          <w:sz w:val="20"/>
          <w:szCs w:val="20"/>
          <w:color w:val="auto"/>
        </w:rPr>
      </w:pPr>
    </w:p>
    <w:p>
      <w:pPr>
        <w:ind w:left="520"/>
        <w:spacing w:after="0"/>
        <w:tabs>
          <w:tab w:leader="none" w:pos="15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due to little or no market data, which require the reporting entity to develop its own assumptions.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December 31, 2024 and 2023,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gridSpan w:val="2"/>
            <w:shd w:val="clear" w:color="auto" w:fill="CFF0FC"/>
          </w:tcPr>
          <w:p>
            <w:pPr>
              <w:jc w:val="center"/>
              <w:ind w:right="2450"/>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jc w:val="center"/>
              <w:ind w:right="2490"/>
              <w:spacing w:after="0"/>
              <w:rPr>
                <w:sz w:val="20"/>
                <w:szCs w:val="20"/>
                <w:color w:val="auto"/>
              </w:rPr>
            </w:pPr>
            <w:r>
              <w:rPr>
                <w:rFonts w:ascii="Times New Roman" w:cs="Times New Roman" w:eastAsia="Times New Roman" w:hAnsi="Times New Roman"/>
                <w:sz w:val="18"/>
                <w:szCs w:val="18"/>
                <w:color w:val="auto"/>
                <w:w w:val="99"/>
              </w:rPr>
              <w:t>Mutual funds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21,501,081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21,501,081</w:t>
            </w:r>
          </w:p>
        </w:tc>
        <w:tc>
          <w:tcPr>
            <w:tcW w:w="52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782,382</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782,382</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63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Balance Sheet Details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3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(402,734 )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(443,513 )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-453390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method to record depreciation expense with useful lives of three to five years. Leasehold improvements are amortized over a useful life of five years. Depreciation and amortization of property and equipment of $21,077 and $20,295 was recorded for the years ended December 31,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 Current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785,949</w:t>
            </w:r>
          </w:p>
        </w:tc>
        <w:tc>
          <w:tcPr>
            <w:tcW w:w="66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726,130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1,034,720</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23,949</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126,832</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80" w:type="dxa"/>
            <w:vAlign w:val="bottom"/>
          </w:tcPr>
          <w:p>
            <w:pPr>
              <w:spacing w:after="0"/>
              <w:rPr>
                <w:sz w:val="18"/>
                <w:szCs w:val="18"/>
                <w:color w:val="auto"/>
              </w:rPr>
            </w:pPr>
          </w:p>
        </w:tc>
      </w:tr>
      <w:tr>
        <w:trPr>
          <w:trHeight w:val="249"/>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1,662,860</w:t>
            </w:r>
          </w:p>
        </w:tc>
        <w:tc>
          <w:tcPr>
            <w:tcW w:w="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has an initial lease term of 12 months ending May 2025 with an option to extend for an additional two months, after which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consolidated balance sheets.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4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257,326</w:t>
            </w:r>
          </w:p>
        </w:tc>
        <w:tc>
          <w:tcPr>
            <w:tcW w:w="2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257,931</w:t>
            </w:r>
          </w:p>
        </w:tc>
        <w:tc>
          <w:tcPr>
            <w:tcW w:w="200" w:type="dxa"/>
            <w:vAlign w:val="bottom"/>
          </w:tcPr>
          <w:p>
            <w:pPr>
              <w:spacing w:after="0"/>
              <w:rPr>
                <w:sz w:val="18"/>
                <w:szCs w:val="18"/>
                <w:color w:val="auto"/>
              </w:rPr>
            </w:pPr>
          </w:p>
        </w:tc>
      </w:tr>
      <w:tr>
        <w:trPr>
          <w:trHeight w:val="198"/>
        </w:trPr>
        <w:tc>
          <w:tcPr>
            <w:tcW w:w="4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139,001</w:t>
            </w:r>
          </w:p>
        </w:tc>
        <w:tc>
          <w:tcPr>
            <w:tcW w:w="200" w:type="dxa"/>
            <w:vAlign w:val="bottom"/>
            <w:shd w:val="clear" w:color="auto" w:fill="CFF0FC"/>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2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200" w:type="dxa"/>
            <w:vAlign w:val="bottom"/>
          </w:tcPr>
          <w:p>
            <w:pPr>
              <w:spacing w:after="0"/>
              <w:rPr>
                <w:sz w:val="18"/>
                <w:szCs w:val="18"/>
                <w:color w:val="auto"/>
              </w:rPr>
            </w:pP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405,229</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626,586</w:t>
            </w:r>
          </w:p>
        </w:tc>
        <w:tc>
          <w:tcPr>
            <w:tcW w:w="200" w:type="dxa"/>
            <w:vAlign w:val="bottom"/>
            <w:tcBorders>
              <w:bottom w:val="single" w:sz="8" w:color="CFF0FC"/>
            </w:tcBorders>
            <w:shd w:val="clear" w:color="auto" w:fill="CFF0FC"/>
          </w:tcPr>
          <w:p>
            <w:pPr>
              <w:spacing w:after="0"/>
              <w:rPr>
                <w:sz w:val="21"/>
                <w:szCs w:val="21"/>
                <w:color w:val="auto"/>
              </w:rPr>
            </w:pPr>
          </w:p>
        </w:tc>
      </w:tr>
      <w:tr>
        <w:trPr>
          <w:trHeight w:val="19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4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-573405</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-556895</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-573405</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-556895</wp:posOffset>
            </wp:positionV>
            <wp:extent cx="120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as follows:</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224,061</w:t>
            </w:r>
          </w:p>
        </w:tc>
        <w:tc>
          <w:tcPr>
            <w:tcW w:w="100" w:type="dxa"/>
            <w:vAlign w:val="bottom"/>
            <w:shd w:val="clear" w:color="auto" w:fill="CFF0FC"/>
          </w:tcPr>
          <w:p>
            <w:pPr>
              <w:spacing w:after="0"/>
              <w:rPr>
                <w:sz w:val="18"/>
                <w:szCs w:val="18"/>
                <w:color w:val="auto"/>
              </w:rPr>
            </w:pPr>
          </w:p>
        </w:tc>
      </w:tr>
      <w:tr>
        <w:trPr>
          <w:trHeight w:val="216"/>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Pr>
          <w:p>
            <w:pPr>
              <w:spacing w:after="0"/>
              <w:rPr>
                <w:sz w:val="18"/>
                <w:szCs w:val="18"/>
                <w:color w:val="auto"/>
              </w:rPr>
            </w:pPr>
          </w:p>
        </w:tc>
      </w:tr>
      <w:tr>
        <w:trPr>
          <w:trHeight w:val="237"/>
        </w:trPr>
        <w:tc>
          <w:tcPr>
            <w:tcW w:w="8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minimum payments</w:t>
            </w: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(42,584 )</w:t>
            </w:r>
          </w:p>
        </w:tc>
      </w:tr>
      <w:tr>
        <w:trPr>
          <w:trHeight w:val="249"/>
        </w:trPr>
        <w:tc>
          <w:tcPr>
            <w:tcW w:w="8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-925195</wp:posOffset>
            </wp:positionV>
            <wp:extent cx="23177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775"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43"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No milestone payments have been made under these agreements during the years ended December 31, 2024 and 2023. For products currently in development, future potential milestone payments based on product development of MN-166 (ibudilast) and MN-001 (tipelukast) are $10 million as of December 31, 2024. For all other products, future potential milestone payments related to development milestones and commercialization milestones totaled $16.5 million as of December 31, 2024.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51"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or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2,893,673 shares remain available for future grant under the 2023 Plan.</w:t>
      </w:r>
    </w:p>
    <w:p>
      <w:pPr>
        <w:spacing w:after="0" w:line="18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board of directors or its compensation committee as to the achievement of certain corporate objectives at the end of the performance period. The grant date of such awards is the date on which the board of directors or its compensation committee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December 31, 2024, there were a total of 809,000 shares underlying performance options that were subject to vesting based on achievement of corporate objectives for 2024. In January 2025, the compensation committee and the board of directors determined that the performance milestones were achieved at various levels, and accordingly 783,000 of these options vested and the remaining shares were forfeited.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to four-year period.</w:t>
      </w:r>
    </w:p>
    <w:p>
      <w:pPr>
        <w:spacing w:after="0" w:line="121"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during the years ended December 31, 2024 and 2023 was equal to the market value of the Company’s common stock on the date of grant.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for the years ended December 31, 2024 and 2023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7540" w:type="dxa"/>
            <w:vAlign w:val="bottom"/>
          </w:tcPr>
          <w:p>
            <w:pPr>
              <w:spacing w:after="0"/>
              <w:rPr>
                <w:sz w:val="15"/>
                <w:szCs w:val="15"/>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7,985,250</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788,683</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(992,184 )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(1,840,855 )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7,040,894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6,180,894</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540" w:type="dxa"/>
            <w:vAlign w:val="bottom"/>
          </w:tcPr>
          <w:p>
            <w:pPr>
              <w:spacing w:after="0"/>
              <w:rPr>
                <w:sz w:val="24"/>
                <w:szCs w:val="24"/>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7540" w:type="dxa"/>
            <w:vAlign w:val="bottom"/>
          </w:tcPr>
          <w:p>
            <w:pPr>
              <w:spacing w:after="0"/>
              <w:rPr>
                <w:sz w:val="15"/>
                <w:szCs w:val="15"/>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10"/>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773,517</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(583,412 )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(430,105 )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50"/>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-1842770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-1276350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-1259205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Options outstanding and exercisable at December 31, 2024 had a weighted average contractual life of 4.59 years and 3.97 years, respectively.</w:t>
      </w:r>
    </w:p>
    <w:p>
      <w:pPr>
        <w:spacing w:after="0" w:line="185" w:lineRule="exact"/>
        <w:rPr>
          <w:sz w:val="20"/>
          <w:szCs w:val="20"/>
          <w:color w:val="auto"/>
        </w:rPr>
      </w:pPr>
    </w:p>
    <w:p>
      <w:pPr>
        <w:jc w:val="both"/>
        <w:ind w:right="42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total intrinsic value of options outstanding was $0.5 million and $0, respectively. Total intrinsic value of options exercisable was $25,840 and $0 as of December 31, 2024 and 2023, respectively. Total fair value of options vested was $0.9 million and $0.9 million for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8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9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3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72.25 %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75.28 %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3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864"/>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89</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43"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years ended December 31, 2024 and 2023, estimated as of the grant date using the Black-Scholes option valuation model, was $0.99 per option and $1.59 per option, respectively.</w:t>
      </w:r>
    </w:p>
    <w:p>
      <w:pPr>
        <w:spacing w:after="0" w:line="121" w:lineRule="exact"/>
        <w:rPr>
          <w:sz w:val="20"/>
          <w:szCs w:val="20"/>
          <w:color w:val="auto"/>
        </w:rPr>
      </w:pPr>
    </w:p>
    <w:p>
      <w:pPr>
        <w:ind w:right="160" w:firstLine="54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year. The following table summarizes stock-based compensation expense for the years ended December 31, 2024 and 2023:</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443,564</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240,268</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748,176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470,442</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1,191,740</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710,710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$0.1 million of unamortized compensation cost related to unvested stock option awards which is expected to be recognized over a remaining weighted-average vesting period of 0.12 years, on a straight-line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Issuance Sales Agreement</w:t>
      </w:r>
    </w:p>
    <w:p>
      <w:pPr>
        <w:spacing w:after="0" w:line="119" w:lineRule="exact"/>
        <w:rPr>
          <w:sz w:val="20"/>
          <w:szCs w:val="20"/>
          <w:color w:val="auto"/>
        </w:rPr>
      </w:pPr>
    </w:p>
    <w:p>
      <w:pPr>
        <w:ind w:right="20" w:firstLine="549"/>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years ended December 31, 2024 and 2023, respectively.</w:t>
      </w:r>
    </w:p>
    <w:p>
      <w:pPr>
        <w:sectPr>
          <w:pgSz w:w="11900" w:h="16838" w:orient="portrait"/>
          <w:cols w:equalWidth="0" w:num="1">
            <w:col w:w="11180"/>
          </w:cols>
          <w:pgMar w:left="320" w:top="1440" w:right="39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common stock reserved for future issuance at December 31, 2024:</w:t>
      </w:r>
    </w:p>
    <w:p>
      <w:pPr>
        <w:spacing w:after="0" w:line="23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77360" cy="41148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options outstanding (under the 2004 Plan, 2013 Plan</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and 2023 Plan)</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future equity awards (under</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7,040,894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2,893,673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17145</wp:posOffset>
            </wp:positionV>
            <wp:extent cx="7372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9,934,567</w:t>
      </w:r>
    </w:p>
    <w:p>
      <w:pPr>
        <w:spacing w:after="0" w:line="200" w:lineRule="exact"/>
        <w:rPr>
          <w:sz w:val="20"/>
          <w:szCs w:val="20"/>
          <w:color w:val="auto"/>
        </w:rPr>
      </w:pPr>
    </w:p>
    <w:p>
      <w:pPr>
        <w:sectPr>
          <w:pgSz w:w="11900" w:h="16838" w:orient="portrait"/>
          <w:cols w:equalWidth="0" w:num="2">
            <w:col w:w="7520" w:space="640"/>
            <w:col w:w="3020"/>
          </w:cols>
          <w:pgMar w:left="320" w:top="1440" w:right="39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91" w:name="page92"/>
    <w:bookmarkEnd w:id="9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loss before income taxes for domestic and foreign locations for the years ended December 31, 2024 and 2023 is as follows:</w:t>
      </w:r>
    </w:p>
    <w:p>
      <w:pPr>
        <w:spacing w:after="0" w:line="21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(11,060,506 )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(8,587,967 )</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(11,044,012 )</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(8,568,469 )</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2024 and 2023 is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5280" w:type="dxa"/>
            <w:vAlign w:val="bottom"/>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(5,537 )</w:t>
            </w: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(3,047 )</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(5,537 )</w:t>
            </w:r>
          </w:p>
        </w:tc>
        <w:tc>
          <w:tcPr>
            <w:tcW w:w="1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(3,047 )</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(5,537 )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(3,047 )</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 significant components of deferred income taxes at December 31, 2024 and 2023 are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71,161,394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69,980,468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tax credits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liability</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experimentation capitalization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3,985,733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85,635,347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84,660,772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(94,000 )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(152,511 )</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(1,343,213 )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(1,343,213 )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(1,437,213 )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(1,495,724 )</w:t>
            </w:r>
          </w:p>
        </w:tc>
        <w:tc>
          <w:tcPr>
            <w:tcW w:w="0" w:type="dxa"/>
            <w:vAlign w:val="bottom"/>
          </w:tcPr>
          <w:p>
            <w:pPr>
              <w:spacing w:after="0"/>
              <w:rPr>
                <w:sz w:val="1"/>
                <w:szCs w:val="1"/>
                <w:color w:val="auto"/>
              </w:rPr>
            </w:pPr>
          </w:p>
        </w:tc>
      </w:tr>
      <w:tr>
        <w:trPr>
          <w:trHeight w:val="209"/>
        </w:trPr>
        <w:tc>
          <w:tcPr>
            <w:tcW w:w="69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84,198,134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83,165,048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(84,399,926 )</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(83,366,840 )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(201,792 )</w:t>
            </w: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(201,792 )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-4979670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-4962525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-4962525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-3796665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-3796665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-2948305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-2948305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-1019810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net change in the valuation allowance during the year ended December 31, 2024 was an increase of $1.0 million. The Company periodically evaluates the recoverability of the deferred tax assets. At such time as it is determined that it is more likely than not that deferred tax assets will be realizable, the valuation allowance will be reduced.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53"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has federal and California net operating loss (NOL) carryforwards of approximately $280.2 million and $193.9 million, respectively. $225.8 million of federal NOL carryforwards begin to expire in 2025, $54.4 million of federal NOL carryforwards can be carried forward indefinitely, and the California NOL carryforwards begin to expire in 2028. At December 31, 2024, the Company also had federal and California research tax credit carry-forwards of approximately $8.3 million and $2.4 million, respectively. The federal research tax credit carryforwards begin to expire in 2025, and the California research tax credit carryforward does not expire and can be carried forward indefinitely until utilized.</w:t>
      </w:r>
    </w:p>
    <w:p>
      <w:pPr>
        <w:spacing w:after="0" w:line="156"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completed an IRC Section 382/383 analysis regarding the limitation of net operating loss and research and development credit carryforwards for a period of inception through December 2023, and did not experience any ownership changes which triggers the limitation. There is a risk that additional changes in ownership have occurred since the completion of the Company’s analysis.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09"/>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(11.8 )</w:t>
            </w:r>
          </w:p>
        </w:tc>
      </w:tr>
      <w:tr>
        <w:trPr>
          <w:trHeight w:val="216"/>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 of attributes</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(8.9 )</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18"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21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January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1,589,266</w:t>
            </w:r>
          </w:p>
        </w:tc>
        <w:tc>
          <w:tcPr>
            <w:tcW w:w="6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prior year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December 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2,697,076</w:t>
            </w: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1,589,266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960" w:firstLine="374"/>
        <w:spacing w:after="0" w:line="282" w:lineRule="auto"/>
        <w:rPr>
          <w:sz w:val="20"/>
          <w:szCs w:val="20"/>
          <w:color w:val="auto"/>
        </w:rPr>
      </w:pPr>
      <w:r>
        <w:rPr>
          <w:rFonts w:ascii="Times New Roman" w:cs="Times New Roman" w:eastAsia="Times New Roman" w:hAnsi="Times New Roman"/>
          <w:sz w:val="18"/>
          <w:szCs w:val="18"/>
          <w:color w:val="auto"/>
        </w:rPr>
        <w:t>If recognized, none of the unrecognized tax benefits as of December 31, 2024 would reduce the annual effective tax rate, primarily due to corresponding adjustments to the valuation allowance.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53"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2024, there are no significant accruals for interest related to unrecognized tax benefits or tax penalties. The Company does not expect the unrecognized tax benefits to change significantly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Savings Plan</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$84,826 and $115,950 for the years ended December 31, 2024 and 2023,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2024, our disclosure controls and procedures were effective.</w:t>
      </w:r>
    </w:p>
    <w:p>
      <w:pPr>
        <w:spacing w:after="0" w:line="148"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3" w:lineRule="exact"/>
        <w:rPr>
          <w:sz w:val="20"/>
          <w:szCs w:val="20"/>
          <w:color w:val="auto"/>
        </w:rPr>
      </w:pPr>
    </w:p>
    <w:p>
      <w:pPr>
        <w:ind w:left="660" w:hanging="27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52" w:lineRule="exact"/>
        <w:rPr>
          <w:rFonts w:ascii="Times New Roman" w:cs="Times New Roman" w:eastAsia="Times New Roman" w:hAnsi="Times New Roman"/>
          <w:sz w:val="18"/>
          <w:szCs w:val="18"/>
          <w:color w:val="auto"/>
        </w:rPr>
      </w:pPr>
    </w:p>
    <w:p>
      <w:pPr>
        <w:ind w:left="660" w:hanging="27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07" w:lineRule="exact"/>
        <w:rPr>
          <w:sz w:val="20"/>
          <w:szCs w:val="20"/>
          <w:color w:val="auto"/>
        </w:rPr>
      </w:pPr>
    </w:p>
    <w:p>
      <w:pPr>
        <w:ind w:left="660" w:hanging="27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4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8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year ended December 31, 2024, none of our officers or directors, as defined in Rule 16a-1(f), informed us of the adoption or termination of a Rule 10b5-1 trading arrangement or a non-Rule 10b5-1 trading arrangement, each as defined in Regulation S-K Item 408.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the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contained in our definitive proxy statement in connection with our 2025 Annual Meeting of Stockholders to be filed with the SEC within 120 days after the conclusion of our fiscal year ended December 31, 2024 (Proxy Statement) and is incorporated in this Annual Report on Form 10-K by reference.</w:t>
      </w:r>
    </w:p>
    <w:p>
      <w:pPr>
        <w:spacing w:after="0" w:line="13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for Senior Officers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60" w:lineRule="exact"/>
        <w:rPr>
          <w:sz w:val="20"/>
          <w:szCs w:val="20"/>
          <w:color w:val="auto"/>
        </w:rPr>
      </w:pPr>
    </w:p>
    <w:p>
      <w:pPr>
        <w:ind w:right="560" w:firstLine="37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will be contained in our Proxy Statement and is incorporated in this Annual Report on Form 10-K by reference.</w:t>
      </w:r>
    </w:p>
    <w:p>
      <w:pPr>
        <w:spacing w:after="0" w:line="12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the shares of our common stock that may be issued under our existing equity compensation plans.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91"/>
        </w:trPr>
        <w:tc>
          <w:tcPr>
            <w:tcW w:w="382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20" w:type="dxa"/>
            <w:vAlign w:val="bottom"/>
            <w:shd w:val="clear" w:color="auto" w:fill="CFF0FC"/>
          </w:tcPr>
          <w:p>
            <w:pPr>
              <w:spacing w:after="0"/>
              <w:rPr>
                <w:sz w:val="16"/>
                <w:szCs w:val="16"/>
                <w:color w:val="auto"/>
              </w:rPr>
            </w:pPr>
          </w:p>
        </w:tc>
        <w:tc>
          <w:tcPr>
            <w:tcW w:w="1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9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by Stockholders (1)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7,040,894</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2,893,673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20" w:type="dxa"/>
            <w:vAlign w:val="bottom"/>
          </w:tcPr>
          <w:p>
            <w:pPr>
              <w:spacing w:after="0"/>
              <w:rPr>
                <w:sz w:val="19"/>
                <w:szCs w:val="19"/>
                <w:color w:val="auto"/>
              </w:rPr>
            </w:pPr>
          </w:p>
        </w:tc>
        <w:tc>
          <w:tcPr>
            <w:tcW w:w="18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7,040,894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2,893,673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right="44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Amended and Restated 2004 Stock Incentive Plan, the 2013 Equity Incentive Plan, the 2023 Equity Incentive Plan, and the 2007 Employee Stock Purchase Plan (ESPP).</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6" w:name="page97"/>
    <w:bookmarkEnd w:id="9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Proxy Statement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620" w:hanging="238"/>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185" w:lineRule="exact"/>
        <w:rPr>
          <w:sz w:val="20"/>
          <w:szCs w:val="20"/>
          <w:color w:val="auto"/>
        </w:rPr>
      </w:pPr>
    </w:p>
    <w:p>
      <w:pPr>
        <w:ind w:right="460" w:firstLine="382"/>
        <w:spacing w:after="0" w:line="284" w:lineRule="auto"/>
        <w:tabs>
          <w:tab w:leader="none" w:pos="5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of MediciNova, Inc. and report of BDO USA, P.C, an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included in this Annual Report on Form 10-K (included in Part II of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460" w:type="dxa"/>
            <w:vAlign w:val="bottom"/>
            <w:gridSpan w:val="11"/>
            <w:vMerge w:val="restart"/>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220" w:type="dxa"/>
            <w:vAlign w:val="bottom"/>
            <w:tcBorders>
              <w:bottom w:val="single" w:sz="8" w:color="0000FF"/>
            </w:tcBorders>
            <w:gridSpan w:val="10"/>
            <w:vMerge w:val="continue"/>
          </w:tcPr>
          <w:p>
            <w:pPr>
              <w:spacing w:after="0"/>
              <w:rPr>
                <w:sz w:val="14"/>
                <w:szCs w:val="14"/>
                <w:color w:val="auto"/>
              </w:rPr>
            </w:pPr>
          </w:p>
        </w:tc>
        <w:tc>
          <w:tcPr>
            <w:tcW w:w="6460" w:type="dxa"/>
            <w:vAlign w:val="bottom"/>
            <w:gridSpan w:val="11"/>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46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6260" w:type="dxa"/>
            <w:vAlign w:val="bottom"/>
            <w:gridSpan w:val="12"/>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28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7"/>
                <w:szCs w:val="17"/>
                <w:color w:val="auto"/>
              </w:rPr>
            </w:pPr>
          </w:p>
        </w:tc>
        <w:tc>
          <w:tcPr>
            <w:tcW w:w="7400" w:type="dxa"/>
            <w:vAlign w:val="bottom"/>
            <w:gridSpan w:val="16"/>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940" w:type="dxa"/>
            <w:vAlign w:val="bottom"/>
            <w:gridSpan w:val="24"/>
          </w:tcPr>
          <w:p>
            <w:pPr>
              <w:ind w:left="3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None.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940" w:type="dxa"/>
            <w:vAlign w:val="bottom"/>
            <w:gridSpan w:val="24"/>
          </w:tcPr>
          <w:p>
            <w:pPr>
              <w:ind w:left="3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990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900" w:type="dxa"/>
            <w:vAlign w:val="bottom"/>
            <w:tcBorders>
              <w:bottom w:val="single" w:sz="8" w:color="auto"/>
            </w:tcBorders>
            <w:gridSpan w:val="2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9900" w:type="dxa"/>
            <w:vAlign w:val="bottom"/>
            <w:gridSpan w:val="22"/>
          </w:tcPr>
          <w:p>
            <w:pPr>
              <w:spacing w:after="0"/>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Restated Certificate of Incorporation of the Registrant, as amended (incorporated by reference to Exhibit 3.1 of the Registrant’s Quarterly</w:t>
              </w:r>
            </w:hyperlink>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Report on Form 10-Q (File No. 001-33185) filed August 9, 2012).</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Amended and Restated Bylaws of the Registrant (incorporated by reference to Exhibit 3.4 of the Registrant’s Registration Statement on</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S-1 (File No. 333-119433) filed October 1, 2004).</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Specimen of Common Stock Certificate (incorporated by reference to Exhibit 4.1 of the Registrant’s Annual Report on Form 10-K (File No.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001-33185) filed February 15, 2007).</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Amended and Restated Registration Rights Agreement, dated September 2, 2004, among the Registrant, its founders and the investors</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named therein (incorporated by reference to Exhibit 4.2 of the Registrant’s Registration Statement on Form S-1 (File No. 333-119433) filed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October 1, 2004).</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2"/>
                <w:szCs w:val="22"/>
                <w:color w:val="auto"/>
              </w:rPr>
            </w:pPr>
          </w:p>
        </w:tc>
        <w:tc>
          <w:tcPr>
            <w:tcW w:w="10180" w:type="dxa"/>
            <w:vAlign w:val="bottom"/>
            <w:gridSpan w:val="24"/>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Description of Capital Stock (incorporated by reference to Exhibit 4.3 of the Registrant’s Annual Report on Form 10-K (File No. 001-33185)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filed February 19, 2021).</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3"/>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Indemnity Agreement between the Registrant and its officers and directors (incorporated by reference to Exhibit 10.3 of the</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Borders>
              <w:right w:val="single" w:sz="8" w:color="0000FF"/>
            </w:tcBorders>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Registrant’s Annual Report on Form 10-K (File No. 001-33185) filed March 28, 2013).</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10.2*</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2007 Employee Stock Purchase Plan of the Registrant (incorporated by reference to Appendix A of the Registrant’s Definitive Proxy</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Borders>
              <w:right w:val="single" w:sz="8" w:color="0000FF"/>
            </w:tcBorders>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7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Statement on Schedule 14A (File No. 001-33185) filed March 13, 2007).</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10.3*</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2013 Equity Incentive Plan of the Registrant (incorporated by reference to Exhibit 10.23 of the Registrant’s Annual Report on Form 10-K</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Borders>
              <w:right w:val="single" w:sz="8" w:color="0000FF"/>
            </w:tcBorders>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32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(File No. 001-33185) filed March 27, 2014).</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9"/>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22"/>
                <w:szCs w:val="22"/>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Amended and Restated 2013 Equity Incentive Plan of the Registrant. (incorporated by reference to Exhibit 10.1 of the Registrant’s Quarterly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12"/>
            <w:shd w:val="clear" w:color="auto" w:fill="0000FF"/>
          </w:tcPr>
          <w:p>
            <w:pPr>
              <w:spacing w:after="0" w:line="20" w:lineRule="exact"/>
              <w:rPr>
                <w:sz w:val="1"/>
                <w:szCs w:val="1"/>
                <w:color w:val="auto"/>
              </w:rPr>
            </w:pPr>
          </w:p>
        </w:tc>
        <w:tc>
          <w:tcPr>
            <w:tcW w:w="4320" w:type="dxa"/>
            <w:vAlign w:val="bottom"/>
            <w:tcBorders>
              <w:right w:val="single" w:sz="8" w:color="0000FF"/>
            </w:tcBorders>
            <w:gridSpan w:val="4"/>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Report on Form 10-Q (File No. 001-33185) filed July 26, 2017).</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40" w:type="dxa"/>
            <w:vAlign w:val="bottom"/>
            <w:gridSpan w:val="1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10.5*</w:t>
            </w:r>
          </w:p>
        </w:tc>
        <w:tc>
          <w:tcPr>
            <w:tcW w:w="220" w:type="dxa"/>
            <w:vAlign w:val="bottom"/>
          </w:tcPr>
          <w:p>
            <w:pPr>
              <w:spacing w:after="0"/>
              <w:rPr>
                <w:sz w:val="22"/>
                <w:szCs w:val="22"/>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Notice of Stock Option Grant and Stock Option Agreement for awards pursuant to the 2013 Equity Incentive Plan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60" w:type="dxa"/>
            <w:vAlign w:val="bottom"/>
            <w:tcBorders>
              <w:right w:val="single" w:sz="8" w:color="0000FF"/>
            </w:tcBorders>
            <w:gridSpan w:val="16"/>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reference to Exhibit 10.3 of the Registrant’s Quarterly Report on Form 10-Q (File No. 001-33185) filed November 7, 2013).</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960" w:type="dxa"/>
            <w:vAlign w:val="bottom"/>
            <w:tcBorders>
              <w:right w:val="single" w:sz="8" w:color="0000EE"/>
            </w:tcBorders>
            <w:gridSpan w:val="16"/>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w w:val="98"/>
              </w:rPr>
              <w:t>10.6*</w:t>
            </w:r>
          </w:p>
        </w:tc>
        <w:tc>
          <w:tcPr>
            <w:tcW w:w="220" w:type="dxa"/>
            <w:vAlign w:val="bottom"/>
          </w:tcPr>
          <w:p>
            <w:pPr>
              <w:spacing w:after="0"/>
              <w:rPr>
                <w:sz w:val="22"/>
                <w:szCs w:val="22"/>
                <w:color w:val="auto"/>
              </w:rPr>
            </w:pPr>
          </w:p>
        </w:tc>
        <w:tc>
          <w:tcPr>
            <w:tcW w:w="9900" w:type="dxa"/>
            <w:vAlign w:val="bottom"/>
            <w:gridSpan w:val="22"/>
          </w:tcPr>
          <w:p>
            <w:pPr>
              <w:spacing w:after="0"/>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2023 Equity Incentive Plan and forms of award agreements thereunder of the Registrant (incorporated by reference to Exhibit 99.1 of the</w:t>
              </w:r>
            </w:hyperlink>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900" w:type="dxa"/>
            <w:vAlign w:val="bottom"/>
            <w:gridSpan w:val="2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Registrant’s Post-Effective Amendment No. 1 to Registration Statements on Form S-8 (File Nos. 333-264938, 333-232239, 333-219491,</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900" w:type="dxa"/>
            <w:vAlign w:val="bottom"/>
            <w:gridSpan w:val="2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333-190490) filed January 19, 2024).</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top w:val="single" w:sz="8" w:color="0000FF"/>
            </w:tcBorders>
            <w:gridSpan w:val="7"/>
          </w:tcPr>
          <w:p>
            <w:pPr>
              <w:spacing w:after="0"/>
              <w:rPr>
                <w:sz w:val="24"/>
                <w:szCs w:val="24"/>
                <w:color w:val="auto"/>
              </w:rPr>
            </w:pPr>
          </w:p>
        </w:tc>
        <w:tc>
          <w:tcPr>
            <w:tcW w:w="20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018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018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4"/>
                <w:szCs w:val="14"/>
                <w:color w:val="auto"/>
              </w:rPr>
            </w:pPr>
          </w:p>
        </w:tc>
        <w:tc>
          <w:tcPr>
            <w:tcW w:w="10180" w:type="dxa"/>
            <w:vAlign w:val="bottom"/>
            <w:gridSpan w:val="17"/>
          </w:tcPr>
          <w:p>
            <w:pPr>
              <w:spacing w:after="0" w:line="169"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Exhibit 10.1 of the Registrant’s Current Report on Form 8-K (File No. 001-33185) filed April 4, 2007).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First Amendment to Employment Agreement, dated December 31, 2010, between the Registrant and Yuichi Iwaki, M.D., Ph.D.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(incorporated by reference to Exhibit 10.1 of the Registrant’s Current Report on Form 8-K (File No. 001-33185) filed January 4, 2011).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Severance Protection Agreement, dated July 14, 2014, between the Registrant and Dr. Yuichi Iwaki (incorporated by reference to Exhibit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Severance Protection Agreement, dated July 14, 2014, between the Registrant and Dr. Kazuko Matsuda (incorporated by reference to Exhibit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Severance Protection Agreement, dated July 14, 2014, between the Registrant and Geoffrey O’Brien (incorporated by reference to Exhibit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Consulting Agreement, dated April 2, 2024, between the Registrant and Geoffrey O’Brien (incorporated by reference to Exhibit 10.1 of the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Registrant’s Quarterly Report on Form 10-Q (File No. 001-33185) filed August 8,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4"/>
                <w:szCs w:val="24"/>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Lease, dated July 20, 2021, between MediciNova, Inc. and the Irvine Company LLC (incorporated by reference to Exhibit 99.1 of the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Registrant’s Current Report on Form 8-K (File No. 001-33185) filed July 23,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Assignment Agreement, dated December 19, 2005, between Genzyme Corporation and Avigen, Inc. (incorporated by reference to Exhibit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58</w:t>
              </w:r>
              <w:r>
                <w:rPr>
                  <w:rFonts w:ascii="Times New Roman" w:cs="Times New Roman" w:eastAsia="Times New Roman" w:hAnsi="Times New Roman"/>
                  <w:sz w:val="18"/>
                  <w:szCs w:val="18"/>
                  <w:color w:val="0000FF"/>
                </w:rPr>
                <w:t xml:space="preserve"> of Avigen, Inc.’s Annual Report on Form 10-K (File No. 000-28272) filed March 16, 2006).</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EE"/>
            </w:tcBorders>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2"/>
                <w:szCs w:val="22"/>
                <w:color w:val="auto"/>
              </w:rPr>
            </w:pPr>
          </w:p>
        </w:tc>
        <w:tc>
          <w:tcPr>
            <w:tcW w:w="10180" w:type="dxa"/>
            <w:vAlign w:val="bottom"/>
            <w:gridSpan w:val="1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Securities Purchase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240" w:type="dxa"/>
            <w:vAlign w:val="bottom"/>
            <w:tcBorders>
              <w:right w:val="single" w:sz="8" w:color="0000FF"/>
            </w:tcBorders>
            <w:gridSpan w:val="6"/>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to Exhibit 10.1 of the Registrant’s Current Report on Form 8-K (File No. 001-33185) filed January 12,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240" w:type="dxa"/>
            <w:vAlign w:val="bottom"/>
            <w:tcBorders>
              <w:right w:val="single" w:sz="8" w:color="0000EE"/>
            </w:tcBorders>
            <w:gridSpan w:val="6"/>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Shareholder Rights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520" w:type="dxa"/>
            <w:vAlign w:val="bottom"/>
            <w:tcBorders>
              <w:right w:val="single" w:sz="8" w:color="0000FF"/>
            </w:tcBorders>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to Exhibit 10.2 of the Registrant’s Current Report on Form 8-K (File No. 001-33185) filed January 12,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240" w:type="dxa"/>
            <w:vAlign w:val="bottom"/>
            <w:tcBorders>
              <w:right w:val="single" w:sz="8" w:color="0000EE"/>
            </w:tcBorders>
            <w:gridSpan w:val="6"/>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Services Agreement, dated August 1, 2021, between MediciNova, Inc. and Signature Analytics LLC (acquired by Citrin Cooperman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520" w:type="dxa"/>
            <w:vAlign w:val="bottom"/>
            <w:tcBorders>
              <w:right w:val="single" w:sz="8" w:color="0000FF"/>
            </w:tcBorders>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Advisors LLC) (incorporated by reference to Exhibit 99.1 of the Registrant’s Current Report on Form 8-K (File No. 001-33185) filed August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line="196" w:lineRule="exact"/>
              <w:rPr>
                <w:rFonts w:ascii="Times New Roman" w:cs="Times New Roman" w:eastAsia="Times New Roman" w:hAnsi="Times New Roman"/>
                <w:sz w:val="18"/>
                <w:szCs w:val="18"/>
                <w:color w:val="0000FF"/>
                <w:w w:val="96"/>
              </w:rPr>
            </w:pPr>
            <w:hyperlink r:id="rId240">
              <w:r>
                <w:rPr>
                  <w:rFonts w:ascii="Times New Roman" w:cs="Times New Roman" w:eastAsia="Times New Roman" w:hAnsi="Times New Roman"/>
                  <w:sz w:val="18"/>
                  <w:szCs w:val="18"/>
                  <w:color w:val="0000FF"/>
                  <w:w w:val="96"/>
                </w:rPr>
                <w:t>2, 2021).</w:t>
              </w:r>
            </w:hyperlink>
          </w:p>
        </w:tc>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520" w:type="dxa"/>
            <w:vAlign w:val="bottom"/>
            <w:gridSpan w:val="7"/>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7"/>
                <w:szCs w:val="17"/>
                <w:color w:val="auto"/>
              </w:rPr>
            </w:pPr>
          </w:p>
        </w:tc>
        <w:tc>
          <w:tcPr>
            <w:tcW w:w="101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MediciNova, Inc. Statement of Company Policy, Trades in the Company’s Securities by Insiders and Confidential Information.</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0" w:right="320" w:hanging="1019"/>
        <w:spacing w:after="0" w:line="282" w:lineRule="auto"/>
        <w:tabs>
          <w:tab w:leader="none" w:pos="1040" w:val="left"/>
        </w:tabs>
        <w:numPr>
          <w:ilvl w:val="0"/>
          <w:numId w:val="48"/>
        </w:numPr>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Subsidiaries of the Registrant (incorporated by reference to Exhibit 21 of the Registrant’s Annual Report on Form 10-K/A (File No. 001-</w:t>
        </w:r>
      </w:hyperlink>
      <w:hyperlink r:id="rId241">
        <w:r>
          <w:rPr>
            <w:rFonts w:ascii="Times New Roman" w:cs="Times New Roman" w:eastAsia="Times New Roman" w:hAnsi="Times New Roman"/>
            <w:sz w:val="18"/>
            <w:szCs w:val="18"/>
            <w:u w:val="single" w:color="auto"/>
            <w:color w:val="0000FF"/>
          </w:rPr>
          <w:t>33185) filed March 28,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664845</wp:posOffset>
            </wp:positionH>
            <wp:positionV relativeFrom="paragraph">
              <wp:posOffset>-185420</wp:posOffset>
            </wp:positionV>
            <wp:extent cx="62668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26681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-48260</wp:posOffset>
            </wp:positionV>
            <wp:extent cx="13836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24.1</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Powers of Attorney (see signature page).</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 and 15d-14 promulgated under the Securities Act of 1933.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 and 15d-14 promulgated under the Securities Act of 1933.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4"/>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 Sarbanes-</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974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736"/>
        </w:trPr>
        <w:tc>
          <w:tcPr>
            <w:tcW w:w="1060" w:type="dxa"/>
            <w:vAlign w:val="bottom"/>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8060" w:type="dxa"/>
            <w:vAlign w:val="bottom"/>
            <w:gridSpan w:val="3"/>
          </w:tcPr>
          <w:p>
            <w:pPr>
              <w:jc w:val="right"/>
              <w:ind w:right="478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0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01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14"/>
                <w:szCs w:val="14"/>
                <w:color w:val="auto"/>
              </w:rPr>
            </w:pPr>
          </w:p>
        </w:tc>
        <w:tc>
          <w:tcPr>
            <w:tcW w:w="10180" w:type="dxa"/>
            <w:vAlign w:val="bottom"/>
            <w:gridSpan w:val="3"/>
          </w:tcPr>
          <w:p>
            <w:pPr>
              <w:spacing w:after="0" w:line="169"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MediciNova, Inc. Recovery of Erroneously Awarded Compensation Policy (incorporated by reference to Exhibit 97.1 of the Registrant’s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gridSpan w:val="3"/>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Annual Report on 10-K (File No. 001-33185) filed February 15,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0" w:right="160" w:hanging="1019"/>
        <w:spacing w:after="0" w:line="261"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2024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0" w:lineRule="exact"/>
        <w:rPr>
          <w:sz w:val="20"/>
          <w:szCs w:val="20"/>
          <w:color w:val="auto"/>
        </w:rPr>
      </w:pPr>
    </w:p>
    <w:p>
      <w:pPr>
        <w:ind w:left="1040" w:hanging="1019"/>
        <w:spacing w:after="0"/>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030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6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EDICINOVA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 Delaware Corporation</w:t>
      </w:r>
    </w:p>
    <w:p>
      <w:pPr>
        <w:sectPr>
          <w:pgSz w:w="11900" w:h="16838" w:orient="portrait"/>
          <w:cols w:equalWidth="0" w:num="1">
            <w:col w:w="11240"/>
          </w:cols>
          <w:pgMar w:left="320" w:top="1413"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19, 2025</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24765</wp:posOffset>
            </wp:positionV>
            <wp:extent cx="2837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560" w:space="720"/>
            <w:col w:w="1420" w:space="720"/>
            <w:col w:w="2820"/>
          </w:cols>
          <w:pgMar w:left="320" w:top="1413" w:right="339" w:bottom="1440" w:gutter="0" w:footer="0" w:header="0"/>
          <w:type w:val="continuous"/>
        </w:sectPr>
      </w:pPr>
    </w:p>
    <w:p>
      <w:pPr>
        <w:jc w:val="center"/>
        <w:ind w:left="67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Yuichi Iwaki his or her true and lawful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13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0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Yuichi Iwaki</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 and Chief Executive</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Yuichi Iwaki, M.D., Ph.D.</w:t>
            </w:r>
          </w:p>
        </w:tc>
        <w:tc>
          <w:tcPr>
            <w:tcW w:w="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Jason Kruger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Kruger</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Carolyn Beaver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Carolyn Beaver</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Nicole Lemerond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Nicole Lemerond</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Kazuko Matsuda</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Kazuko Matsuda</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Hideki Nagao</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19, 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Hideki Nagao</w:t>
            </w:r>
          </w:p>
        </w:tc>
        <w:tc>
          <w:tcPr>
            <w:tcW w:w="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Trades in the Company’s Securities by Insiders (Company Personnel, Board Members and designated Consultants,</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Advisors and Contractors to the Company) and Confidential Information</w:t>
      </w:r>
    </w:p>
    <w:p>
      <w:pPr>
        <w:spacing w:after="0" w:line="381" w:lineRule="exact"/>
        <w:rPr>
          <w:sz w:val="20"/>
          <w:szCs w:val="20"/>
          <w:color w:val="auto"/>
        </w:rPr>
      </w:pPr>
    </w:p>
    <w:p>
      <w:pPr>
        <w:ind w:left="1460" w:hanging="759"/>
        <w:spacing w:after="0"/>
        <w:tabs>
          <w:tab w:leader="none" w:pos="14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ind w:right="320" w:firstLine="469"/>
        <w:spacing w:after="0" w:line="250" w:lineRule="auto"/>
        <w:rPr>
          <w:sz w:val="20"/>
          <w:szCs w:val="20"/>
          <w:color w:val="auto"/>
        </w:rPr>
      </w:pPr>
      <w:r>
        <w:rPr>
          <w:rFonts w:ascii="Times New Roman" w:cs="Times New Roman" w:eastAsia="Times New Roman" w:hAnsi="Times New Roman"/>
          <w:sz w:val="20"/>
          <w:szCs w:val="20"/>
          <w:color w:val="auto"/>
        </w:rPr>
        <w:t xml:space="preserve">Both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Congress are concerned about maintaining the fairness of the U.S. securities markets, and the SEC, together with the U.S. Attorney’s Office, pursues insider trading violations vigorously. Cases have been prosecuted successfully against trading by employees through foreign accounts, trading by family members and friends and trading involving only a small number of shares.</w:t>
      </w:r>
    </w:p>
    <w:p>
      <w:pPr>
        <w:spacing w:after="0" w:line="193" w:lineRule="exact"/>
        <w:rPr>
          <w:sz w:val="20"/>
          <w:szCs w:val="20"/>
          <w:color w:val="auto"/>
        </w:rPr>
      </w:pPr>
    </w:p>
    <w:p>
      <w:pPr>
        <w:ind w:right="520" w:firstLine="469"/>
        <w:spacing w:after="0" w:line="246" w:lineRule="auto"/>
        <w:rPr>
          <w:sz w:val="20"/>
          <w:szCs w:val="20"/>
          <w:color w:val="auto"/>
        </w:rPr>
      </w:pPr>
      <w:r>
        <w:rPr>
          <w:rFonts w:ascii="Times New Roman" w:cs="Times New Roman" w:eastAsia="Times New Roman" w:hAnsi="Times New Roman"/>
          <w:sz w:val="20"/>
          <w:szCs w:val="20"/>
          <w:color w:val="auto"/>
        </w:rPr>
        <w:t>Federal and state securities laws prohibit the purchase or sale of a company’s securities by persons who are aware of material information that is not generally known or available to the public. These laws prohibit persons who are aware of such material non-public information from disclosing it to others who may trade. The securities laws require publicly-traded companies to take reasonable steps to prevent insider trading by company personnel. Companies and their controlling persons are subject to liability if they fail to take reasonable steps to prevent insider trading by company personnel.</w:t>
      </w:r>
    </w:p>
    <w:p>
      <w:pPr>
        <w:spacing w:after="0" w:line="194" w:lineRule="exact"/>
        <w:rPr>
          <w:sz w:val="20"/>
          <w:szCs w:val="20"/>
          <w:color w:val="auto"/>
        </w:rPr>
      </w:pPr>
    </w:p>
    <w:p>
      <w:pPr>
        <w:ind w:right="300" w:firstLine="469"/>
        <w:spacing w:after="0" w:line="244" w:lineRule="auto"/>
        <w:rPr>
          <w:sz w:val="20"/>
          <w:szCs w:val="20"/>
          <w:color w:val="auto"/>
        </w:rPr>
      </w:pPr>
      <w:r>
        <w:rPr>
          <w:rFonts w:ascii="Times New Roman" w:cs="Times New Roman" w:eastAsia="Times New Roman" w:hAnsi="Times New Roman"/>
          <w:sz w:val="20"/>
          <w:szCs w:val="20"/>
          <w:color w:val="auto"/>
        </w:rPr>
        <w:t>This Statement of Company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is designed to prevent insider trading or allegations of insider trading and to protect the Company’s reputation for integrity and ethical conduct. This Policy applies to all employees of MediciNova,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all members of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and designated consultants,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advisors and contractors to the Company, and they are obligated to understand and comply with this Policy. References to “you” (as well as general references to directors, officers, employees, consultants, advisors and contractors of the Company) should also be understood to include members of your immediate family, persons with whom you share a household, persons who are your economic dependents and any other individuals or entities whose transactions in securities you direct, control (including, for example, a trust or a venture or other investment fund, if you direct or control transactions for the entity).</w:t>
      </w:r>
    </w:p>
    <w:p>
      <w:pPr>
        <w:spacing w:after="0" w:line="199" w:lineRule="exact"/>
        <w:rPr>
          <w:sz w:val="20"/>
          <w:szCs w:val="20"/>
          <w:color w:val="auto"/>
        </w:rPr>
      </w:pPr>
    </w:p>
    <w:p>
      <w:pPr>
        <w:ind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Individuals affecting transactions in Japan also need to abide by the laws set out in the Financial Instruments and Exchange Law (the </w:t>
      </w:r>
      <w:r>
        <w:rPr>
          <w:rFonts w:ascii="Times New Roman" w:cs="Times New Roman" w:eastAsia="Times New Roman" w:hAnsi="Times New Roman"/>
          <w:sz w:val="20"/>
          <w:szCs w:val="20"/>
          <w:b w:val="1"/>
          <w:bCs w:val="1"/>
          <w:color w:val="auto"/>
        </w:rPr>
        <w:t>“FIEL”</w:t>
      </w:r>
      <w:r>
        <w:rPr>
          <w:rFonts w:ascii="Times New Roman" w:cs="Times New Roman" w:eastAsia="Times New Roman" w:hAnsi="Times New Roman"/>
          <w:sz w:val="20"/>
          <w:szCs w:val="20"/>
          <w:color w:val="auto"/>
        </w:rPr>
        <w:t>) and the rules and regulations set out in the Rules of the Japanese Securities Market.</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appointed the CFO, or his or her designee, as its current Insider Trading Compliance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Please direct your questions as to any matters discussed in this Policy to the </w:t>
      </w:r>
      <w:r>
        <w:rPr>
          <w:rFonts w:ascii="Times New Roman" w:cs="Times New Roman" w:eastAsia="Times New Roman" w:hAnsi="Times New Roman"/>
          <w:sz w:val="20"/>
          <w:szCs w:val="20"/>
          <w:b w:val="1"/>
          <w:bCs w:val="1"/>
          <w:color w:val="auto"/>
        </w:rPr>
        <w:t>COMPLIANCE</w:t>
      </w:r>
    </w:p>
    <w:p>
      <w:pPr>
        <w:spacing w:after="0"/>
        <w:rPr>
          <w:sz w:val="20"/>
          <w:szCs w:val="20"/>
          <w:color w:val="auto"/>
        </w:rPr>
      </w:pP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1460" w:hanging="759"/>
        <w:spacing w:after="0"/>
        <w:tabs>
          <w:tab w:leader="none" w:pos="14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Consequences.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consequences of insider trading violations can be substantial, with civil and criminal penalties potentially including,</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violations by individuals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820" w:hanging="370"/>
        <w:spacing w:after="0"/>
        <w:tabs>
          <w:tab w:leader="none" w:pos="18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627380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27" w:right="339" w:bottom="1440" w:gutter="0" w:footer="0" w:header="0"/>
        </w:sectPr>
      </w:pPr>
    </w:p>
    <w:bookmarkStart w:id="102" w:name="page103"/>
    <w:bookmarkEnd w:id="102"/>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28"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Imprisonment of up to twenty years; </w:t>
      </w:r>
      <w:r>
        <w:rPr>
          <w:rFonts w:ascii="Times New Roman" w:cs="Times New Roman" w:eastAsia="Times New Roman" w:hAnsi="Times New Roman"/>
          <w:sz w:val="17"/>
          <w:szCs w:val="17"/>
          <w:color w:val="auto"/>
        </w:rPr>
        <w:t>A bar against serving as an officer or director of a public company;</w:t>
      </w:r>
    </w:p>
    <w:p>
      <w:pPr>
        <w:spacing w:after="0" w:line="6"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three times the profit gained or loss avoided;</w:t>
      </w: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 and</w:t>
      </w:r>
    </w:p>
    <w:p>
      <w:pPr>
        <w:spacing w:after="0" w:line="20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of up to $5 million.</w:t>
      </w:r>
    </w:p>
    <w:p>
      <w:pPr>
        <w:spacing w:after="0" w:line="6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penalty of up to five years in prison and a fine of up to JPY 5 million.</w:t>
      </w:r>
    </w:p>
    <w:p>
      <w:pPr>
        <w:spacing w:after="0" w:line="225" w:lineRule="exact"/>
        <w:rPr>
          <w:sz w:val="20"/>
          <w:szCs w:val="20"/>
          <w:color w:val="auto"/>
        </w:rPr>
      </w:pPr>
    </w:p>
    <w:p>
      <w:pPr>
        <w:ind w:right="280" w:firstLine="801"/>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Liabilities if the Company fails to take appropriate steps to prevent insider trading. (Further, civil penalties can extend personal liability to the Company’s directors, officers and other supervisory personnel as “controlling persons”.):</w:t>
      </w:r>
    </w:p>
    <w:p>
      <w:pPr>
        <w:spacing w:after="0" w:line="250" w:lineRule="exact"/>
        <w:rPr>
          <w:sz w:val="20"/>
          <w:szCs w:val="20"/>
          <w:color w:val="auto"/>
        </w:rPr>
      </w:pPr>
    </w:p>
    <w:p>
      <w:pPr>
        <w:ind w:left="1840" w:hanging="350"/>
        <w:spacing w:after="0"/>
        <w:tabs>
          <w:tab w:leader="none" w:pos="18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the greater of $2.479 million or three times the profit gained or loss avoided; and</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maximum fine of JPY 300 million.</w:t>
      </w:r>
    </w:p>
    <w:p>
      <w:pPr>
        <w:spacing w:after="0" w:line="229" w:lineRule="exact"/>
        <w:rPr>
          <w:sz w:val="20"/>
          <w:szCs w:val="20"/>
          <w:color w:val="auto"/>
        </w:rPr>
      </w:pPr>
    </w:p>
    <w:p>
      <w:pPr>
        <w:ind w:left="40" w:right="120" w:firstLine="469"/>
        <w:spacing w:after="0" w:line="249" w:lineRule="auto"/>
        <w:rPr>
          <w:sz w:val="20"/>
          <w:szCs w:val="20"/>
          <w:color w:val="auto"/>
        </w:rPr>
      </w:pPr>
      <w:r>
        <w:rPr>
          <w:rFonts w:ascii="Times New Roman" w:cs="Times New Roman" w:eastAsia="Times New Roman" w:hAnsi="Times New Roman"/>
          <w:sz w:val="20"/>
          <w:szCs w:val="20"/>
          <w:color w:val="auto"/>
        </w:rPr>
        <w:t>Company-imposed sanctions, including dismissal for cause, could result if an individual violates the insider trading policy, whether or not this individual's actions also violate the law. It is not necessary for the Company to wait for the filing or conclusion of any civil or criminal action against you before taking disciplinary action. In addition, Company may give stop transfer and other instructions to Company’s transfer agent to enforce compliance with this Policy.</w:t>
      </w:r>
    </w:p>
    <w:p>
      <w:pPr>
        <w:spacing w:after="0" w:line="144" w:lineRule="exact"/>
        <w:rPr>
          <w:sz w:val="20"/>
          <w:szCs w:val="20"/>
          <w:color w:val="auto"/>
        </w:rPr>
      </w:pPr>
    </w:p>
    <w:p>
      <w:pPr>
        <w:ind w:left="1500" w:hanging="759"/>
        <w:spacing w:after="0"/>
        <w:tabs>
          <w:tab w:leader="none" w:pos="15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11" w:lineRule="exact"/>
        <w:rPr>
          <w:sz w:val="20"/>
          <w:szCs w:val="20"/>
          <w:color w:val="auto"/>
        </w:rPr>
      </w:pPr>
    </w:p>
    <w:p>
      <w:pPr>
        <w:ind w:left="40" w:right="60" w:firstLine="469"/>
        <w:spacing w:after="0" w:line="246" w:lineRule="auto"/>
        <w:rPr>
          <w:sz w:val="20"/>
          <w:szCs w:val="20"/>
          <w:color w:val="auto"/>
        </w:rPr>
      </w:pPr>
      <w:r>
        <w:rPr>
          <w:rFonts w:ascii="Times New Roman" w:cs="Times New Roman" w:eastAsia="Times New Roman" w:hAnsi="Times New Roman"/>
          <w:sz w:val="20"/>
          <w:szCs w:val="20"/>
          <w:color w:val="auto"/>
        </w:rPr>
        <w:t>Except as provided in the section 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you may not, directly or indirectly through others,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engage in any transaction involving the Company’s securities while aware of material non-public information</w:t>
      </w:r>
      <w:r>
        <w:rPr>
          <w:rFonts w:ascii="Times New Roman" w:cs="Times New Roman" w:eastAsia="Times New Roman" w:hAnsi="Times New Roman"/>
          <w:sz w:val="20"/>
          <w:szCs w:val="20"/>
          <w:color w:val="auto"/>
        </w:rPr>
        <w:t>. If you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(often referred to as “</w:t>
      </w:r>
      <w:r>
        <w:rPr>
          <w:rFonts w:ascii="Times New Roman" w:cs="Times New Roman" w:eastAsia="Times New Roman" w:hAnsi="Times New Roman"/>
          <w:sz w:val="20"/>
          <w:szCs w:val="20"/>
          <w:b w:val="1"/>
          <w:bCs w:val="1"/>
          <w:color w:val="auto"/>
        </w:rPr>
        <w:t>insider information</w:t>
      </w:r>
      <w:r>
        <w:rPr>
          <w:rFonts w:ascii="Times New Roman" w:cs="Times New Roman" w:eastAsia="Times New Roman" w:hAnsi="Times New Roman"/>
          <w:sz w:val="20"/>
          <w:szCs w:val="20"/>
          <w:color w:val="auto"/>
        </w:rPr>
        <w:t>”) relating to the Company, it is our policy that neither you nor any related person may buy or sell securities of the Company or engage in any other action to take advantage of, or pass on to others, that information. Even the appearance of an improper transaction must be avoided to prevent possible insider information violations and to preserve our reputation for adhering to the highest standards of conduct.</w:t>
      </w:r>
    </w:p>
    <w:p>
      <w:pPr>
        <w:spacing w:after="0" w:line="196" w:lineRule="exact"/>
        <w:rPr>
          <w:sz w:val="20"/>
          <w:szCs w:val="20"/>
          <w:color w:val="auto"/>
        </w:rPr>
      </w:pPr>
    </w:p>
    <w:p>
      <w:pPr>
        <w:ind w:left="40" w:right="120" w:firstLine="469"/>
        <w:spacing w:after="0" w:line="259" w:lineRule="auto"/>
        <w:rPr>
          <w:sz w:val="20"/>
          <w:szCs w:val="20"/>
          <w:color w:val="auto"/>
        </w:rPr>
      </w:pPr>
      <w:r>
        <w:rPr>
          <w:rFonts w:ascii="Times New Roman" w:cs="Times New Roman" w:eastAsia="Times New Roman" w:hAnsi="Times New Roman"/>
          <w:sz w:val="19"/>
          <w:szCs w:val="19"/>
          <w:color w:val="auto"/>
        </w:rPr>
        <w:t>Similarly, this policy also applies to trading in the securities of any other company if you became aware of material non-public information about that company in the course of your relationship with the Company (except if the transactions are similar to those presented in the section titled “</w:t>
      </w:r>
      <w:r>
        <w:rPr>
          <w:rFonts w:ascii="Times New Roman" w:cs="Times New Roman" w:eastAsia="Times New Roman" w:hAnsi="Times New Roman"/>
          <w:sz w:val="19"/>
          <w:szCs w:val="19"/>
          <w:b w:val="1"/>
          <w:bCs w:val="1"/>
          <w:color w:val="auto"/>
        </w:rPr>
        <w:t>Limited Exceptions</w:t>
      </w:r>
      <w:r>
        <w:rPr>
          <w:rFonts w:ascii="Times New Roman" w:cs="Times New Roman" w:eastAsia="Times New Roman" w:hAnsi="Times New Roman"/>
          <w:sz w:val="19"/>
          <w:szCs w:val="19"/>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Company’s securities, if that information is material to the Company). “</w:t>
      </w:r>
      <w:r>
        <w:rPr>
          <w:rFonts w:ascii="Times New Roman" w:cs="Times New Roman" w:eastAsia="Times New Roman" w:hAnsi="Times New Roman"/>
          <w:sz w:val="19"/>
          <w:szCs w:val="19"/>
          <w:b w:val="1"/>
          <w:bCs w:val="1"/>
          <w:color w:val="auto"/>
        </w:rPr>
        <w:t>Materiality</w:t>
      </w:r>
      <w:r>
        <w:rPr>
          <w:rFonts w:ascii="Times New Roman" w:cs="Times New Roman" w:eastAsia="Times New Roman" w:hAnsi="Times New Roman"/>
          <w:sz w:val="19"/>
          <w:szCs w:val="19"/>
          <w:color w:val="auto"/>
        </w:rPr>
        <w:t>” is company-specific — information that is not material to the Company may be material to another company.</w:t>
      </w:r>
    </w:p>
    <w:p>
      <w:pPr>
        <w:spacing w:after="0" w:line="186" w:lineRule="exact"/>
        <w:rPr>
          <w:sz w:val="20"/>
          <w:szCs w:val="20"/>
          <w:color w:val="auto"/>
        </w:rPr>
      </w:pPr>
    </w:p>
    <w:p>
      <w:pPr>
        <w:ind w:left="40" w:firstLine="469"/>
        <w:spacing w:after="0" w:line="249" w:lineRule="auto"/>
        <w:rPr>
          <w:sz w:val="20"/>
          <w:szCs w:val="20"/>
          <w:color w:val="auto"/>
        </w:rPr>
      </w:pPr>
      <w:r>
        <w:rPr>
          <w:rFonts w:ascii="Times New Roman" w:cs="Times New Roman" w:eastAsia="Times New Roman" w:hAnsi="Times New Roman"/>
          <w:sz w:val="20"/>
          <w:szCs w:val="20"/>
          <w:color w:val="auto"/>
        </w:rPr>
        <w:t>Material information is any information that a reasonable investor would consider important in deciding whether to buy, hold or sell securities of the Company. Material information includes any information that reasonably could affect the price of the stock. Either positive or negative information may be material and material information may be about the Company or about a company with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604520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60" w:top="1332"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we do business.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 xml:space="preserve">Examples: </w:t>
      </w:r>
      <w:r>
        <w:rPr>
          <w:rFonts w:ascii="Times New Roman" w:cs="Times New Roman" w:eastAsia="Times New Roman" w:hAnsi="Times New Roman"/>
          <w:sz w:val="20"/>
          <w:szCs w:val="20"/>
          <w:color w:val="auto"/>
        </w:rPr>
        <w:t>Common examples of information that will frequently be regarded as material are:</w:t>
      </w:r>
    </w:p>
    <w:p>
      <w:pPr>
        <w:spacing w:after="0" w:line="228" w:lineRule="exact"/>
        <w:rPr>
          <w:sz w:val="20"/>
          <w:szCs w:val="20"/>
          <w:color w:val="auto"/>
        </w:rPr>
      </w:pPr>
    </w:p>
    <w:p>
      <w:pPr>
        <w:ind w:left="1280" w:right="340"/>
        <w:spacing w:after="0" w:line="254" w:lineRule="auto"/>
        <w:rPr>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possible merger, acquisition or tender offer;</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significant sale of assets;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new products or delays in new product introduction or development;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discoveries, or grants or allowances or disallowances of patents;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dividend policies or the declaration of a stock split or the offering of additional securities;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management;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13" w:lineRule="exact"/>
        <w:rPr>
          <w:sz w:val="20"/>
          <w:szCs w:val="20"/>
          <w:color w:val="auto"/>
        </w:rPr>
      </w:pPr>
    </w:p>
    <w:p>
      <w:pPr>
        <w:ind w:left="1280"/>
        <w:spacing w:after="0" w:line="242" w:lineRule="auto"/>
        <w:rPr>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loss, breach or unauthorized access of the Company’s property or assets, whether at the Company’s facilities or through the Company’s technology infrastructure;</w:t>
      </w:r>
    </w:p>
    <w:p>
      <w:pPr>
        <w:ind w:left="720"/>
        <w:spacing w:after="0"/>
        <w:rPr>
          <w:sz w:val="20"/>
          <w:szCs w:val="20"/>
          <w:color w:val="auto"/>
        </w:rPr>
      </w:pPr>
      <w:r>
        <w:rPr>
          <w:rFonts w:ascii="Times New Roman" w:cs="Times New Roman" w:eastAsia="Times New Roman" w:hAnsi="Times New Roman"/>
          <w:sz w:val="20"/>
          <w:szCs w:val="20"/>
          <w:color w:val="auto"/>
        </w:rPr>
        <w:t>plans to raise additional capital through stock sales or otherwise;</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significant product sale, customer or collaborator;</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impending bankruptcy or financial liquidity problems; and</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substantial customer or supplier.</w:t>
      </w:r>
    </w:p>
    <w:p>
      <w:pPr>
        <w:spacing w:after="0" w:line="315" w:lineRule="exact"/>
        <w:rPr>
          <w:sz w:val="20"/>
          <w:szCs w:val="20"/>
          <w:color w:val="auto"/>
        </w:rPr>
      </w:pPr>
    </w:p>
    <w:p>
      <w:pPr>
        <w:ind w:right="400" w:firstLine="469"/>
        <w:spacing w:after="0" w:line="254" w:lineRule="auto"/>
        <w:rPr>
          <w:sz w:val="20"/>
          <w:szCs w:val="20"/>
          <w:color w:val="auto"/>
        </w:rPr>
      </w:pPr>
      <w:r>
        <w:rPr>
          <w:rFonts w:ascii="Times New Roman" w:cs="Times New Roman" w:eastAsia="Times New Roman" w:hAnsi="Times New Roman"/>
          <w:sz w:val="20"/>
          <w:szCs w:val="20"/>
          <w:color w:val="auto"/>
        </w:rPr>
        <w:t>The FIEL lists specific events that are considered to be “material inside information” and also contains a catch all provision for events not specifically mentioned in the law. A non-exhaustive list of facts which could be material information under the FIEL is attached as Exhibit D to this Statement of Company Policy.</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Hindsight</w:t>
      </w:r>
      <w:r>
        <w:rPr>
          <w:rFonts w:ascii="Times New Roman" w:cs="Times New Roman" w:eastAsia="Times New Roman" w:hAnsi="Times New Roman"/>
          <w:sz w:val="20"/>
          <w:szCs w:val="20"/>
          <w:color w:val="auto"/>
        </w:rPr>
        <w:t>. Securities transactions that become the subject of scrutiny will be viewed after-the-fact with the benefit of hindsight.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before engaging in any transaction, you should carefully consider how others might view your transaction in hindsight.</w:t>
      </w:r>
    </w:p>
    <w:p>
      <w:pPr>
        <w:spacing w:after="0" w:line="203" w:lineRule="exact"/>
        <w:rPr>
          <w:sz w:val="20"/>
          <w:szCs w:val="20"/>
          <w:color w:val="auto"/>
        </w:rPr>
      </w:pPr>
    </w:p>
    <w:p>
      <w:pPr>
        <w:ind w:right="300" w:firstLine="469"/>
        <w:spacing w:after="0" w:line="273" w:lineRule="auto"/>
        <w:rPr>
          <w:sz w:val="20"/>
          <w:szCs w:val="20"/>
          <w:color w:val="auto"/>
        </w:rPr>
      </w:pPr>
      <w:r>
        <w:rPr>
          <w:rFonts w:ascii="Times New Roman" w:cs="Times New Roman" w:eastAsia="Times New Roman" w:hAnsi="Times New Roman"/>
          <w:sz w:val="20"/>
          <w:szCs w:val="20"/>
          <w:b w:val="1"/>
          <w:bCs w:val="1"/>
          <w:color w:val="auto"/>
        </w:rPr>
        <w:t>Transactions by Family Members</w:t>
      </w:r>
      <w:r>
        <w:rPr>
          <w:rFonts w:ascii="Times New Roman" w:cs="Times New Roman" w:eastAsia="Times New Roman" w:hAnsi="Times New Roman"/>
          <w:sz w:val="20"/>
          <w:szCs w:val="20"/>
          <w:color w:val="auto"/>
        </w:rPr>
        <w:t>. The same restrictions apply to your family members and others living in your household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apply to you. You are responsible for the compliance to this Policy by your immediate family and personal household members.</w:t>
      </w:r>
    </w:p>
    <w:p>
      <w:pPr>
        <w:spacing w:after="0" w:line="165" w:lineRule="exact"/>
        <w:rPr>
          <w:sz w:val="20"/>
          <w:szCs w:val="20"/>
          <w:color w:val="auto"/>
        </w:rPr>
      </w:pPr>
    </w:p>
    <w:p>
      <w:pPr>
        <w:jc w:val="both"/>
        <w:ind w:right="460" w:firstLine="469"/>
        <w:spacing w:after="0" w:line="247" w:lineRule="auto"/>
        <w:rPr>
          <w:sz w:val="20"/>
          <w:szCs w:val="20"/>
          <w:color w:val="auto"/>
        </w:rPr>
      </w:pPr>
      <w:r>
        <w:rPr>
          <w:rFonts w:ascii="Times New Roman" w:cs="Times New Roman" w:eastAsia="Times New Roman" w:hAnsi="Times New Roman"/>
          <w:sz w:val="20"/>
          <w:szCs w:val="20"/>
          <w:b w:val="1"/>
          <w:bCs w:val="1"/>
          <w:color w:val="auto"/>
        </w:rPr>
        <w:t>Do Not Pass Information to Others</w:t>
      </w:r>
      <w:r>
        <w:rPr>
          <w:rFonts w:ascii="Times New Roman" w:cs="Times New Roman" w:eastAsia="Times New Roman" w:hAnsi="Times New Roman"/>
          <w:sz w:val="20"/>
          <w:szCs w:val="20"/>
          <w:color w:val="auto"/>
        </w:rPr>
        <w:t>. Whether the information is proprietary information about the Company or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could have an impact on our stock price, you must not pass the information on to others. You may not advise others to trade on the basis of material non-public information and this practice would violate security laws. Liability in these cases can extend to both the person to whom the insider disclosed inside information, and to you the insider, and would apply whether or not you derive any benefit from another’s actions.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No Exception for Small Trades</w:t>
      </w:r>
      <w:r>
        <w:rPr>
          <w:rFonts w:ascii="Times New Roman" w:cs="Times New Roman" w:eastAsia="Times New Roman" w:hAnsi="Times New Roman"/>
          <w:sz w:val="20"/>
          <w:szCs w:val="20"/>
          <w:color w:val="auto"/>
        </w:rPr>
        <w:t>. This policy applies regardless of how small the trade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767080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00" w:top="1332" w:right="359" w:bottom="1440" w:gutter="0" w:footer="0" w:header="0"/>
        </w:sectPr>
      </w:pPr>
    </w:p>
    <w:bookmarkStart w:id="104" w:name="page105"/>
    <w:bookmarkEnd w:id="104"/>
    <w:p>
      <w:pPr>
        <w:ind w:right="2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Other No Exception Conditions</w:t>
      </w:r>
      <w:r>
        <w:rPr>
          <w:rFonts w:ascii="Times New Roman" w:cs="Times New Roman" w:eastAsia="Times New Roman" w:hAnsi="Times New Roman"/>
          <w:sz w:val="20"/>
          <w:szCs w:val="20"/>
          <w:color w:val="auto"/>
        </w:rPr>
        <w:t>. It does not matter that you have decided to engage in a transaction before becoming aware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or that the material non-public information did not affect your decision to engage in the transaction. It also does not matter that publicly disclosed information about the Company might, aside from the material non-public information, provide a sufficient basis for engaging in the transaction</w:t>
      </w:r>
    </w:p>
    <w:p>
      <w:pPr>
        <w:spacing w:after="0" w:line="189" w:lineRule="exact"/>
        <w:rPr>
          <w:sz w:val="20"/>
          <w:szCs w:val="20"/>
          <w:color w:val="auto"/>
        </w:rPr>
      </w:pPr>
    </w:p>
    <w:p>
      <w:pPr>
        <w:ind w:right="60" w:firstLine="469"/>
        <w:spacing w:after="0" w:line="244" w:lineRule="auto"/>
        <w:rPr>
          <w:sz w:val="20"/>
          <w:szCs w:val="20"/>
          <w:color w:val="auto"/>
        </w:rPr>
      </w:pPr>
      <w:r>
        <w:rPr>
          <w:rFonts w:ascii="Times New Roman" w:cs="Times New Roman" w:eastAsia="Times New Roman" w:hAnsi="Times New Roman"/>
          <w:sz w:val="20"/>
          <w:szCs w:val="20"/>
          <w:b w:val="1"/>
          <w:bCs w:val="1"/>
          <w:color w:val="auto"/>
        </w:rPr>
        <w:t>When Information is Public</w:t>
      </w:r>
      <w:r>
        <w:rPr>
          <w:rFonts w:ascii="Times New Roman" w:cs="Times New Roman" w:eastAsia="Times New Roman" w:hAnsi="Times New Roman"/>
          <w:sz w:val="20"/>
          <w:szCs w:val="20"/>
          <w:color w:val="auto"/>
        </w:rPr>
        <w:t>. It is also improper for you to enter a trade immediately after the Company has made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of material information, including earnings releases. For purposes of the SEC, you must wait until the beginning of the </w:t>
      </w:r>
      <w:r>
        <w:rPr>
          <w:rFonts w:ascii="Times New Roman" w:cs="Times New Roman" w:eastAsia="Times New Roman" w:hAnsi="Times New Roman"/>
          <w:sz w:val="20"/>
          <w:szCs w:val="20"/>
          <w:b w:val="1"/>
          <w:bCs w:val="1"/>
          <w:color w:val="auto"/>
        </w:rPr>
        <w:t xml:space="preserve">second trading day </w:t>
      </w:r>
      <w:r>
        <w:rPr>
          <w:rFonts w:ascii="Times New Roman" w:cs="Times New Roman" w:eastAsia="Times New Roman" w:hAnsi="Times New Roman"/>
          <w:sz w:val="20"/>
          <w:szCs w:val="20"/>
          <w:color w:val="auto"/>
        </w:rPr>
        <w:t>after material information has been released to the public (If, for example, the Company were to make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after the close of the trading day on a Monday afternoon, you should not trade in the Company’s securities until the beginning of the trading day on Wednesday). However, depending upon the form of the announcement and the nature of the information, it is possible that information may not be fully absorbed by the marketplace until later. Any questions as to whether information is non-public should be directed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The term “trading day” means a day on which national stock exchanges are open for trading.</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purpose of the FIEL, material inside information will be deemed to have been disclosed on the earlier of:</w:t>
      </w:r>
    </w:p>
    <w:p>
      <w:pPr>
        <w:spacing w:after="0" w:line="229" w:lineRule="exact"/>
        <w:rPr>
          <w:sz w:val="20"/>
          <w:szCs w:val="20"/>
          <w:color w:val="auto"/>
        </w:rPr>
      </w:pPr>
    </w:p>
    <w:p>
      <w:pPr>
        <w:ind w:left="1060" w:right="300" w:hanging="359"/>
        <w:spacing w:after="0" w:line="269"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hours having lapsed since the information in question has been made known by the listed company in question to two different newspapers (not by any third party);</w:t>
      </w:r>
    </w:p>
    <w:p>
      <w:pPr>
        <w:spacing w:after="0" w:line="172" w:lineRule="exact"/>
        <w:rPr>
          <w:rFonts w:ascii="Times New Roman" w:cs="Times New Roman" w:eastAsia="Times New Roman" w:hAnsi="Times New Roman"/>
          <w:sz w:val="20"/>
          <w:szCs w:val="20"/>
          <w:color w:val="auto"/>
        </w:rPr>
      </w:pPr>
    </w:p>
    <w:p>
      <w:pPr>
        <w:ind w:left="1040" w:right="1160" w:hanging="339"/>
        <w:spacing w:after="0" w:line="269" w:lineRule="auto"/>
        <w:tabs>
          <w:tab w:leader="none" w:pos="10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disclosure documents which have to be filed with the local finance bureau by a listed company, as prescribed by the FIEL, such as the annual report or extraordinary report;</w:t>
      </w:r>
    </w:p>
    <w:p>
      <w:pPr>
        <w:spacing w:after="0" w:line="172"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information through TDnet, Timely Disclosure Network; or</w:t>
      </w:r>
    </w:p>
    <w:p>
      <w:pPr>
        <w:spacing w:after="0" w:line="229"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document of the tender offer bid has been made public.</w:t>
      </w:r>
    </w:p>
    <w:p>
      <w:pPr>
        <w:spacing w:after="0" w:line="229" w:lineRule="exact"/>
        <w:rPr>
          <w:sz w:val="20"/>
          <w:szCs w:val="20"/>
          <w:color w:val="auto"/>
        </w:rPr>
      </w:pPr>
    </w:p>
    <w:p>
      <w:pPr>
        <w:ind w:right="160" w:firstLine="469"/>
        <w:spacing w:after="0" w:line="269" w:lineRule="auto"/>
        <w:rPr>
          <w:sz w:val="20"/>
          <w:szCs w:val="20"/>
          <w:color w:val="auto"/>
        </w:rPr>
      </w:pPr>
      <w:r>
        <w:rPr>
          <w:rFonts w:ascii="Times New Roman" w:cs="Times New Roman" w:eastAsia="Times New Roman" w:hAnsi="Times New Roman"/>
          <w:sz w:val="20"/>
          <w:szCs w:val="20"/>
          <w:color w:val="auto"/>
        </w:rPr>
        <w:t>We impose certain “trading blackouts” to ensure that the Company’s stockholders and the investing public will be afforded the time to receive the information and act upon it. These are discussed below under “Trading Blackouts.”</w:t>
      </w:r>
    </w:p>
    <w:p>
      <w:pPr>
        <w:spacing w:after="0" w:line="16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b w:val="1"/>
          <w:bCs w:val="1"/>
          <w:color w:val="auto"/>
        </w:rPr>
        <w:t>Pre-Approval of Trades</w:t>
      </w:r>
      <w:r>
        <w:rPr>
          <w:rFonts w:ascii="Times New Roman" w:cs="Times New Roman" w:eastAsia="Times New Roman" w:hAnsi="Times New Roman"/>
          <w:sz w:val="20"/>
          <w:szCs w:val="20"/>
          <w:color w:val="auto"/>
        </w:rPr>
        <w:t>. To provide assistance in preventing inadvertent violations and avoiding even the appearance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improper transaction (which could result, for example, if an employee engages in a trade while unaware of a pending major development), all members of the Board of Directors, officers and certain employees in a position to have access to material non-public information are subject to pre-approval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of all transactions in Company stock (acquisitions, dispositions, transfers, etc.). Pre-approval provided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must be in writing and will be subject to a two week expiration, after which it must be renewed by the applicant in order to continue to be valid. See Exhibit B for a listing of those persons designated for this pre-approval requirement.</w:t>
      </w:r>
    </w:p>
    <w:p>
      <w:pPr>
        <w:spacing w:after="0" w:line="197" w:lineRule="exact"/>
        <w:rPr>
          <w:sz w:val="20"/>
          <w:szCs w:val="20"/>
          <w:color w:val="auto"/>
        </w:rPr>
      </w:pPr>
    </w:p>
    <w:p>
      <w:pPr>
        <w:ind w:right="160" w:firstLine="469"/>
        <w:spacing w:after="0" w:line="244" w:lineRule="auto"/>
        <w:rPr>
          <w:sz w:val="20"/>
          <w:szCs w:val="20"/>
          <w:color w:val="auto"/>
        </w:rPr>
      </w:pPr>
      <w:r>
        <w:rPr>
          <w:rFonts w:ascii="Times New Roman" w:cs="Times New Roman" w:eastAsia="Times New Roman" w:hAnsi="Times New Roman"/>
          <w:sz w:val="20"/>
          <w:szCs w:val="20"/>
          <w:color w:val="auto"/>
        </w:rPr>
        <w:t xml:space="preserve">Pre-approval does not relieve anyone of their responsibility under government rules or under this Policy. You, whether subject to pre-approval or not, are responsible for adherence to this Policy, including, but not limited to: not trading on insider information; not trading during trading blackout periods; not trading for two days after earnings announcements; and not trading in securities on a short-term basis. Even if you are normally not subject to pre-approval are required to have pre-approval by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for the sale of stock purchased in the open market that has been owned less than six months. (This rule does not apply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to stock purchased upon the exercise of an employee stock option or an employee stock purchase plan.) If you are in doubt whether pre-approval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617220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28" w:right="619"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20"/>
          <w:szCs w:val="20"/>
          <w:color w:val="auto"/>
        </w:rPr>
        <w:t xml:space="preserve">you should inquire with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or obtain pre-approval as a cautionary measure.</w:t>
      </w:r>
    </w:p>
    <w:p>
      <w:pPr>
        <w:spacing w:after="0" w:line="184" w:lineRule="exact"/>
        <w:rPr>
          <w:sz w:val="20"/>
          <w:szCs w:val="20"/>
          <w:color w:val="auto"/>
        </w:rPr>
      </w:pPr>
    </w:p>
    <w:p>
      <w:pPr>
        <w:ind w:left="1500" w:hanging="759"/>
        <w:spacing w:after="0"/>
        <w:tabs>
          <w:tab w:leader="none" w:pos="15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Filings.</w:t>
      </w:r>
    </w:p>
    <w:p>
      <w:pPr>
        <w:spacing w:after="0" w:line="215" w:lineRule="exact"/>
        <w:rPr>
          <w:sz w:val="20"/>
          <w:szCs w:val="20"/>
          <w:color w:val="auto"/>
        </w:rPr>
      </w:pPr>
    </w:p>
    <w:p>
      <w:pPr>
        <w:jc w:val="both"/>
        <w:ind w:left="40" w:right="60" w:firstLine="469"/>
        <w:spacing w:after="0" w:line="233" w:lineRule="auto"/>
        <w:rPr>
          <w:sz w:val="20"/>
          <w:szCs w:val="20"/>
          <w:color w:val="auto"/>
        </w:rPr>
      </w:pPr>
      <w:r>
        <w:rPr>
          <w:rFonts w:ascii="Times New Roman" w:cs="Times New Roman" w:eastAsia="Times New Roman" w:hAnsi="Times New Roman"/>
          <w:sz w:val="20"/>
          <w:szCs w:val="20"/>
          <w:color w:val="auto"/>
        </w:rPr>
        <w:t>The SEC requires of all Company Directors and Section 16 officers of the Company (i.e. all persons listed on Exhibit C of this Policy) the initial reporting (on Form 3) and the reporting of subsequent changes (on Form 4) of ownership of the Company’s stock, including the granting or exercising of stock options. (Form 4 must be filed before the end of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business day following a change of securities ownership.)</w:t>
      </w:r>
    </w:p>
    <w:p>
      <w:pPr>
        <w:spacing w:after="0" w:line="201" w:lineRule="exact"/>
        <w:rPr>
          <w:sz w:val="20"/>
          <w:szCs w:val="20"/>
          <w:color w:val="auto"/>
        </w:rPr>
      </w:pPr>
    </w:p>
    <w:p>
      <w:pPr>
        <w:ind w:left="40" w:firstLine="469"/>
        <w:spacing w:after="0" w:line="245" w:lineRule="auto"/>
        <w:rPr>
          <w:sz w:val="20"/>
          <w:szCs w:val="20"/>
          <w:color w:val="auto"/>
        </w:rPr>
      </w:pPr>
      <w:r>
        <w:rPr>
          <w:rFonts w:ascii="Times New Roman" w:cs="Times New Roman" w:eastAsia="Times New Roman" w:hAnsi="Times New Roman"/>
          <w:sz w:val="20"/>
          <w:szCs w:val="20"/>
          <w:color w:val="auto"/>
        </w:rPr>
        <w:t>In addition to SEC reporting requirements, in the event of a sale transaction of the Company’s stock by a director or executive officer, the Financial Services Agency (“</w:t>
      </w:r>
      <w:r>
        <w:rPr>
          <w:rFonts w:ascii="Times New Roman" w:cs="Times New Roman" w:eastAsia="Times New Roman" w:hAnsi="Times New Roman"/>
          <w:sz w:val="20"/>
          <w:szCs w:val="20"/>
          <w:b w:val="1"/>
          <w:bCs w:val="1"/>
          <w:color w:val="auto"/>
        </w:rPr>
        <w:t>FSA</w:t>
      </w:r>
      <w:r>
        <w:rPr>
          <w:rFonts w:ascii="Times New Roman" w:cs="Times New Roman" w:eastAsia="Times New Roman" w:hAnsi="Times New Roman"/>
          <w:sz w:val="20"/>
          <w:szCs w:val="20"/>
          <w:color w:val="auto"/>
        </w:rPr>
        <w:t>”), a Japan government organization which oversees securities and exchange in Japan, requires such individual to file a sales report (“</w:t>
      </w:r>
      <w:r>
        <w:rPr>
          <w:rFonts w:ascii="Times New Roman" w:cs="Times New Roman" w:eastAsia="Times New Roman" w:hAnsi="Times New Roman"/>
          <w:sz w:val="20"/>
          <w:szCs w:val="20"/>
          <w:b w:val="1"/>
          <w:bCs w:val="1"/>
          <w:color w:val="auto"/>
        </w:rPr>
        <w:t>Sales Report by Officers or Principal Shareholders</w:t>
      </w:r>
      <w:r>
        <w:rPr>
          <w:rFonts w:ascii="Times New Roman" w:cs="Times New Roman" w:eastAsia="Times New Roman" w:hAnsi="Times New Roman"/>
          <w:sz w:val="20"/>
          <w:szCs w:val="20"/>
          <w:color w:val="auto"/>
        </w:rPr>
        <w:t>”) with the FSA by the fifteenth day of the immediately succeeding the month in which the sale took place. Such report must be submitted through the broker/dealer if the sale was affected through a broker/dealer, and by the individual if the sale was not affected through a broker/dealer; provided, however, that submission of the above report is not required in the following cases:</w:t>
      </w:r>
    </w:p>
    <w:p>
      <w:pPr>
        <w:spacing w:after="0" w:line="198" w:lineRule="exact"/>
        <w:rPr>
          <w:sz w:val="20"/>
          <w:szCs w:val="20"/>
          <w:color w:val="auto"/>
        </w:rPr>
      </w:pPr>
    </w:p>
    <w:p>
      <w:pPr>
        <w:ind w:left="1500" w:hanging="759"/>
        <w:spacing w:after="0"/>
        <w:tabs>
          <w:tab w:leader="none" w:pos="15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sales of only fractional shares or odd lot shares;</w:t>
      </w:r>
    </w:p>
    <w:p>
      <w:pPr>
        <w:spacing w:after="0" w:line="229" w:lineRule="exact"/>
        <w:rPr>
          <w:rFonts w:ascii="Times New Roman" w:cs="Times New Roman" w:eastAsia="Times New Roman" w:hAnsi="Times New Roman"/>
          <w:sz w:val="20"/>
          <w:szCs w:val="20"/>
          <w:color w:val="auto"/>
        </w:rPr>
      </w:pPr>
    </w:p>
    <w:p>
      <w:pPr>
        <w:ind w:right="680" w:firstLine="741"/>
        <w:spacing w:after="0" w:line="269" w:lineRule="auto"/>
        <w:tabs>
          <w:tab w:leader="none" w:pos="126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stock by a stockholding plan (limited to the case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right="180" w:firstLine="741"/>
        <w:spacing w:after="0" w:line="269" w:lineRule="auto"/>
        <w:tabs>
          <w:tab w:leader="none" w:pos="127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the purchase was made under an accumulative investment agreement through a securities company (limited to cases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left="1240" w:hanging="499"/>
        <w:spacing w:after="0"/>
        <w:tabs>
          <w:tab w:leader="none" w:pos="1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futures transactions of a group of different items of stock were conducted on a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w:t>
      </w:r>
    </w:p>
    <w:p>
      <w:pPr>
        <w:spacing w:after="0" w:line="32" w:lineRule="exact"/>
        <w:rPr>
          <w:sz w:val="20"/>
          <w:szCs w:val="20"/>
          <w:color w:val="auto"/>
        </w:rPr>
      </w:pPr>
    </w:p>
    <w:p>
      <w:pPr>
        <w:ind w:left="1280" w:hanging="539"/>
        <w:spacing w:after="0"/>
        <w:tabs>
          <w:tab w:leader="none" w:pos="1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stabilization transaction prescribed in Article 159, Paragraph 3 of the FIEL is conducted;</w:t>
      </w:r>
    </w:p>
    <w:p>
      <w:pPr>
        <w:spacing w:after="0" w:line="229" w:lineRule="exact"/>
        <w:rPr>
          <w:rFonts w:ascii="Times New Roman" w:cs="Times New Roman" w:eastAsia="Times New Roman" w:hAnsi="Times New Roman"/>
          <w:sz w:val="20"/>
          <w:szCs w:val="20"/>
          <w:color w:val="auto"/>
        </w:rPr>
      </w:pPr>
    </w:p>
    <w:p>
      <w:pPr>
        <w:ind w:right="720" w:firstLine="741"/>
        <w:spacing w:after="0" w:line="269" w:lineRule="auto"/>
        <w:tabs>
          <w:tab w:leader="none" w:pos="125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sale-and-repurchase of bonds (excluding stock options) with a predetermined repurchase price (limited to the case where the transaction is conducted only for the purpose of its own funding); or</w:t>
      </w:r>
    </w:p>
    <w:p>
      <w:pPr>
        <w:spacing w:after="0" w:line="172" w:lineRule="exact"/>
        <w:rPr>
          <w:rFonts w:ascii="Times New Roman" w:cs="Times New Roman" w:eastAsia="Times New Roman" w:hAnsi="Times New Roman"/>
          <w:sz w:val="20"/>
          <w:szCs w:val="20"/>
          <w:color w:val="auto"/>
        </w:rPr>
      </w:pPr>
    </w:p>
    <w:p>
      <w:pPr>
        <w:ind w:right="680" w:firstLine="741"/>
        <w:spacing w:after="0" w:line="269" w:lineRule="auto"/>
        <w:tabs>
          <w:tab w:leader="none" w:pos="125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shares are newly acquired by the exercise of stock options, equity warrants, or stock purchase warrants which have already been obtained.</w:t>
      </w:r>
    </w:p>
    <w:p>
      <w:pPr>
        <w:spacing w:after="0" w:line="169" w:lineRule="exact"/>
        <w:rPr>
          <w:sz w:val="20"/>
          <w:szCs w:val="20"/>
          <w:color w:val="auto"/>
        </w:rPr>
      </w:pPr>
    </w:p>
    <w:p>
      <w:pPr>
        <w:ind w:left="40" w:right="80" w:firstLine="469"/>
        <w:spacing w:after="0" w:line="246" w:lineRule="auto"/>
        <w:rPr>
          <w:sz w:val="20"/>
          <w:szCs w:val="20"/>
          <w:color w:val="auto"/>
        </w:rPr>
      </w:pPr>
      <w:r>
        <w:rPr>
          <w:rFonts w:ascii="Times New Roman" w:cs="Times New Roman" w:eastAsia="Times New Roman" w:hAnsi="Times New Roman"/>
          <w:sz w:val="20"/>
          <w:szCs w:val="20"/>
          <w:b w:val="1"/>
          <w:bCs w:val="1"/>
          <w:color w:val="auto"/>
        </w:rPr>
        <w:t>Trading Blackouts</w:t>
      </w:r>
      <w:r>
        <w:rPr>
          <w:rFonts w:ascii="Times New Roman" w:cs="Times New Roman" w:eastAsia="Times New Roman" w:hAnsi="Times New Roman"/>
          <w:sz w:val="20"/>
          <w:szCs w:val="20"/>
          <w:color w:val="auto"/>
        </w:rPr>
        <w:t>. From time to time, the Company may require that members of the Board of Directors, officers, selected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employees and others suspend trading because of material events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failure of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to designate a person as being subject to a specific blackout does not relieve that person of the obligation to suspend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while aware of material non-public information.</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In addition, the Company will also require the following mandatory trading blackouts:</w:t>
      </w:r>
    </w:p>
    <w:p>
      <w:pPr>
        <w:spacing w:after="0" w:line="225" w:lineRule="exact"/>
        <w:rPr>
          <w:sz w:val="20"/>
          <w:szCs w:val="20"/>
          <w:color w:val="auto"/>
        </w:rPr>
      </w:pPr>
    </w:p>
    <w:p>
      <w:pPr>
        <w:ind w:left="1100" w:right="100" w:hanging="359"/>
        <w:spacing w:after="0" w:line="273" w:lineRule="auto"/>
        <w:tabs>
          <w:tab w:leader="none" w:pos="11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Quarterly Earnings Trading Blackouts </w:t>
      </w:r>
      <w:r>
        <w:rPr>
          <w:rFonts w:ascii="Times New Roman" w:cs="Times New Roman" w:eastAsia="Times New Roman" w:hAnsi="Times New Roman"/>
          <w:sz w:val="20"/>
          <w:szCs w:val="20"/>
          <w:color w:val="auto"/>
        </w:rPr>
        <w:t>– All members of the Board of Directors, officers, certain employees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insiders (See Exhibit A) in a position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598170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60" w:top="1328" w:right="679" w:bottom="1440" w:gutter="0" w:footer="0" w:header="0"/>
        </w:sectPr>
      </w:pPr>
    </w:p>
    <w:bookmarkStart w:id="106" w:name="page107"/>
    <w:bookmarkEnd w:id="106"/>
    <w:p>
      <w:pPr>
        <w:ind w:left="1060" w:right="300"/>
        <w:spacing w:after="0" w:line="233" w:lineRule="auto"/>
        <w:rPr>
          <w:sz w:val="20"/>
          <w:szCs w:val="20"/>
          <w:color w:val="auto"/>
        </w:rPr>
      </w:pPr>
      <w:r>
        <w:rPr>
          <w:rFonts w:ascii="Times New Roman" w:cs="Times New Roman" w:eastAsia="Times New Roman" w:hAnsi="Times New Roman"/>
          <w:sz w:val="20"/>
          <w:szCs w:val="20"/>
          <w:color w:val="auto"/>
        </w:rPr>
        <w:t>access to material non-public information will be subject to a stock trading blackout period beginning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last month of a fiscal quarter until the beginning of the second trading day following the date earnings for that quarter are disclosed both in the U.S. and Japan (and for disclosure in Japan, in accordance with the section “When Information is Public”).</w:t>
      </w:r>
    </w:p>
    <w:p>
      <w:pPr>
        <w:spacing w:after="0" w:line="198" w:lineRule="exact"/>
        <w:rPr>
          <w:sz w:val="20"/>
          <w:szCs w:val="20"/>
          <w:color w:val="auto"/>
        </w:rPr>
      </w:pPr>
    </w:p>
    <w:p>
      <w:pPr>
        <w:ind w:left="1060" w:right="140" w:hanging="359"/>
        <w:spacing w:after="0" w:line="268" w:lineRule="auto"/>
        <w:tabs>
          <w:tab w:leader="none" w:pos="10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After Earnings Announcements </w:t>
      </w:r>
      <w:r>
        <w:rPr>
          <w:rFonts w:ascii="Times New Roman" w:cs="Times New Roman" w:eastAsia="Times New Roman" w:hAnsi="Times New Roman"/>
          <w:sz w:val="19"/>
          <w:szCs w:val="19"/>
          <w:color w:val="auto"/>
        </w:rPr>
        <w:t>– If an earnings or earnings guidance announcement is made outside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regularly scheduled earnings trading blackout period, then all those listed in Exhibit A are restricted from engaging in trading transactions until the beginning of the second trading day following the date the announcement is made both in the U.S. and Japan (and for disclosure in Japan, in accordance with the section “When Information is Public”).</w:t>
      </w:r>
    </w:p>
    <w:p>
      <w:pPr>
        <w:spacing w:after="0" w:line="171" w:lineRule="exact"/>
        <w:rPr>
          <w:rFonts w:ascii="Times New Roman" w:cs="Times New Roman" w:eastAsia="Times New Roman" w:hAnsi="Times New Roman"/>
          <w:sz w:val="19"/>
          <w:szCs w:val="19"/>
          <w:color w:val="auto"/>
        </w:rPr>
      </w:pPr>
    </w:p>
    <w:p>
      <w:pPr>
        <w:ind w:left="1060" w:right="80" w:hanging="359"/>
        <w:spacing w:after="0" w:line="245"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 Blackout Periods </w:t>
      </w:r>
      <w:r>
        <w:rPr>
          <w:rFonts w:ascii="Times New Roman" w:cs="Times New Roman" w:eastAsia="Times New Roman" w:hAnsi="Times New Roman"/>
          <w:sz w:val="20"/>
          <w:szCs w:val="20"/>
          <w:color w:val="auto"/>
        </w:rPr>
        <w:t>– From time to time, the Company may also prohibit directors, officers, full- and part-time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agents (such as consultants and independent contractors)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a significant transaction or business development. Special blackout periods may be declared for any reason.</w:t>
      </w:r>
    </w:p>
    <w:p>
      <w:pPr>
        <w:spacing w:after="0" w:line="197"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20"/>
          <w:szCs w:val="20"/>
          <w:color w:val="auto"/>
        </w:rPr>
        <w:t>Of course, no trading should be done at any time that a member of the Board of Directors, officer or employee is actually aware of a major undisclosed corporate development. 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49" w:lineRule="exact"/>
        <w:rPr>
          <w:sz w:val="20"/>
          <w:szCs w:val="20"/>
          <w:color w:val="auto"/>
        </w:rPr>
      </w:pPr>
    </w:p>
    <w:p>
      <w:pPr>
        <w:ind w:left="1460" w:hanging="759"/>
        <w:spacing w:after="0"/>
        <w:tabs>
          <w:tab w:leader="none" w:pos="14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w:t>
      </w:r>
    </w:p>
    <w:p>
      <w:pPr>
        <w:spacing w:after="0" w:line="215"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98" w:lineRule="exact"/>
        <w:rPr>
          <w:sz w:val="20"/>
          <w:szCs w:val="20"/>
          <w:color w:val="auto"/>
        </w:rPr>
      </w:pPr>
    </w:p>
    <w:p>
      <w:pPr>
        <w:ind w:left="880" w:hanging="402"/>
        <w:spacing w:after="0"/>
        <w:tabs>
          <w:tab w:leader="none" w:pos="8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Transactions Pursuant to a Trading Plan that Complies with SEC Rules</w:t>
      </w:r>
    </w:p>
    <w:p>
      <w:pPr>
        <w:spacing w:after="0" w:line="229"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9"/>
          <w:szCs w:val="19"/>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w:t>
      </w:r>
    </w:p>
    <w:p>
      <w:pPr>
        <w:spacing w:after="0" w:line="4" w:lineRule="exact"/>
        <w:rPr>
          <w:sz w:val="20"/>
          <w:szCs w:val="20"/>
          <w:color w:val="auto"/>
        </w:rPr>
      </w:pPr>
    </w:p>
    <w:p>
      <w:pPr>
        <w:ind w:right="60" w:firstLine="9"/>
        <w:spacing w:after="0" w:line="246" w:lineRule="auto"/>
        <w:tabs>
          <w:tab w:leader="none" w:pos="3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any subsequent discretion for determining the amount, price and date of the transaction in another person who is not, at the time of the transaction, aware of material non-public information.</w:t>
      </w:r>
    </w:p>
    <w:p>
      <w:pPr>
        <w:spacing w:after="0" w:line="195" w:lineRule="exact"/>
        <w:rPr>
          <w:sz w:val="20"/>
          <w:szCs w:val="20"/>
          <w:color w:val="auto"/>
        </w:rPr>
      </w:pPr>
    </w:p>
    <w:p>
      <w:pPr>
        <w:jc w:val="both"/>
        <w:ind w:right="40" w:firstLine="469"/>
        <w:spacing w:after="0" w:line="254" w:lineRule="auto"/>
        <w:rPr>
          <w:sz w:val="20"/>
          <w:szCs w:val="20"/>
          <w:color w:val="auto"/>
        </w:rPr>
      </w:pPr>
      <w:r>
        <w:rPr>
          <w:rFonts w:ascii="Times New Roman" w:cs="Times New Roman" w:eastAsia="Times New Roman" w:hAnsi="Times New Roman"/>
          <w:sz w:val="20"/>
          <w:szCs w:val="20"/>
          <w:color w:val="auto"/>
        </w:rPr>
        <w:t xml:space="preserve">Transactions made pursuant to a written trading plan that (i) complies with the affirmative defense set forth in Rule 10b5-1, (ii) complies with the requirements set forth in Exhibit E hereto and (iii) is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are not subject to the restrictions in this Policy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601345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344" w:right="699" w:bottom="1440" w:gutter="0" w:footer="0" w:header="0"/>
        </w:sectPr>
      </w:pPr>
    </w:p>
    <w:bookmarkStart w:id="107" w:name="page108"/>
    <w:bookmarkEnd w:id="107"/>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trades made while aware of material non-public information or to the pre-clearance procedures or blackout periods established under this Policy. In approving a trading plan,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may, in furtherance of the objectives expressed in this Policy, impose criteria in addition to those set forth in Rule 10b5-1. You should therefore confer with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prior to entering into any trading plan.</w:t>
      </w:r>
    </w:p>
    <w:p>
      <w:pPr>
        <w:spacing w:after="0" w:line="193" w:lineRule="exact"/>
        <w:rPr>
          <w:sz w:val="20"/>
          <w:szCs w:val="20"/>
          <w:color w:val="auto"/>
        </w:rPr>
      </w:pPr>
    </w:p>
    <w:p>
      <w:pPr>
        <w:ind w:right="120" w:firstLine="469"/>
        <w:spacing w:after="0" w:line="249" w:lineRule="auto"/>
        <w:rPr>
          <w:sz w:val="20"/>
          <w:szCs w:val="20"/>
          <w:color w:val="auto"/>
        </w:rPr>
      </w:pPr>
      <w:r>
        <w:rPr>
          <w:rFonts w:ascii="Times New Roman" w:cs="Times New Roman" w:eastAsia="Times New Roman" w:hAnsi="Times New Roman"/>
          <w:sz w:val="20"/>
          <w:szCs w:val="20"/>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Company’s review and approval, you are ultimately responsible for compliance with Rule 10b5-1 and this Policy.</w:t>
      </w:r>
    </w:p>
    <w:p>
      <w:pPr>
        <w:spacing w:after="0" w:line="189" w:lineRule="exact"/>
        <w:rPr>
          <w:sz w:val="20"/>
          <w:szCs w:val="20"/>
          <w:color w:val="auto"/>
        </w:rPr>
      </w:pPr>
    </w:p>
    <w:p>
      <w:pPr>
        <w:ind w:right="40" w:firstLine="469"/>
        <w:spacing w:after="0" w:line="276"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COMPLIANCE OFFICER</w:t>
      </w:r>
      <w:r>
        <w:rPr>
          <w:rFonts w:ascii="Times New Roman" w:cs="Times New Roman" w:eastAsia="Times New Roman" w:hAnsi="Times New Roman"/>
          <w:sz w:val="19"/>
          <w:szCs w:val="19"/>
          <w:color w:val="auto"/>
        </w:rPr>
        <w:t xml:space="preserve">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pacing w:after="0" w:line="168" w:lineRule="exact"/>
        <w:rPr>
          <w:sz w:val="20"/>
          <w:szCs w:val="20"/>
          <w:color w:val="auto"/>
        </w:rPr>
      </w:pPr>
    </w:p>
    <w:p>
      <w:pPr>
        <w:ind w:left="880" w:hanging="402"/>
        <w:spacing w:after="0"/>
        <w:tabs>
          <w:tab w:leader="none" w:pos="8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 and Vesting of Stock Options, Restricted Stock Units, Restricted Stock and Stock Appreciation Rights</w:t>
      </w:r>
    </w:p>
    <w:p>
      <w:pPr>
        <w:spacing w:after="0" w:line="22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and any other market sale for the purpose of generating the cash needed to pay withholding taxes related to the settlement of restricted stock units or stock option exercises.</w:t>
      </w:r>
    </w:p>
    <w:p>
      <w:pPr>
        <w:spacing w:after="0" w:line="198" w:lineRule="exact"/>
        <w:rPr>
          <w:sz w:val="20"/>
          <w:szCs w:val="20"/>
          <w:color w:val="auto"/>
        </w:rPr>
      </w:pPr>
    </w:p>
    <w:p>
      <w:pPr>
        <w:ind w:left="880" w:hanging="402"/>
        <w:spacing w:after="0"/>
        <w:tabs>
          <w:tab w:leader="none" w:pos="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or Cashless Net Exercise of Stock Options</w:t>
      </w:r>
    </w:p>
    <w:p>
      <w:pPr>
        <w:spacing w:after="0" w:line="229" w:lineRule="exact"/>
        <w:rPr>
          <w:sz w:val="20"/>
          <w:szCs w:val="20"/>
          <w:color w:val="auto"/>
        </w:rPr>
      </w:pPr>
    </w:p>
    <w:p>
      <w:pPr>
        <w:ind w:right="100" w:firstLine="469"/>
        <w:spacing w:after="0" w:line="259" w:lineRule="auto"/>
        <w:rPr>
          <w:sz w:val="20"/>
          <w:szCs w:val="20"/>
          <w:color w:val="auto"/>
        </w:rPr>
      </w:pPr>
      <w:r>
        <w:rPr>
          <w:rFonts w:ascii="Times New Roman" w:cs="Times New Roman" w:eastAsia="Times New Roman" w:hAnsi="Times New Roman"/>
          <w:sz w:val="19"/>
          <w:szCs w:val="19"/>
          <w:color w:val="auto"/>
        </w:rPr>
        <w:t>The trading restrictions under this Policy do not apply to the exercise of stock options for cash under the Company’s stock option plans. Likewise, the trading restrictions under this Policy do not apply to the exercise of stock options in a stock for 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86" w:lineRule="exact"/>
        <w:rPr>
          <w:sz w:val="20"/>
          <w:szCs w:val="20"/>
          <w:color w:val="auto"/>
        </w:rPr>
      </w:pPr>
    </w:p>
    <w:p>
      <w:pPr>
        <w:ind w:left="880" w:hanging="402"/>
        <w:spacing w:after="0"/>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Splits, Stock Dividends and Similar Transactions</w:t>
      </w:r>
    </w:p>
    <w:p>
      <w:pPr>
        <w:spacing w:after="0" w:line="229" w:lineRule="exact"/>
        <w:rPr>
          <w:sz w:val="20"/>
          <w:szCs w:val="20"/>
          <w:color w:val="auto"/>
        </w:rPr>
      </w:pPr>
    </w:p>
    <w:p>
      <w:pPr>
        <w:ind w:right="80" w:firstLine="469"/>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73" w:lineRule="exact"/>
        <w:rPr>
          <w:sz w:val="20"/>
          <w:szCs w:val="20"/>
          <w:color w:val="auto"/>
        </w:rPr>
      </w:pPr>
    </w:p>
    <w:p>
      <w:pPr>
        <w:ind w:left="880" w:hanging="402"/>
        <w:spacing w:after="0"/>
        <w:tabs>
          <w:tab w:leader="none" w:pos="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Bona Fide Gifts and Inheritance</w:t>
      </w:r>
    </w:p>
    <w:p>
      <w:pPr>
        <w:spacing w:after="0" w:line="229" w:lineRule="exact"/>
        <w:rPr>
          <w:sz w:val="20"/>
          <w:szCs w:val="20"/>
          <w:color w:val="auto"/>
        </w:rPr>
      </w:pPr>
    </w:p>
    <w:p>
      <w:pPr>
        <w:ind w:right="40" w:firstLine="469"/>
        <w:spacing w:after="0" w:line="24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bona fide gifts involving the Company’s securities or transfers by will or the laws of descent and distribution. However, (i) if you have reason to believe that the recipient intends to sell the Company’s securities while you are aware of material nonpublic information or, (ii) if (A) you are subject to the trading restrictions specified above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612775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00" w:top="1332" w:right="699" w:bottom="1440" w:gutter="0" w:footer="0" w:header="0"/>
        </w:sectPr>
      </w:pPr>
    </w:p>
    <w:bookmarkStart w:id="108" w:name="page109"/>
    <w:bookmarkEnd w:id="108"/>
    <w:p>
      <w:pPr>
        <w:ind w:right="500"/>
        <w:spacing w:after="0" w:line="254" w:lineRule="auto"/>
        <w:rPr>
          <w:sz w:val="20"/>
          <w:szCs w:val="20"/>
          <w:color w:val="auto"/>
        </w:rPr>
      </w:pPr>
      <w:r>
        <w:rPr>
          <w:rFonts w:ascii="Times New Roman" w:cs="Times New Roman" w:eastAsia="Times New Roman" w:hAnsi="Times New Roman"/>
          <w:sz w:val="20"/>
          <w:szCs w:val="20"/>
          <w:color w:val="auto"/>
        </w:rPr>
        <w:t>heading “Trading Blackout Periods,” and (B) you have reason to believe that the recipient intends to sell the Company securities during a blackout period, then the trading restrictions apply. In other words, you cannot use a gift to conduct a transaction that otherwise would be prohibited under this Policy.</w:t>
      </w:r>
    </w:p>
    <w:p>
      <w:pPr>
        <w:spacing w:after="0" w:line="188" w:lineRule="exact"/>
        <w:rPr>
          <w:sz w:val="20"/>
          <w:szCs w:val="20"/>
          <w:color w:val="auto"/>
        </w:rPr>
      </w:pPr>
    </w:p>
    <w:p>
      <w:pPr>
        <w:ind w:right="220" w:firstLine="469"/>
        <w:spacing w:after="0" w:line="269" w:lineRule="auto"/>
        <w:rPr>
          <w:sz w:val="20"/>
          <w:szCs w:val="20"/>
          <w:color w:val="auto"/>
        </w:rPr>
      </w:pPr>
      <w:r>
        <w:rPr>
          <w:rFonts w:ascii="Times New Roman" w:cs="Times New Roman" w:eastAsia="Times New Roman" w:hAnsi="Times New Roman"/>
          <w:sz w:val="20"/>
          <w:szCs w:val="20"/>
          <w:color w:val="auto"/>
        </w:rPr>
        <w:t>In addition, the trading restrictions under this Policy apply to any gifted or inherited securities if the recipient, for example, an immediate family member, is subject to this Policy.</w:t>
      </w:r>
    </w:p>
    <w:p>
      <w:pPr>
        <w:spacing w:after="0" w:line="173" w:lineRule="exact"/>
        <w:rPr>
          <w:sz w:val="20"/>
          <w:szCs w:val="20"/>
          <w:color w:val="auto"/>
        </w:rPr>
      </w:pPr>
    </w:p>
    <w:p>
      <w:pPr>
        <w:ind w:left="880" w:hanging="402"/>
        <w:spacing w:after="0"/>
        <w:tabs>
          <w:tab w:leader="none" w:pos="8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Form of Ownership</w:t>
      </w:r>
    </w:p>
    <w:p>
      <w:pPr>
        <w:spacing w:after="0" w:line="229" w:lineRule="exact"/>
        <w:rPr>
          <w:sz w:val="20"/>
          <w:szCs w:val="20"/>
          <w:color w:val="auto"/>
        </w:rPr>
      </w:pPr>
    </w:p>
    <w:p>
      <w:pPr>
        <w:ind w:right="420" w:firstLine="469"/>
        <w:spacing w:after="0" w:line="254" w:lineRule="auto"/>
        <w:rPr>
          <w:sz w:val="20"/>
          <w:szCs w:val="20"/>
          <w:color w:val="auto"/>
        </w:rPr>
      </w:pPr>
      <w:r>
        <w:rPr>
          <w:rFonts w:ascii="Times New Roman" w:cs="Times New Roman" w:eastAsia="Times New Roman" w:hAnsi="Times New Roman"/>
          <w:sz w:val="20"/>
          <w:szCs w:val="20"/>
          <w:color w:val="auto"/>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88" w:lineRule="exact"/>
        <w:rPr>
          <w:sz w:val="20"/>
          <w:szCs w:val="20"/>
          <w:color w:val="auto"/>
        </w:rPr>
      </w:pPr>
    </w:p>
    <w:p>
      <w:pPr>
        <w:ind w:left="880" w:hanging="402"/>
        <w:spacing w:after="0"/>
        <w:tabs>
          <w:tab w:leader="none" w:pos="8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Exceptions</w:t>
      </w:r>
    </w:p>
    <w:p>
      <w:pPr>
        <w:spacing w:after="0" w:line="225" w:lineRule="exact"/>
        <w:rPr>
          <w:sz w:val="20"/>
          <w:szCs w:val="20"/>
          <w:color w:val="auto"/>
        </w:rPr>
      </w:pPr>
    </w:p>
    <w:p>
      <w:pPr>
        <w:ind w:right="200" w:firstLine="469"/>
        <w:spacing w:after="0" w:line="273" w:lineRule="auto"/>
        <w:rPr>
          <w:sz w:val="20"/>
          <w:szCs w:val="20"/>
          <w:color w:val="auto"/>
        </w:rPr>
      </w:pPr>
      <w:r>
        <w:rPr>
          <w:rFonts w:ascii="Times New Roman" w:cs="Times New Roman" w:eastAsia="Times New Roman" w:hAnsi="Times New Roman"/>
          <w:sz w:val="20"/>
          <w:szCs w:val="20"/>
          <w:color w:val="auto"/>
        </w:rPr>
        <w:t xml:space="preserve">Any other exception from this Policy must be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in consultation with the Board of Directors or an independent committee of the Board of Directors.</w:t>
      </w:r>
    </w:p>
    <w:p>
      <w:pPr>
        <w:spacing w:after="0" w:line="120" w:lineRule="exact"/>
        <w:rPr>
          <w:sz w:val="20"/>
          <w:szCs w:val="20"/>
          <w:color w:val="auto"/>
        </w:rPr>
      </w:pPr>
    </w:p>
    <w:p>
      <w:pPr>
        <w:ind w:left="1460" w:hanging="759"/>
        <w:spacing w:after="0"/>
        <w:tabs>
          <w:tab w:leader="none" w:pos="14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15" w:lineRule="exact"/>
        <w:rPr>
          <w:sz w:val="20"/>
          <w:szCs w:val="20"/>
          <w:color w:val="auto"/>
        </w:rPr>
      </w:pPr>
    </w:p>
    <w:p>
      <w:pPr>
        <w:ind w:right="260" w:firstLine="469"/>
        <w:spacing w:after="0" w:line="266" w:lineRule="auto"/>
        <w:rPr>
          <w:sz w:val="20"/>
          <w:szCs w:val="20"/>
          <w:color w:val="auto"/>
        </w:rPr>
      </w:pPr>
      <w:r>
        <w:rPr>
          <w:rFonts w:ascii="Times New Roman" w:cs="Times New Roman" w:eastAsia="Times New Roman" w:hAnsi="Times New Roman"/>
          <w:sz w:val="19"/>
          <w:szCs w:val="19"/>
          <w:color w:val="auto"/>
        </w:rPr>
        <w:t>The Company believes it is improper and inappropriate for any Company personnel to engage in short-term or speculative transactions involving Company stock. We believe that this trading can reflect badly on the Company and that Company personnel should not engage in any types of transactions that are a form of short-term “betting” for or against the Company. Accordingly, it is the Company’s policy that you should not engage in any of the following activities with respect to securities of the Company:</w:t>
      </w:r>
    </w:p>
    <w:p>
      <w:pPr>
        <w:spacing w:after="0" w:line="175" w:lineRule="exact"/>
        <w:rPr>
          <w:sz w:val="20"/>
          <w:szCs w:val="20"/>
          <w:color w:val="auto"/>
        </w:rPr>
      </w:pPr>
    </w:p>
    <w:p>
      <w:pPr>
        <w:ind w:left="1060" w:right="20" w:hanging="359"/>
        <w:spacing w:after="0" w:line="261" w:lineRule="auto"/>
        <w:tabs>
          <w:tab w:leader="none" w:pos="10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in securities on a short-term basis </w:t>
      </w:r>
      <w:r>
        <w:rPr>
          <w:rFonts w:ascii="Times New Roman" w:cs="Times New Roman" w:eastAsia="Times New Roman" w:hAnsi="Times New Roman"/>
          <w:sz w:val="19"/>
          <w:szCs w:val="19"/>
          <w:color w:val="auto"/>
        </w:rPr>
        <w:t>— As a general rule, any Company stock purchased in the open market (i.e.,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not including stock purchased upon exercise of an employee stock option or an employee stock purchase plan) should be held for a minimum of six months and ideally longer. The top executives and members of the Board of Directors of the Company are already subject to the SEC’s “short-swing” profit rule, which penalizes sales and purchases inside of any six-month period. If you wish to sell Company stock that was purchased in the open market and that has been owned less than six months, you must obtain prior written approval from the </w:t>
      </w:r>
      <w:r>
        <w:rPr>
          <w:rFonts w:ascii="Times New Roman" w:cs="Times New Roman" w:eastAsia="Times New Roman" w:hAnsi="Times New Roman"/>
          <w:sz w:val="19"/>
          <w:szCs w:val="19"/>
          <w:b w:val="1"/>
          <w:bCs w:val="1"/>
          <w:color w:val="auto"/>
        </w:rPr>
        <w:t>COMPLIANCE OFFICER.</w:t>
      </w:r>
    </w:p>
    <w:p>
      <w:pPr>
        <w:sectPr>
          <w:pgSz w:w="11900" w:h="16838" w:orient="portrait"/>
          <w:cols w:equalWidth="0" w:num="1">
            <w:col w:w="10680"/>
          </w:cols>
          <w:pgMar w:left="600" w:top="1332" w:right="619" w:bottom="1440" w:gutter="0" w:footer="0" w:header="0"/>
        </w:sectPr>
      </w:pPr>
    </w:p>
    <w:p>
      <w:pPr>
        <w:spacing w:after="0" w:line="181" w:lineRule="exact"/>
        <w:rPr>
          <w:sz w:val="20"/>
          <w:szCs w:val="20"/>
          <w:color w:val="auto"/>
        </w:rPr>
      </w:pPr>
    </w:p>
    <w:p>
      <w:pPr>
        <w:jc w:val="both"/>
        <w:ind w:left="1060" w:hanging="359"/>
        <w:spacing w:after="0" w:line="256" w:lineRule="auto"/>
        <w:tabs>
          <w:tab w:leader="none" w:pos="10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Purchases of Company stock on margin </w:t>
      </w:r>
      <w:r>
        <w:rPr>
          <w:rFonts w:ascii="Times New Roman" w:cs="Times New Roman" w:eastAsia="Times New Roman" w:hAnsi="Times New Roman"/>
          <w:sz w:val="20"/>
          <w:szCs w:val="20"/>
          <w:color w:val="auto"/>
        </w:rPr>
        <w:t>order to buy Company stock (other than Company’s stock plans).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hanging="91"/>
        <w:spacing w:after="0" w:line="269" w:lineRule="auto"/>
        <w:rPr>
          <w:sz w:val="20"/>
          <w:szCs w:val="20"/>
          <w:color w:val="auto"/>
        </w:rPr>
      </w:pPr>
      <w:r>
        <w:rPr>
          <w:rFonts w:ascii="Times New Roman" w:cs="Times New Roman" w:eastAsia="Times New Roman" w:hAnsi="Times New Roman"/>
          <w:sz w:val="20"/>
          <w:szCs w:val="20"/>
          <w:color w:val="auto"/>
        </w:rPr>
        <w:t>— This involves borrowing from a brokerage firm, bank or other entity in in connection with a so-called “cashless” exercise of options under the</w:t>
      </w:r>
    </w:p>
    <w:p>
      <w:pPr>
        <w:spacing w:after="0" w:line="398" w:lineRule="exact"/>
        <w:rPr>
          <w:sz w:val="20"/>
          <w:szCs w:val="20"/>
          <w:color w:val="auto"/>
        </w:rPr>
      </w:pPr>
    </w:p>
    <w:p>
      <w:pPr>
        <w:sectPr>
          <w:pgSz w:w="11900" w:h="16838" w:orient="portrait"/>
          <w:cols w:equalWidth="0" w:num="2">
            <w:col w:w="4520" w:space="100"/>
            <w:col w:w="6060"/>
          </w:cols>
          <w:pgMar w:left="600" w:top="1332" w:right="619" w:bottom="1440" w:gutter="0" w:footer="0" w:header="0"/>
          <w:type w:val="continuous"/>
        </w:sectPr>
      </w:pPr>
    </w:p>
    <w:p>
      <w:pPr>
        <w:ind w:left="1060" w:right="260" w:hanging="359"/>
        <w:spacing w:after="0" w:line="273" w:lineRule="auto"/>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Short sales of Company stock </w:t>
      </w:r>
      <w:r>
        <w:rPr>
          <w:rFonts w:ascii="Times New Roman" w:cs="Times New Roman" w:eastAsia="Times New Roman" w:hAnsi="Times New Roman"/>
          <w:sz w:val="20"/>
          <w:szCs w:val="20"/>
          <w:color w:val="auto"/>
        </w:rPr>
        <w:t>— This involves selling Company stock that you do not own in the expectation that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of the stock will fall, or as part of an arbitrage transaction.</w:t>
      </w:r>
    </w:p>
    <w:p>
      <w:pPr>
        <w:spacing w:after="0" w:line="165" w:lineRule="exact"/>
        <w:rPr>
          <w:rFonts w:ascii="Times New Roman" w:cs="Times New Roman" w:eastAsia="Times New Roman" w:hAnsi="Times New Roman"/>
          <w:sz w:val="20"/>
          <w:szCs w:val="20"/>
          <w:color w:val="auto"/>
        </w:rPr>
      </w:pPr>
    </w:p>
    <w:p>
      <w:pPr>
        <w:ind w:left="1060" w:hanging="359"/>
        <w:spacing w:after="0" w:line="273" w:lineRule="auto"/>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Buying or selling puts or calls on Company stock </w:t>
      </w:r>
      <w:r>
        <w:rPr>
          <w:rFonts w:ascii="Times New Roman" w:cs="Times New Roman" w:eastAsia="Times New Roman" w:hAnsi="Times New Roman"/>
          <w:sz w:val="20"/>
          <w:szCs w:val="20"/>
          <w:color w:val="auto"/>
        </w:rPr>
        <w:t>— This includes options trading on any of the stock exchanges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futures exchanges.</w:t>
      </w:r>
    </w:p>
    <w:p>
      <w:pPr>
        <w:spacing w:after="0" w:line="336" w:lineRule="exact"/>
        <w:rPr>
          <w:sz w:val="20"/>
          <w:szCs w:val="20"/>
          <w:color w:val="auto"/>
        </w:rPr>
      </w:pPr>
    </w:p>
    <w:p>
      <w:pPr>
        <w:ind w:left="1460" w:hanging="759"/>
        <w:spacing w:after="0"/>
        <w:tabs>
          <w:tab w:leader="none" w:pos="14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Communications with the Media.</w:t>
      </w:r>
    </w:p>
    <w:p>
      <w:pPr>
        <w:spacing w:after="0" w:line="215" w:lineRule="exact"/>
        <w:rPr>
          <w:sz w:val="20"/>
          <w:szCs w:val="20"/>
          <w:color w:val="auto"/>
        </w:rPr>
      </w:pPr>
    </w:p>
    <w:p>
      <w:pPr>
        <w:ind w:right="240" w:firstLine="469"/>
        <w:spacing w:after="0" w:line="254" w:lineRule="auto"/>
        <w:rPr>
          <w:sz w:val="20"/>
          <w:szCs w:val="20"/>
          <w:color w:val="auto"/>
        </w:rPr>
      </w:pPr>
      <w:r>
        <w:rPr>
          <w:rFonts w:ascii="Times New Roman" w:cs="Times New Roman" w:eastAsia="Times New Roman" w:hAnsi="Times New Roman"/>
          <w:sz w:val="20"/>
          <w:szCs w:val="20"/>
          <w:color w:val="auto"/>
        </w:rPr>
        <w:t>Unauthorized disclosure of internal information relating to the Company (including information regarding new products, the Company’s suppliers or customers) could cause competitive harm to the Company and in some cases could result in liability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738505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32" w:right="619" w:bottom="1440" w:gutter="0" w:footer="0" w:header="0"/>
          <w:type w:val="continuous"/>
        </w:sectPr>
      </w:pPr>
    </w:p>
    <w:bookmarkStart w:id="109" w:name="page110"/>
    <w:bookmarkEnd w:id="109"/>
    <w:p>
      <w:pPr>
        <w:ind w:right="8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Unauthorized disclosure</w:t>
      </w:r>
      <w:r>
        <w:rPr>
          <w:rFonts w:ascii="Times New Roman" w:cs="Times New Roman" w:eastAsia="Times New Roman" w:hAnsi="Times New Roman"/>
          <w:sz w:val="20"/>
          <w:szCs w:val="20"/>
          <w:color w:val="auto"/>
        </w:rPr>
        <w:t>. You should not disclose internal information about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anyone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required in the performance of regular duties for the Company. In this regard, you are prohibited from posting internal information about the Company on the internet (bulletin board, blog chat room, etc.).</w:t>
      </w:r>
    </w:p>
    <w:p>
      <w:pPr>
        <w:spacing w:after="0" w:line="182"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Communications with the media, securities analysts and investors</w:t>
      </w:r>
      <w:r>
        <w:rPr>
          <w:rFonts w:ascii="Times New Roman" w:cs="Times New Roman" w:eastAsia="Times New Roman" w:hAnsi="Times New Roman"/>
          <w:sz w:val="20"/>
          <w:szCs w:val="20"/>
          <w:color w:val="auto"/>
        </w:rPr>
        <w:t>. Communications on behalf of the Company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media, securities analysts and investors must be made only by specifically designated representatives of the Company. Unless you have been expressly authorized to make such communications, if you receive any inquiry relating to the Company from the media, a securities analyst or an investor, you should refer the inquiry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58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Safeguarding confidential information. </w:t>
      </w:r>
      <w:r>
        <w:rPr>
          <w:rFonts w:ascii="Times New Roman" w:cs="Times New Roman" w:eastAsia="Times New Roman" w:hAnsi="Times New Roman"/>
          <w:sz w:val="20"/>
          <w:szCs w:val="20"/>
          <w:color w:val="auto"/>
        </w:rPr>
        <w:t>Care must be taken to safeguard the confidentiality of internal information.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example, sensitive documents should not be left lying on desks, and visitors should not be left unattended in offices containing internal company documents.</w:t>
      </w:r>
    </w:p>
    <w:p>
      <w:pPr>
        <w:spacing w:after="0" w:line="182"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Rumors</w:t>
      </w:r>
      <w:r>
        <w:rPr>
          <w:rFonts w:ascii="Times New Roman" w:cs="Times New Roman" w:eastAsia="Times New Roman" w:hAnsi="Times New Roman"/>
          <w:sz w:val="20"/>
          <w:szCs w:val="20"/>
          <w:color w:val="auto"/>
        </w:rPr>
        <w:t>. Rumors concerning the business and affairs of the Company may circulate from time to time. Our general policy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comment upon rumors. You should also refrain from commenting upon or responding to rumors and should refer any requests for comments or responses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608330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00" w:top="1328" w:right="639" w:bottom="1440" w:gutter="0" w:footer="0" w:header="0"/>
        </w:sectPr>
      </w:pPr>
    </w:p>
    <w:bookmarkStart w:id="110" w:name="page111"/>
    <w:bookmarkEnd w:id="110"/>
    <w:p>
      <w:pPr>
        <w:spacing w:after="0" w:line="73" w:lineRule="exact"/>
        <w:rPr>
          <w:sz w:val="20"/>
          <w:szCs w:val="20"/>
          <w:color w:val="auto"/>
        </w:rPr>
      </w:pPr>
    </w:p>
    <w:p>
      <w:pPr>
        <w:ind w:left="1700" w:hanging="759"/>
        <w:spacing w:after="0"/>
        <w:tabs>
          <w:tab w:leader="none" w:pos="17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Assistance.</w:t>
      </w:r>
    </w:p>
    <w:p>
      <w:pPr>
        <w:spacing w:after="0" w:line="215" w:lineRule="exact"/>
        <w:rPr>
          <w:sz w:val="20"/>
          <w:szCs w:val="20"/>
          <w:color w:val="auto"/>
        </w:rPr>
      </w:pPr>
    </w:p>
    <w:p>
      <w:pPr>
        <w:ind w:left="240"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As previously stated, any person who has any questions about specific transactions may obtain additional guidance from the </w:t>
      </w:r>
      <w:r>
        <w:rPr>
          <w:rFonts w:ascii="Times New Roman" w:cs="Times New Roman" w:eastAsia="Times New Roman" w:hAnsi="Times New Roman"/>
          <w:sz w:val="20"/>
          <w:szCs w:val="20"/>
          <w:b w:val="1"/>
          <w:bCs w:val="1"/>
          <w:color w:val="auto"/>
        </w:rPr>
        <w:t>COMPLIANCE OFFICER.</w:t>
      </w:r>
    </w:p>
    <w:p>
      <w:pPr>
        <w:spacing w:after="0" w:line="173" w:lineRule="exact"/>
        <w:rPr>
          <w:sz w:val="20"/>
          <w:szCs w:val="20"/>
          <w:color w:val="auto"/>
        </w:rPr>
      </w:pPr>
    </w:p>
    <w:p>
      <w:pPr>
        <w:ind w:left="240" w:right="300" w:firstLine="469"/>
        <w:spacing w:after="0" w:line="269" w:lineRule="auto"/>
        <w:rPr>
          <w:sz w:val="20"/>
          <w:szCs w:val="20"/>
          <w:color w:val="auto"/>
        </w:rPr>
      </w:pPr>
      <w:r>
        <w:rPr>
          <w:rFonts w:ascii="Times New Roman" w:cs="Times New Roman" w:eastAsia="Times New Roman" w:hAnsi="Times New Roman"/>
          <w:sz w:val="20"/>
          <w:szCs w:val="20"/>
          <w:color w:val="auto"/>
        </w:rPr>
        <w:t>Remember however that the ultimate responsibility for adhering to this Policy and avoiding improper transactions rests with you. In this regard, it is imperative that you use your best judgment.</w:t>
      </w:r>
    </w:p>
    <w:p>
      <w:pPr>
        <w:spacing w:after="0" w:line="340" w:lineRule="exact"/>
        <w:rPr>
          <w:sz w:val="20"/>
          <w:szCs w:val="20"/>
          <w:color w:val="auto"/>
        </w:rPr>
      </w:pPr>
    </w:p>
    <w:p>
      <w:pPr>
        <w:ind w:left="1700" w:hanging="759"/>
        <w:spacing w:after="0"/>
        <w:tabs>
          <w:tab w:leader="none" w:pos="17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15" w:lineRule="exact"/>
        <w:rPr>
          <w:sz w:val="20"/>
          <w:szCs w:val="20"/>
          <w:color w:val="auto"/>
        </w:rPr>
      </w:pPr>
    </w:p>
    <w:p>
      <w:pPr>
        <w:ind w:left="240" w:firstLine="281"/>
        <w:spacing w:after="0" w:line="249" w:lineRule="auto"/>
        <w:rPr>
          <w:sz w:val="20"/>
          <w:szCs w:val="20"/>
          <w:color w:val="auto"/>
        </w:rPr>
      </w:pPr>
      <w:r>
        <w:rPr>
          <w:rFonts w:ascii="Times New Roman" w:cs="Times New Roman" w:eastAsia="Times New Roman" w:hAnsi="Times New Roman"/>
          <w:sz w:val="20"/>
          <w:szCs w:val="20"/>
          <w:color w:val="auto"/>
        </w:rPr>
        <w:t>The Company is committed to continuously reviewing and updating this Policy and any other Company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130" w:lineRule="exact"/>
        <w:rPr>
          <w:sz w:val="20"/>
          <w:szCs w:val="20"/>
          <w:color w:val="auto"/>
        </w:rPr>
      </w:pPr>
    </w:p>
    <w:p>
      <w:pPr>
        <w:ind w:left="1700" w:hanging="759"/>
        <w:spacing w:after="0"/>
        <w:tabs>
          <w:tab w:leader="none" w:pos="170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Acknowledgements.</w:t>
      </w:r>
    </w:p>
    <w:p>
      <w:pPr>
        <w:spacing w:after="0" w:line="215" w:lineRule="exact"/>
        <w:rPr>
          <w:sz w:val="20"/>
          <w:szCs w:val="20"/>
          <w:color w:val="auto"/>
        </w:rPr>
      </w:pPr>
    </w:p>
    <w:p>
      <w:pPr>
        <w:ind w:left="240" w:right="40" w:firstLine="469"/>
        <w:spacing w:after="0" w:line="245" w:lineRule="auto"/>
        <w:rPr>
          <w:sz w:val="20"/>
          <w:szCs w:val="20"/>
          <w:color w:val="auto"/>
        </w:rPr>
      </w:pPr>
      <w:r>
        <w:rPr>
          <w:rFonts w:ascii="Times New Roman" w:cs="Times New Roman" w:eastAsia="Times New Roman" w:hAnsi="Times New Roman"/>
          <w:sz w:val="20"/>
          <w:szCs w:val="20"/>
          <w:color w:val="auto"/>
        </w:rPr>
        <w:t>All employees and members of the Board of Directors will be required to acknowledge their understanding of, and an intent to comply with, this Statement of Company Policy by signing the attached acknowledgement. In addition, this Statement of Company Policy will be given to each person designated as an insider by the Company and the Company will request that the designated consultant, advisor or contractor to the Company acknowledge their understanding of, and an intent to comply with, this Statement of Company Policy by signing the attached acknowledgement.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DOCPROPERTY"SWDocID" GDSVF&amp;H\10028406.4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507365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1440" w:right="6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Designated Insiders Subject to Blackout Periods, last updated</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ind w:left="380" w:hanging="369"/>
        <w:spacing w:after="0"/>
        <w:tabs>
          <w:tab w:leader="none" w:pos="3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Signature Analytics, San Diego LLC</w:t>
      </w:r>
    </w:p>
    <w:p>
      <w:pPr>
        <w:ind w:left="380" w:hanging="369"/>
        <w:spacing w:after="0"/>
        <w:tabs>
          <w:tab w:leader="none" w:pos="3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Anderson Mori &amp; Tomotsune</w:t>
      </w:r>
    </w:p>
    <w:p>
      <w:pPr>
        <w:ind w:left="380" w:hanging="369"/>
        <w:spacing w:after="0"/>
        <w:tabs>
          <w:tab w:leader="none" w:pos="3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Gunderson Dettmer Stough 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All Designated Insiders Subject to Pre-Approval Procedures</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13" w:name="page114"/>
    <w:bookmarkEnd w:id="113"/>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1"/>
          <w:szCs w:val="21"/>
          <w:b w:val="1"/>
          <w:bCs w:val="1"/>
          <w:color w:val="auto"/>
        </w:rPr>
        <w:t>Individuals Subject to Section 16 Reporting and Liability Provisions</w:t>
      </w:r>
    </w:p>
    <w:p>
      <w:pPr>
        <w:spacing w:after="0" w:line="200" w:lineRule="exact"/>
        <w:rPr>
          <w:sz w:val="20"/>
          <w:szCs w:val="20"/>
          <w:color w:val="auto"/>
        </w:rPr>
      </w:pPr>
    </w:p>
    <w:p>
      <w:pPr>
        <w:spacing w:after="0" w:line="261" w:lineRule="exact"/>
        <w:rPr>
          <w:sz w:val="20"/>
          <w:szCs w:val="20"/>
          <w:color w:val="auto"/>
        </w:rPr>
      </w:pPr>
    </w:p>
    <w:p>
      <w:pPr>
        <w:ind w:left="372"/>
        <w:spacing w:after="0"/>
        <w:tabs>
          <w:tab w:leader="none" w:pos="732"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Directors</w:t>
      </w:r>
    </w:p>
    <w:p>
      <w:pPr>
        <w:spacing w:after="0" w:line="170" w:lineRule="exact"/>
        <w:rPr>
          <w:sz w:val="20"/>
          <w:szCs w:val="20"/>
          <w:color w:val="auto"/>
        </w:rPr>
      </w:pPr>
    </w:p>
    <w:p>
      <w:pPr>
        <w:ind w:left="972"/>
        <w:spacing w:after="0"/>
        <w:tabs>
          <w:tab w:leader="none" w:pos="5552"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19685</wp:posOffset>
            </wp:positionV>
            <wp:extent cx="6489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2" w:hanging="432"/>
        <w:spacing w:after="0"/>
        <w:tabs>
          <w:tab w:leader="none" w:pos="432"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Officers (including officers who are also directors)</w:t>
      </w:r>
    </w:p>
    <w:p>
      <w:pPr>
        <w:spacing w:after="0" w:line="170" w:lineRule="exact"/>
        <w:rPr>
          <w:sz w:val="20"/>
          <w:szCs w:val="20"/>
          <w:color w:val="auto"/>
        </w:rPr>
      </w:pPr>
    </w:p>
    <w:p>
      <w:pPr>
        <w:ind w:left="972"/>
        <w:spacing w:after="0"/>
        <w:tabs>
          <w:tab w:leader="none" w:pos="5592"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19685</wp:posOffset>
            </wp:positionV>
            <wp:extent cx="64890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2158365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391" w:right="1440" w:bottom="1440" w:gutter="0" w:footer="0" w:header="0"/>
        </w:sectPr>
      </w:pPr>
    </w:p>
    <w:bookmarkStart w:id="114" w:name="page115"/>
    <w:bookmarkEnd w:id="114"/>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Material Facts Concerning Businesses of Listed Companies, Etc. per FIEL</w:t>
      </w:r>
    </w:p>
    <w:p>
      <w:pPr>
        <w:spacing w:after="0" w:line="310" w:lineRule="exact"/>
        <w:rPr>
          <w:sz w:val="20"/>
          <w:szCs w:val="20"/>
          <w:color w:val="auto"/>
        </w:rPr>
      </w:pPr>
    </w:p>
    <w:p>
      <w:pPr>
        <w:ind w:left="980" w:hanging="748"/>
        <w:spacing w:after="0"/>
        <w:tabs>
          <w:tab w:leader="none" w:pos="9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158115</wp:posOffset>
            </wp:positionV>
            <wp:extent cx="6920230" cy="5737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6920230" cy="5737225"/>
                    </a:xfrm>
                    <a:prstGeom prst="rect">
                      <a:avLst/>
                    </a:prstGeom>
                    <a:noFill/>
                  </pic:spPr>
                </pic:pic>
              </a:graphicData>
            </a:graphic>
          </wp:anchor>
        </w:drawing>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59"/>
        </w:trPr>
        <w:tc>
          <w:tcPr>
            <w:tcW w:w="594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20"/>
                <w:szCs w:val="20"/>
                <w:color w:val="auto"/>
              </w:rPr>
              <w:t>Listed Companies</w:t>
            </w:r>
          </w:p>
        </w:tc>
        <w:tc>
          <w:tcPr>
            <w:tcW w:w="49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ind w:left="220" w:right="5620" w:hanging="6"/>
        <w:spacing w:after="0" w:line="246" w:lineRule="auto"/>
        <w:tabs>
          <w:tab w:leader="none" w:pos="61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shares (including preferred shares), equity warrants and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20" w:type="dxa"/>
            <w:vAlign w:val="bottom"/>
          </w:tcPr>
          <w:p>
            <w:pPr>
              <w:spacing w:after="0"/>
              <w:rPr>
                <w:sz w:val="23"/>
                <w:szCs w:val="23"/>
                <w:color w:val="auto"/>
              </w:rPr>
            </w:pPr>
          </w:p>
        </w:tc>
        <w:tc>
          <w:tcPr>
            <w:tcW w:w="4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5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Reduction of capital</w:t>
            </w:r>
          </w:p>
        </w:tc>
        <w:tc>
          <w:tcPr>
            <w:tcW w:w="440" w:type="dxa"/>
            <w:vAlign w:val="bottom"/>
            <w:tcBorders>
              <w:top w:val="single" w:sz="8" w:color="auto"/>
            </w:tcBorders>
          </w:tcPr>
          <w:p>
            <w:pPr>
              <w:spacing w:after="0"/>
              <w:rPr>
                <w:sz w:val="23"/>
                <w:szCs w:val="23"/>
                <w:color w:val="auto"/>
              </w:rPr>
            </w:pPr>
          </w:p>
        </w:tc>
        <w:tc>
          <w:tcPr>
            <w:tcW w:w="47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Reduction of capital reserve or profit reserve</w:t>
            </w:r>
          </w:p>
        </w:tc>
        <w:tc>
          <w:tcPr>
            <w:tcW w:w="4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Purchase of treasury stock</w:t>
            </w:r>
          </w:p>
        </w:tc>
        <w:tc>
          <w:tcPr>
            <w:tcW w:w="4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Disposal of treasury stock</w:t>
            </w:r>
          </w:p>
        </w:tc>
        <w:tc>
          <w:tcPr>
            <w:tcW w:w="4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Stock split</w:t>
            </w:r>
          </w:p>
        </w:tc>
        <w:tc>
          <w:tcPr>
            <w:tcW w:w="4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Increase or decrease in dividends (including interim dividends)</w:t>
            </w:r>
          </w:p>
        </w:tc>
        <w:tc>
          <w:tcPr>
            <w:tcW w:w="4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03"/>
        </w:trPr>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Exchange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Exchange of stocks</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Transfer of stocks</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Merger</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Merger</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Corporate split</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split</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12.</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Transfer of the whole or any part of operations or business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Transfer of the whole or any part of operations or business</w:t>
            </w:r>
          </w:p>
        </w:tc>
        <w:tc>
          <w:tcPr>
            <w:tcW w:w="220" w:type="dxa"/>
            <w:vAlign w:val="bottom"/>
          </w:tcPr>
          <w:p>
            <w:pPr>
              <w:spacing w:after="0"/>
              <w:rPr>
                <w:sz w:val="21"/>
                <w:szCs w:val="21"/>
                <w:color w:val="auto"/>
              </w:rPr>
            </w:pPr>
          </w:p>
        </w:tc>
      </w:tr>
      <w:tr>
        <w:trPr>
          <w:trHeight w:val="403"/>
        </w:trPr>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0"/>
        </w:trPr>
        <w:tc>
          <w:tcPr>
            <w:tcW w:w="120" w:type="dxa"/>
            <w:vAlign w:val="bottom"/>
          </w:tcPr>
          <w:p>
            <w:pPr>
              <w:spacing w:after="0"/>
              <w:rPr>
                <w:sz w:val="17"/>
                <w:szCs w:val="17"/>
                <w:color w:val="auto"/>
              </w:rPr>
            </w:pPr>
          </w:p>
        </w:tc>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53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Dissolution (excluding dissolution by merger)</w:t>
            </w:r>
          </w:p>
        </w:tc>
        <w:tc>
          <w:tcPr>
            <w:tcW w:w="44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6.</w:t>
            </w:r>
          </w:p>
        </w:tc>
        <w:tc>
          <w:tcPr>
            <w:tcW w:w="47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Dissolution (excluding dissolution by</w:t>
            </w:r>
          </w:p>
        </w:tc>
        <w:tc>
          <w:tcPr>
            <w:tcW w:w="220" w:type="dxa"/>
            <w:vAlign w:val="bottom"/>
          </w:tcPr>
          <w:p>
            <w:pPr>
              <w:spacing w:after="0"/>
              <w:rPr>
                <w:sz w:val="17"/>
                <w:szCs w:val="17"/>
                <w:color w:val="auto"/>
              </w:rPr>
            </w:pPr>
          </w:p>
        </w:tc>
      </w:tr>
      <w:tr>
        <w:trPr>
          <w:trHeight w:val="252"/>
        </w:trPr>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tcPr>
          <w:p>
            <w:pPr>
              <w:spacing w:after="0"/>
              <w:rPr>
                <w:sz w:val="21"/>
                <w:szCs w:val="21"/>
                <w:color w:val="auto"/>
              </w:rPr>
            </w:pPr>
          </w:p>
        </w:tc>
        <w:tc>
          <w:tcPr>
            <w:tcW w:w="5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rPr>
              <w:t>merger)</w:t>
            </w:r>
          </w:p>
        </w:tc>
        <w:tc>
          <w:tcPr>
            <w:tcW w:w="220" w:type="dxa"/>
            <w:vAlign w:val="bottom"/>
          </w:tcPr>
          <w:p>
            <w:pPr>
              <w:spacing w:after="0"/>
              <w:rPr>
                <w:sz w:val="21"/>
                <w:szCs w:val="21"/>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220" w:type="dxa"/>
            <w:vAlign w:val="bottom"/>
          </w:tcPr>
          <w:p>
            <w:pPr>
              <w:spacing w:after="0"/>
              <w:rPr>
                <w:sz w:val="21"/>
                <w:szCs w:val="21"/>
                <w:color w:val="auto"/>
              </w:rPr>
            </w:pPr>
          </w:p>
        </w:tc>
      </w:tr>
      <w:tr>
        <w:trPr>
          <w:trHeight w:val="403"/>
        </w:trPr>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w:t>
            </w:r>
          </w:p>
        </w:tc>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220" w:type="dxa"/>
            <w:vAlign w:val="bottom"/>
          </w:tcPr>
          <w:p>
            <w:pPr>
              <w:spacing w:after="0"/>
              <w:rPr>
                <w:sz w:val="21"/>
                <w:szCs w:val="21"/>
                <w:color w:val="auto"/>
              </w:rPr>
            </w:pPr>
          </w:p>
        </w:tc>
      </w:tr>
      <w:tr>
        <w:trPr>
          <w:trHeight w:val="187"/>
        </w:trPr>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16.</w:t>
            </w:r>
          </w:p>
        </w:tc>
        <w:tc>
          <w:tcPr>
            <w:tcW w:w="53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Assignment or acquisition of stocks or interests or operations</w:t>
            </w:r>
          </w:p>
        </w:tc>
        <w:tc>
          <w:tcPr>
            <w:tcW w:w="440" w:type="dxa"/>
            <w:vAlign w:val="bottom"/>
          </w:tcPr>
          <w:p>
            <w:pPr>
              <w:ind w:left="260"/>
              <w:spacing w:after="0" w:line="200" w:lineRule="exact"/>
              <w:rPr>
                <w:sz w:val="20"/>
                <w:szCs w:val="20"/>
                <w:color w:val="auto"/>
              </w:rPr>
            </w:pPr>
            <w:r>
              <w:rPr>
                <w:rFonts w:ascii="Times New Roman" w:cs="Times New Roman" w:eastAsia="Times New Roman" w:hAnsi="Times New Roman"/>
                <w:sz w:val="20"/>
                <w:szCs w:val="20"/>
                <w:color w:val="auto"/>
              </w:rPr>
              <w:t>9.</w:t>
            </w:r>
          </w:p>
        </w:tc>
        <w:tc>
          <w:tcPr>
            <w:tcW w:w="47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Assignment or acquisition of shares or interests which</w:t>
            </w:r>
          </w:p>
        </w:tc>
        <w:tc>
          <w:tcPr>
            <w:tcW w:w="220" w:type="dxa"/>
            <w:vAlign w:val="bottom"/>
          </w:tcPr>
          <w:p>
            <w:pPr>
              <w:spacing w:after="0"/>
              <w:rPr>
                <w:sz w:val="17"/>
                <w:szCs w:val="17"/>
                <w:color w:val="auto"/>
              </w:rPr>
            </w:pPr>
          </w:p>
        </w:tc>
      </w:tr>
      <w:tr>
        <w:trPr>
          <w:trHeight w:val="258"/>
        </w:trPr>
        <w:tc>
          <w:tcPr>
            <w:tcW w:w="120" w:type="dxa"/>
            <w:vAlign w:val="bottom"/>
          </w:tcPr>
          <w:p>
            <w:pPr>
              <w:spacing w:after="0"/>
              <w:rPr>
                <w:sz w:val="22"/>
                <w:szCs w:val="22"/>
                <w:color w:val="auto"/>
              </w:rPr>
            </w:pPr>
          </w:p>
        </w:tc>
        <w:tc>
          <w:tcPr>
            <w:tcW w:w="57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which involves change in subsidiary</w:t>
            </w: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involves change in sub- subsidiary</w:t>
            </w:r>
          </w:p>
        </w:tc>
        <w:tc>
          <w:tcPr>
            <w:tcW w:w="220" w:type="dxa"/>
            <w:vAlign w:val="bottom"/>
          </w:tcPr>
          <w:p>
            <w:pPr>
              <w:spacing w:after="0"/>
              <w:rPr>
                <w:sz w:val="22"/>
                <w:szCs w:val="22"/>
                <w:color w:val="auto"/>
              </w:rPr>
            </w:pPr>
          </w:p>
        </w:tc>
      </w:tr>
      <w:tr>
        <w:trPr>
          <w:trHeight w:val="210"/>
        </w:trPr>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120" w:type="dxa"/>
            <w:vAlign w:val="bottom"/>
          </w:tcPr>
          <w:p>
            <w:pPr>
              <w:spacing w:after="0"/>
              <w:rPr>
                <w:sz w:val="21"/>
                <w:szCs w:val="2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w:t>
            </w:r>
          </w:p>
        </w:tc>
        <w:tc>
          <w:tcPr>
            <w:tcW w:w="5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Assignment or purchase of fixed assets</w:t>
            </w: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10. Assignment or acquisition of fixed assets</w:t>
            </w:r>
          </w:p>
        </w:tc>
        <w:tc>
          <w:tcPr>
            <w:tcW w:w="220" w:type="dxa"/>
            <w:vAlign w:val="bottom"/>
          </w:tcPr>
          <w:p>
            <w:pPr>
              <w:spacing w:after="0"/>
              <w:rPr>
                <w:sz w:val="21"/>
                <w:szCs w:val="21"/>
                <w:color w:val="auto"/>
              </w:rPr>
            </w:pPr>
          </w:p>
        </w:tc>
      </w:tr>
      <w:tr>
        <w:trPr>
          <w:trHeight w:val="1720"/>
        </w:trPr>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tbl>
      <w:tblPr>
        <w:tblLayout w:type="fixed"/>
        <w:tblInd w:w="130" w:type="dxa"/>
        <w:tblCellMar>
          <w:top w:w="0" w:type="dxa"/>
          <w:left w:w="0" w:type="dxa"/>
          <w:bottom w:w="0" w:type="dxa"/>
          <w:right w:w="0" w:type="dxa"/>
        </w:tblCellMar>
      </w:tblPr>
      <w:tr>
        <w:trPr>
          <w:trHeight w:val="223"/>
        </w:trPr>
        <w:tc>
          <w:tcPr>
            <w:tcW w:w="420" w:type="dxa"/>
            <w:vAlign w:val="bottom"/>
            <w:tcBorders>
              <w:top w:val="single" w:sz="8" w:color="auto"/>
              <w:lef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18.</w:t>
            </w:r>
          </w:p>
        </w:tc>
        <w:tc>
          <w:tcPr>
            <w:tcW w:w="554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Suspension or abolition of the whole or any part of operations or</w:t>
            </w:r>
          </w:p>
        </w:tc>
        <w:tc>
          <w:tcPr>
            <w:tcW w:w="320" w:type="dxa"/>
            <w:vAlign w:val="bottom"/>
            <w:tcBorders>
              <w:top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11.</w:t>
            </w:r>
          </w:p>
        </w:tc>
        <w:tc>
          <w:tcPr>
            <w:tcW w:w="4640" w:type="dxa"/>
            <w:vAlign w:val="bottom"/>
            <w:tcBorders>
              <w:top w:val="single" w:sz="8" w:color="auto"/>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Suspension or abolition of operation or business</w:t>
            </w:r>
          </w:p>
        </w:tc>
      </w:tr>
      <w:tr>
        <w:trPr>
          <w:trHeight w:val="258"/>
        </w:trPr>
        <w:tc>
          <w:tcPr>
            <w:tcW w:w="596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320" w:type="dxa"/>
            <w:vAlign w:val="bottom"/>
          </w:tcPr>
          <w:p>
            <w:pPr>
              <w:spacing w:after="0"/>
              <w:rPr>
                <w:sz w:val="22"/>
                <w:szCs w:val="22"/>
                <w:color w:val="auto"/>
              </w:rPr>
            </w:pPr>
          </w:p>
        </w:tc>
        <w:tc>
          <w:tcPr>
            <w:tcW w:w="4640" w:type="dxa"/>
            <w:vAlign w:val="bottom"/>
            <w:tcBorders>
              <w:right w:val="single" w:sz="8" w:color="auto"/>
            </w:tcBorders>
          </w:tcPr>
          <w:p>
            <w:pPr>
              <w:spacing w:after="0"/>
              <w:rPr>
                <w:sz w:val="22"/>
                <w:szCs w:val="22"/>
                <w:color w:val="auto"/>
              </w:rPr>
            </w:pPr>
          </w:p>
        </w:tc>
      </w:tr>
      <w:tr>
        <w:trPr>
          <w:trHeight w:val="180"/>
        </w:trPr>
        <w:tc>
          <w:tcPr>
            <w:tcW w:w="420" w:type="dxa"/>
            <w:vAlign w:val="bottom"/>
            <w:tcBorders>
              <w:left w:val="single" w:sz="8" w:color="auto"/>
              <w:bottom w:val="single" w:sz="8" w:color="auto"/>
            </w:tcBorders>
          </w:tcPr>
          <w:p>
            <w:pPr>
              <w:spacing w:after="0"/>
              <w:rPr>
                <w:sz w:val="15"/>
                <w:szCs w:val="15"/>
                <w:color w:val="auto"/>
              </w:rPr>
            </w:pPr>
          </w:p>
        </w:tc>
        <w:tc>
          <w:tcPr>
            <w:tcW w:w="554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40" w:type="dxa"/>
            <w:vAlign w:val="bottom"/>
            <w:tcBorders>
              <w:bottom w:val="single" w:sz="8" w:color="auto"/>
              <w:right w:val="single" w:sz="8" w:color="auto"/>
            </w:tcBorders>
          </w:tcPr>
          <w:p>
            <w:pPr>
              <w:spacing w:after="0"/>
              <w:rPr>
                <w:sz w:val="15"/>
                <w:szCs w:val="15"/>
                <w:color w:val="auto"/>
              </w:rPr>
            </w:pPr>
          </w:p>
        </w:tc>
      </w:tr>
      <w:tr>
        <w:trPr>
          <w:trHeight w:val="258"/>
        </w:trPr>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19.</w:t>
            </w:r>
          </w:p>
        </w:tc>
        <w:tc>
          <w:tcPr>
            <w:tcW w:w="5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Application for delisting of stocks from a stock exchange</w:t>
            </w:r>
          </w:p>
        </w:tc>
        <w:tc>
          <w:tcPr>
            <w:tcW w:w="320" w:type="dxa"/>
            <w:vAlign w:val="bottom"/>
          </w:tcPr>
          <w:p>
            <w:pPr>
              <w:spacing w:after="0"/>
              <w:rPr>
                <w:sz w:val="22"/>
                <w:szCs w:val="22"/>
                <w:color w:val="auto"/>
              </w:rPr>
            </w:pPr>
          </w:p>
        </w:tc>
        <w:tc>
          <w:tcPr>
            <w:tcW w:w="4640" w:type="dxa"/>
            <w:vAlign w:val="bottom"/>
            <w:tcBorders>
              <w:right w:val="single" w:sz="8" w:color="auto"/>
            </w:tcBorders>
          </w:tcPr>
          <w:p>
            <w:pPr>
              <w:spacing w:after="0"/>
              <w:rPr>
                <w:sz w:val="22"/>
                <w:szCs w:val="22"/>
                <w:color w:val="auto"/>
              </w:rPr>
            </w:pPr>
          </w:p>
        </w:tc>
      </w:tr>
      <w:tr>
        <w:trPr>
          <w:trHeight w:val="400"/>
        </w:trPr>
        <w:tc>
          <w:tcPr>
            <w:tcW w:w="420" w:type="dxa"/>
            <w:vAlign w:val="bottom"/>
            <w:tcBorders>
              <w:bottom w:val="single" w:sz="8" w:color="auto"/>
            </w:tcBorders>
          </w:tcPr>
          <w:p>
            <w:pPr>
              <w:spacing w:after="0"/>
              <w:rPr>
                <w:sz w:val="24"/>
                <w:szCs w:val="24"/>
                <w:color w:val="auto"/>
              </w:rPr>
            </w:pPr>
          </w:p>
        </w:tc>
        <w:tc>
          <w:tcPr>
            <w:tcW w:w="55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20.</w:t>
            </w:r>
          </w:p>
        </w:tc>
        <w:tc>
          <w:tcPr>
            <w:tcW w:w="55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Application for cancellation of registration of stocks with the</w:t>
            </w:r>
          </w:p>
        </w:tc>
        <w:tc>
          <w:tcPr>
            <w:tcW w:w="320" w:type="dxa"/>
            <w:vAlign w:val="bottom"/>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r>
      <w:tr>
        <w:trPr>
          <w:trHeight w:val="258"/>
        </w:trPr>
        <w:tc>
          <w:tcPr>
            <w:tcW w:w="5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Japan Securities Dealers Association</w:t>
            </w:r>
          </w:p>
        </w:tc>
        <w:tc>
          <w:tcPr>
            <w:tcW w:w="320" w:type="dxa"/>
            <w:vAlign w:val="bottom"/>
          </w:tcPr>
          <w:p>
            <w:pPr>
              <w:spacing w:after="0"/>
              <w:rPr>
                <w:sz w:val="22"/>
                <w:szCs w:val="22"/>
                <w:color w:val="auto"/>
              </w:rPr>
            </w:pPr>
          </w:p>
        </w:tc>
        <w:tc>
          <w:tcPr>
            <w:tcW w:w="4640" w:type="dxa"/>
            <w:vAlign w:val="bottom"/>
            <w:tcBorders>
              <w:right w:val="single" w:sz="8" w:color="auto"/>
            </w:tcBorders>
          </w:tcPr>
          <w:p>
            <w:pPr>
              <w:spacing w:after="0"/>
              <w:rPr>
                <w:sz w:val="22"/>
                <w:szCs w:val="22"/>
                <w:color w:val="auto"/>
              </w:rPr>
            </w:pPr>
          </w:p>
        </w:tc>
      </w:tr>
      <w:tr>
        <w:trPr>
          <w:trHeight w:val="197"/>
        </w:trPr>
        <w:tc>
          <w:tcPr>
            <w:tcW w:w="420" w:type="dxa"/>
            <w:vAlign w:val="bottom"/>
            <w:tcBorders>
              <w:bottom w:val="single" w:sz="8" w:color="auto"/>
            </w:tcBorders>
          </w:tcPr>
          <w:p>
            <w:pPr>
              <w:spacing w:after="0"/>
              <w:rPr>
                <w:sz w:val="17"/>
                <w:szCs w:val="17"/>
                <w:color w:val="auto"/>
              </w:rPr>
            </w:pPr>
          </w:p>
        </w:tc>
        <w:tc>
          <w:tcPr>
            <w:tcW w:w="55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21.</w:t>
            </w:r>
          </w:p>
        </w:tc>
        <w:tc>
          <w:tcPr>
            <w:tcW w:w="55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Petition for bankruptcy, institution of company rehabilitation</w:t>
            </w:r>
          </w:p>
        </w:tc>
        <w:tc>
          <w:tcPr>
            <w:tcW w:w="3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12.</w:t>
            </w:r>
          </w:p>
        </w:tc>
        <w:tc>
          <w:tcPr>
            <w:tcW w:w="46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bankruptcy, institution of company</w:t>
            </w:r>
          </w:p>
        </w:tc>
      </w:tr>
      <w:tr>
        <w:trPr>
          <w:trHeight w:val="230"/>
        </w:trPr>
        <w:tc>
          <w:tcPr>
            <w:tcW w:w="5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procedures, or institution of company reorganization procedures</w:t>
            </w:r>
          </w:p>
        </w:tc>
        <w:tc>
          <w:tcPr>
            <w:tcW w:w="49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rehabilitation procedures, or institution of company</w:t>
            </w:r>
          </w:p>
        </w:tc>
      </w:tr>
      <w:tr>
        <w:trPr>
          <w:trHeight w:val="229"/>
        </w:trPr>
        <w:tc>
          <w:tcPr>
            <w:tcW w:w="420" w:type="dxa"/>
            <w:vAlign w:val="bottom"/>
          </w:tcPr>
          <w:p>
            <w:pPr>
              <w:spacing w:after="0"/>
              <w:rPr>
                <w:sz w:val="19"/>
                <w:szCs w:val="19"/>
                <w:color w:val="auto"/>
              </w:rPr>
            </w:pPr>
          </w:p>
        </w:tc>
        <w:tc>
          <w:tcPr>
            <w:tcW w:w="554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reorganization</w:t>
            </w:r>
          </w:p>
        </w:tc>
      </w:tr>
      <w:tr>
        <w:trPr>
          <w:trHeight w:val="252"/>
        </w:trPr>
        <w:tc>
          <w:tcPr>
            <w:tcW w:w="420" w:type="dxa"/>
            <w:vAlign w:val="bottom"/>
            <w:tcBorders>
              <w:bottom w:val="single" w:sz="8" w:color="auto"/>
            </w:tcBorders>
          </w:tcPr>
          <w:p>
            <w:pPr>
              <w:spacing w:after="0"/>
              <w:rPr>
                <w:sz w:val="21"/>
                <w:szCs w:val="21"/>
                <w:color w:val="auto"/>
              </w:rPr>
            </w:pPr>
          </w:p>
        </w:tc>
        <w:tc>
          <w:tcPr>
            <w:tcW w:w="5540" w:type="dxa"/>
            <w:vAlign w:val="bottom"/>
            <w:tcBorders>
              <w:bottom w:val="single" w:sz="8" w:color="auto"/>
              <w:right w:val="single" w:sz="8" w:color="auto"/>
            </w:tcBorders>
          </w:tcPr>
          <w:p>
            <w:pPr>
              <w:spacing w:after="0"/>
              <w:rPr>
                <w:sz w:val="21"/>
                <w:szCs w:val="21"/>
                <w:color w:val="auto"/>
              </w:rPr>
            </w:pPr>
          </w:p>
        </w:tc>
        <w:tc>
          <w:tcPr>
            <w:tcW w:w="49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procedures</w:t>
            </w: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22.</w:t>
            </w:r>
          </w:p>
        </w:tc>
        <w:tc>
          <w:tcPr>
            <w:tcW w:w="55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Launch of a new business (including corporatization of sales of</w:t>
            </w:r>
          </w:p>
        </w:tc>
        <w:tc>
          <w:tcPr>
            <w:tcW w:w="3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46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Launch of a new business</w:t>
            </w:r>
          </w:p>
        </w:tc>
      </w:tr>
      <w:tr>
        <w:trPr>
          <w:trHeight w:val="258"/>
        </w:trPr>
        <w:tc>
          <w:tcPr>
            <w:tcW w:w="5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new products or provision of new services)</w:t>
            </w:r>
          </w:p>
        </w:tc>
        <w:tc>
          <w:tcPr>
            <w:tcW w:w="320" w:type="dxa"/>
            <w:vAlign w:val="bottom"/>
          </w:tcPr>
          <w:p>
            <w:pPr>
              <w:spacing w:after="0"/>
              <w:rPr>
                <w:sz w:val="22"/>
                <w:szCs w:val="22"/>
                <w:color w:val="auto"/>
              </w:rPr>
            </w:pPr>
          </w:p>
        </w:tc>
        <w:tc>
          <w:tcPr>
            <w:tcW w:w="4640" w:type="dxa"/>
            <w:vAlign w:val="bottom"/>
            <w:tcBorders>
              <w:right w:val="single" w:sz="8" w:color="auto"/>
            </w:tcBorders>
          </w:tcPr>
          <w:p>
            <w:pPr>
              <w:spacing w:after="0"/>
              <w:rPr>
                <w:sz w:val="22"/>
                <w:szCs w:val="22"/>
                <w:color w:val="auto"/>
              </w:rPr>
            </w:pPr>
          </w:p>
        </w:tc>
      </w:tr>
      <w:tr>
        <w:trPr>
          <w:trHeight w:val="413"/>
        </w:trPr>
        <w:tc>
          <w:tcPr>
            <w:tcW w:w="420" w:type="dxa"/>
            <w:vAlign w:val="bottom"/>
            <w:tcBorders>
              <w:bottom w:val="single" w:sz="8" w:color="auto"/>
            </w:tcBorders>
          </w:tcPr>
          <w:p>
            <w:pPr>
              <w:spacing w:after="0"/>
              <w:rPr>
                <w:sz w:val="24"/>
                <w:szCs w:val="24"/>
                <w:color w:val="auto"/>
              </w:rPr>
            </w:pPr>
          </w:p>
        </w:tc>
        <w:tc>
          <w:tcPr>
            <w:tcW w:w="55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23.</w:t>
            </w:r>
          </w:p>
        </w:tc>
        <w:tc>
          <w:tcPr>
            <w:tcW w:w="55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Request for defensive purchase in order to counter takeover</w:t>
            </w:r>
          </w:p>
        </w:tc>
        <w:tc>
          <w:tcPr>
            <w:tcW w:w="320" w:type="dxa"/>
            <w:vAlign w:val="bottom"/>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r>
      <w:tr>
        <w:trPr>
          <w:trHeight w:val="258"/>
        </w:trPr>
        <w:tc>
          <w:tcPr>
            <w:tcW w:w="5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bids or any act similar thereto</w:t>
            </w:r>
          </w:p>
        </w:tc>
        <w:tc>
          <w:tcPr>
            <w:tcW w:w="320" w:type="dxa"/>
            <w:vAlign w:val="bottom"/>
          </w:tcPr>
          <w:p>
            <w:pPr>
              <w:spacing w:after="0"/>
              <w:rPr>
                <w:sz w:val="22"/>
                <w:szCs w:val="22"/>
                <w:color w:val="auto"/>
              </w:rPr>
            </w:pPr>
          </w:p>
        </w:tc>
        <w:tc>
          <w:tcPr>
            <w:tcW w:w="4640" w:type="dxa"/>
            <w:vAlign w:val="bottom"/>
            <w:tcBorders>
              <w:right w:val="single" w:sz="8" w:color="auto"/>
            </w:tcBorders>
          </w:tcPr>
          <w:p>
            <w:pPr>
              <w:spacing w:after="0"/>
              <w:rPr>
                <w:sz w:val="22"/>
                <w:szCs w:val="22"/>
                <w:color w:val="auto"/>
              </w:rPr>
            </w:pPr>
          </w:p>
        </w:tc>
      </w:tr>
      <w:tr>
        <w:trPr>
          <w:trHeight w:val="197"/>
        </w:trPr>
        <w:tc>
          <w:tcPr>
            <w:tcW w:w="420" w:type="dxa"/>
            <w:vAlign w:val="bottom"/>
            <w:tcBorders>
              <w:bottom w:val="single" w:sz="8" w:color="auto"/>
            </w:tcBorders>
          </w:tcPr>
          <w:p>
            <w:pPr>
              <w:spacing w:after="0"/>
              <w:rPr>
                <w:sz w:val="17"/>
                <w:szCs w:val="17"/>
                <w:color w:val="auto"/>
              </w:rPr>
            </w:pPr>
          </w:p>
        </w:tc>
        <w:tc>
          <w:tcPr>
            <w:tcW w:w="55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24.</w:t>
            </w:r>
          </w:p>
        </w:tc>
        <w:tc>
          <w:tcPr>
            <w:tcW w:w="55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Offer pursuant to the provision of Article 74, Paragraph 5 of the</w:t>
            </w:r>
          </w:p>
        </w:tc>
        <w:tc>
          <w:tcPr>
            <w:tcW w:w="3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14.</w:t>
            </w:r>
          </w:p>
        </w:tc>
        <w:tc>
          <w:tcPr>
            <w:tcW w:w="46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Offer pursuant to the provision of Article</w:t>
            </w:r>
          </w:p>
        </w:tc>
      </w:tr>
      <w:tr>
        <w:trPr>
          <w:trHeight w:val="258"/>
        </w:trPr>
        <w:tc>
          <w:tcPr>
            <w:tcW w:w="5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Deposit Insurance Laws</w:t>
            </w:r>
          </w:p>
        </w:tc>
        <w:tc>
          <w:tcPr>
            <w:tcW w:w="49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74, Paragraph 5 of the Deposit Insurance Laws</w:t>
            </w:r>
          </w:p>
        </w:tc>
      </w:tr>
      <w:tr>
        <w:trPr>
          <w:trHeight w:val="210"/>
        </w:trPr>
        <w:tc>
          <w:tcPr>
            <w:tcW w:w="420" w:type="dxa"/>
            <w:vAlign w:val="bottom"/>
            <w:tcBorders>
              <w:bottom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spacing w:after="0"/>
              <w:rPr>
                <w:sz w:val="18"/>
                <w:szCs w:val="18"/>
                <w:color w:val="auto"/>
              </w:rPr>
            </w:pPr>
          </w:p>
        </w:tc>
      </w:tr>
    </w:tbl>
    <w:p>
      <w:pPr>
        <w:spacing w:after="0" w:line="288" w:lineRule="exact"/>
        <w:rPr>
          <w:sz w:val="20"/>
          <w:szCs w:val="20"/>
          <w:color w:val="auto"/>
        </w:rPr>
      </w:pPr>
    </w:p>
    <w:p>
      <w:pPr>
        <w:ind w:left="980" w:hanging="748"/>
        <w:spacing w:after="0"/>
        <w:tabs>
          <w:tab w:leader="none" w:pos="9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Occurred Facts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 w:type="dxa"/>
            <w:vAlign w:val="bottom"/>
            <w:tcBorders>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180" w:type="dxa"/>
            <w:vAlign w:val="bottom"/>
            <w:tcBorders>
              <w:top w:val="single" w:sz="8" w:color="auto"/>
              <w:bottom w:val="single" w:sz="8" w:color="auto"/>
              <w:right w:val="single" w:sz="8" w:color="auto"/>
            </w:tcBorders>
          </w:tcPr>
          <w:p>
            <w:pPr>
              <w:ind w:left="480"/>
              <w:spacing w:after="0" w:line="223" w:lineRule="exact"/>
              <w:rPr>
                <w:sz w:val="20"/>
                <w:szCs w:val="20"/>
                <w:color w:val="auto"/>
              </w:rPr>
            </w:pPr>
            <w:r>
              <w:rPr>
                <w:rFonts w:ascii="Times New Roman" w:cs="Times New Roman" w:eastAsia="Times New Roman" w:hAnsi="Times New Roman"/>
                <w:sz w:val="20"/>
                <w:szCs w:val="20"/>
                <w:color w:val="auto"/>
              </w:rPr>
              <w:t>Listed Companies</w:t>
            </w:r>
          </w:p>
        </w:tc>
        <w:tc>
          <w:tcPr>
            <w:tcW w:w="220" w:type="dxa"/>
            <w:vAlign w:val="bottom"/>
            <w:tcBorders>
              <w:top w:val="single" w:sz="8" w:color="auto"/>
              <w:bottom w:val="single" w:sz="8" w:color="auto"/>
            </w:tcBorders>
          </w:tcPr>
          <w:p>
            <w:pPr>
              <w:spacing w:after="0"/>
              <w:rPr>
                <w:sz w:val="21"/>
                <w:szCs w:val="21"/>
                <w:color w:val="auto"/>
              </w:rPr>
            </w:pPr>
          </w:p>
        </w:tc>
        <w:tc>
          <w:tcPr>
            <w:tcW w:w="5260" w:type="dxa"/>
            <w:vAlign w:val="bottom"/>
            <w:tcBorders>
              <w:top w:val="single" w:sz="8" w:color="auto"/>
              <w:bottom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0"/>
                <w:szCs w:val="20"/>
                <w:color w:val="auto"/>
              </w:rPr>
              <w:t>Subsidiaries of Listed Companies</w:t>
            </w:r>
          </w:p>
        </w:tc>
        <w:tc>
          <w:tcPr>
            <w:tcW w:w="100" w:type="dxa"/>
            <w:vAlign w:val="bottom"/>
          </w:tcPr>
          <w:p>
            <w:pPr>
              <w:spacing w:after="0"/>
              <w:rPr>
                <w:sz w:val="21"/>
                <w:szCs w:val="2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320" w:type="dxa"/>
            <w:vAlign w:val="bottom"/>
          </w:tcPr>
          <w:p>
            <w:pPr>
              <w:ind w:left="60"/>
              <w:spacing w:after="0" w:line="184" w:lineRule="exact"/>
              <w:rPr>
                <w:sz w:val="20"/>
                <w:szCs w:val="20"/>
                <w:color w:val="auto"/>
              </w:rPr>
            </w:pPr>
            <w:r>
              <w:rPr>
                <w:rFonts w:ascii="Times New Roman" w:cs="Times New Roman" w:eastAsia="Times New Roman" w:hAnsi="Times New Roman"/>
                <w:sz w:val="20"/>
                <w:szCs w:val="20"/>
                <w:color w:val="auto"/>
              </w:rPr>
              <w:t>1.</w:t>
            </w:r>
          </w:p>
        </w:tc>
        <w:tc>
          <w:tcPr>
            <w:tcW w:w="5180" w:type="dxa"/>
            <w:vAlign w:val="bottom"/>
            <w:tcBorders>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20"/>
                <w:szCs w:val="20"/>
                <w:color w:val="auto"/>
              </w:rPr>
              <w:t>Damage caused by disasters or damage arising in the course</w:t>
            </w:r>
          </w:p>
        </w:tc>
        <w:tc>
          <w:tcPr>
            <w:tcW w:w="220" w:type="dxa"/>
            <w:vAlign w:val="bottom"/>
          </w:tcPr>
          <w:p>
            <w:pPr>
              <w:ind w:left="40"/>
              <w:spacing w:after="0" w:line="184" w:lineRule="exact"/>
              <w:rPr>
                <w:sz w:val="20"/>
                <w:szCs w:val="20"/>
                <w:color w:val="auto"/>
              </w:rPr>
            </w:pPr>
            <w:r>
              <w:rPr>
                <w:rFonts w:ascii="Times New Roman" w:cs="Times New Roman" w:eastAsia="Times New Roman" w:hAnsi="Times New Roman"/>
                <w:sz w:val="20"/>
                <w:szCs w:val="20"/>
                <w:color w:val="auto"/>
              </w:rPr>
              <w:t>1.</w:t>
            </w:r>
          </w:p>
        </w:tc>
        <w:tc>
          <w:tcPr>
            <w:tcW w:w="52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Damage caused by disasters or damages arising in the course of</w:t>
            </w:r>
          </w:p>
        </w:tc>
        <w:tc>
          <w:tcPr>
            <w:tcW w:w="100" w:type="dxa"/>
            <w:vAlign w:val="bottom"/>
          </w:tcPr>
          <w:p>
            <w:pPr>
              <w:spacing w:after="0"/>
              <w:rPr>
                <w:sz w:val="15"/>
                <w:szCs w:val="15"/>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of performance of business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performance of business</w:t>
            </w:r>
          </w:p>
        </w:tc>
        <w:tc>
          <w:tcPr>
            <w:tcW w:w="100" w:type="dxa"/>
            <w:vAlign w:val="bottom"/>
          </w:tcPr>
          <w:p>
            <w:pPr>
              <w:spacing w:after="0"/>
              <w:rPr>
                <w:sz w:val="22"/>
                <w:szCs w:val="22"/>
                <w:color w:val="auto"/>
              </w:rPr>
            </w:pPr>
          </w:p>
        </w:tc>
      </w:tr>
      <w:tr>
        <w:trPr>
          <w:trHeight w:val="197"/>
        </w:trPr>
        <w:tc>
          <w:tcPr>
            <w:tcW w:w="160" w:type="dxa"/>
            <w:vAlign w:val="bottom"/>
            <w:tcBorders>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6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160" w:type="dxa"/>
            <w:vAlign w:val="bottom"/>
            <w:tcBorders>
              <w:right w:val="single" w:sz="8" w:color="auto"/>
            </w:tcBorders>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w:t>
            </w: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Change in principal shareholders</w:t>
            </w:r>
          </w:p>
        </w:tc>
        <w:tc>
          <w:tcPr>
            <w:tcW w:w="220" w:type="dxa"/>
            <w:vAlign w:val="bottom"/>
          </w:tcPr>
          <w:p>
            <w:pPr>
              <w:spacing w:after="0"/>
              <w:rPr>
                <w:sz w:val="21"/>
                <w:szCs w:val="21"/>
                <w:color w:val="auto"/>
              </w:rPr>
            </w:pPr>
          </w:p>
        </w:tc>
        <w:tc>
          <w:tcPr>
            <w:tcW w:w="5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160" w:type="dxa"/>
            <w:vAlign w:val="bottom"/>
            <w:tcBorders>
              <w:right w:val="single" w:sz="8" w:color="auto"/>
            </w:tcBorders>
          </w:tcPr>
          <w:p>
            <w:pPr>
              <w:spacing w:after="0"/>
              <w:rPr>
                <w:sz w:val="17"/>
                <w:szCs w:val="17"/>
                <w:color w:val="auto"/>
              </w:rPr>
            </w:pPr>
          </w:p>
        </w:tc>
        <w:tc>
          <w:tcPr>
            <w:tcW w:w="3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3.</w:t>
            </w:r>
          </w:p>
        </w:tc>
        <w:tc>
          <w:tcPr>
            <w:tcW w:w="5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Delisting of specified securities or options on specified</w:t>
            </w:r>
          </w:p>
        </w:tc>
        <w:tc>
          <w:tcPr>
            <w:tcW w:w="220" w:type="dxa"/>
            <w:vAlign w:val="bottom"/>
          </w:tcPr>
          <w:p>
            <w:pPr>
              <w:spacing w:after="0"/>
              <w:rPr>
                <w:sz w:val="17"/>
                <w:szCs w:val="17"/>
                <w:color w:val="auto"/>
              </w:rPr>
            </w:pPr>
          </w:p>
        </w:tc>
        <w:tc>
          <w:tcPr>
            <w:tcW w:w="5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securities, or any event of cancellation of registration</w:t>
            </w:r>
          </w:p>
        </w:tc>
        <w:tc>
          <w:tcPr>
            <w:tcW w:w="220" w:type="dxa"/>
            <w:vAlign w:val="bottom"/>
          </w:tcPr>
          <w:p>
            <w:pPr>
              <w:spacing w:after="0"/>
              <w:rPr>
                <w:sz w:val="22"/>
                <w:szCs w:val="22"/>
                <w:color w:val="auto"/>
              </w:rPr>
            </w:pPr>
          </w:p>
        </w:tc>
        <w:tc>
          <w:tcPr>
            <w:tcW w:w="52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413"/>
        </w:trPr>
        <w:tc>
          <w:tcPr>
            <w:tcW w:w="16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160" w:type="dxa"/>
            <w:vAlign w:val="bottom"/>
            <w:tcBorders>
              <w:right w:val="single" w:sz="8" w:color="auto"/>
            </w:tcBorders>
          </w:tcPr>
          <w:p>
            <w:pPr>
              <w:spacing w:after="0"/>
              <w:rPr>
                <w:sz w:val="17"/>
                <w:szCs w:val="17"/>
                <w:color w:val="auto"/>
              </w:rPr>
            </w:pPr>
          </w:p>
        </w:tc>
        <w:tc>
          <w:tcPr>
            <w:tcW w:w="3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4.</w:t>
            </w:r>
          </w:p>
        </w:tc>
        <w:tc>
          <w:tcPr>
            <w:tcW w:w="5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Lawsuit concerning a claim regarding property rights or</w:t>
            </w:r>
          </w:p>
        </w:tc>
        <w:tc>
          <w:tcPr>
            <w:tcW w:w="2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2.</w:t>
            </w:r>
          </w:p>
        </w:tc>
        <w:tc>
          <w:tcPr>
            <w:tcW w:w="52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Lawsuit concerning a claim regarding property rights or</w:t>
            </w: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completion of such lawsuit</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completion of such lawsuit</w:t>
            </w:r>
          </w:p>
        </w:tc>
        <w:tc>
          <w:tcPr>
            <w:tcW w:w="100" w:type="dxa"/>
            <w:vAlign w:val="bottom"/>
          </w:tcPr>
          <w:p>
            <w:pPr>
              <w:spacing w:after="0"/>
              <w:rPr>
                <w:sz w:val="22"/>
                <w:szCs w:val="22"/>
                <w:color w:val="auto"/>
              </w:rPr>
            </w:pPr>
          </w:p>
        </w:tc>
      </w:tr>
      <w:tr>
        <w:trPr>
          <w:trHeight w:val="197"/>
        </w:trPr>
        <w:tc>
          <w:tcPr>
            <w:tcW w:w="160" w:type="dxa"/>
            <w:vAlign w:val="bottom"/>
            <w:tcBorders>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6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60" w:type="dxa"/>
            <w:vAlign w:val="bottom"/>
            <w:tcBorders>
              <w:right w:val="single" w:sz="8" w:color="auto"/>
            </w:tcBorders>
          </w:tcPr>
          <w:p>
            <w:pPr>
              <w:spacing w:after="0"/>
              <w:rPr>
                <w:sz w:val="17"/>
                <w:szCs w:val="17"/>
                <w:color w:val="auto"/>
              </w:rPr>
            </w:pPr>
          </w:p>
        </w:tc>
        <w:tc>
          <w:tcPr>
            <w:tcW w:w="3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5.</w:t>
            </w:r>
          </w:p>
        </w:tc>
        <w:tc>
          <w:tcPr>
            <w:tcW w:w="5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Petition for provisional injunction or determination of</w:t>
            </w:r>
          </w:p>
        </w:tc>
        <w:tc>
          <w:tcPr>
            <w:tcW w:w="2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3.</w:t>
            </w:r>
          </w:p>
        </w:tc>
        <w:tc>
          <w:tcPr>
            <w:tcW w:w="52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provisional injunction or determination of such</w:t>
            </w: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such provisional injunction</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provisional injunction</w:t>
            </w:r>
          </w:p>
        </w:tc>
        <w:tc>
          <w:tcPr>
            <w:tcW w:w="100" w:type="dxa"/>
            <w:vAlign w:val="bottom"/>
          </w:tcPr>
          <w:p>
            <w:pPr>
              <w:spacing w:after="0"/>
              <w:rPr>
                <w:sz w:val="22"/>
                <w:szCs w:val="22"/>
                <w:color w:val="auto"/>
              </w:rPr>
            </w:pPr>
          </w:p>
        </w:tc>
      </w:tr>
      <w:tr>
        <w:trPr>
          <w:trHeight w:val="426"/>
        </w:trPr>
        <w:tc>
          <w:tcPr>
            <w:tcW w:w="16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160" w:type="dxa"/>
            <w:vAlign w:val="bottom"/>
            <w:tcBorders>
              <w:right w:val="single" w:sz="8" w:color="auto"/>
            </w:tcBorders>
          </w:tcPr>
          <w:p>
            <w:pPr>
              <w:spacing w:after="0"/>
              <w:rPr>
                <w:sz w:val="17"/>
                <w:szCs w:val="17"/>
                <w:color w:val="auto"/>
              </w:rPr>
            </w:pPr>
          </w:p>
        </w:tc>
        <w:tc>
          <w:tcPr>
            <w:tcW w:w="3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6.</w:t>
            </w:r>
          </w:p>
        </w:tc>
        <w:tc>
          <w:tcPr>
            <w:tcW w:w="5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2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4.</w:t>
            </w:r>
          </w:p>
        </w:tc>
        <w:tc>
          <w:tcPr>
            <w:tcW w:w="52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ordinances such as suspension of operation of business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ordinances such as suspension of operation or business</w:t>
            </w:r>
          </w:p>
        </w:tc>
        <w:tc>
          <w:tcPr>
            <w:tcW w:w="100" w:type="dxa"/>
            <w:vAlign w:val="bottom"/>
          </w:tcPr>
          <w:p>
            <w:pPr>
              <w:spacing w:after="0"/>
              <w:rPr>
                <w:sz w:val="22"/>
                <w:szCs w:val="22"/>
                <w:color w:val="auto"/>
              </w:rPr>
            </w:pPr>
          </w:p>
        </w:tc>
      </w:tr>
      <w:tr>
        <w:trPr>
          <w:trHeight w:val="412"/>
        </w:trPr>
        <w:tc>
          <w:tcPr>
            <w:tcW w:w="16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60" w:type="dxa"/>
            <w:vAlign w:val="bottom"/>
            <w:tcBorders>
              <w:right w:val="single" w:sz="8" w:color="auto"/>
            </w:tcBorders>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w:t>
            </w: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Change in parent company</w:t>
            </w:r>
          </w:p>
        </w:tc>
        <w:tc>
          <w:tcPr>
            <w:tcW w:w="220" w:type="dxa"/>
            <w:vAlign w:val="bottom"/>
          </w:tcPr>
          <w:p>
            <w:pPr>
              <w:spacing w:after="0"/>
              <w:rPr>
                <w:sz w:val="21"/>
                <w:szCs w:val="21"/>
                <w:color w:val="auto"/>
              </w:rPr>
            </w:pPr>
          </w:p>
        </w:tc>
        <w:tc>
          <w:tcPr>
            <w:tcW w:w="5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18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6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160" w:type="dxa"/>
            <w:vAlign w:val="bottom"/>
            <w:tcBorders>
              <w:right w:val="single" w:sz="8" w:color="auto"/>
            </w:tcBorders>
          </w:tcPr>
          <w:p>
            <w:pPr>
              <w:spacing w:after="0"/>
              <w:rPr>
                <w:sz w:val="17"/>
                <w:szCs w:val="17"/>
                <w:color w:val="auto"/>
              </w:rPr>
            </w:pPr>
          </w:p>
        </w:tc>
        <w:tc>
          <w:tcPr>
            <w:tcW w:w="3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8.</w:t>
            </w:r>
          </w:p>
        </w:tc>
        <w:tc>
          <w:tcPr>
            <w:tcW w:w="518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w:t>
            </w:r>
          </w:p>
        </w:tc>
        <w:tc>
          <w:tcPr>
            <w:tcW w:w="2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5.</w:t>
            </w:r>
          </w:p>
        </w:tc>
        <w:tc>
          <w:tcPr>
            <w:tcW w:w="52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 the</w:t>
            </w: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the relevant listed company</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relevant subsidiary</w:t>
            </w:r>
          </w:p>
        </w:tc>
        <w:tc>
          <w:tcPr>
            <w:tcW w:w="100" w:type="dxa"/>
            <w:vAlign w:val="bottom"/>
          </w:tcPr>
          <w:p>
            <w:pPr>
              <w:spacing w:after="0"/>
              <w:rPr>
                <w:sz w:val="22"/>
                <w:szCs w:val="22"/>
                <w:color w:val="auto"/>
              </w:rPr>
            </w:pPr>
          </w:p>
        </w:tc>
      </w:tr>
      <w:tr>
        <w:trPr>
          <w:trHeight w:val="196"/>
        </w:trPr>
        <w:tc>
          <w:tcPr>
            <w:tcW w:w="160" w:type="dxa"/>
            <w:vAlign w:val="bottom"/>
            <w:tcBorders>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6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23"/>
        </w:trPr>
        <w:tc>
          <w:tcPr>
            <w:tcW w:w="420" w:type="dxa"/>
            <w:vAlign w:val="bottom"/>
            <w:tcBorders>
              <w:top w:val="single" w:sz="8" w:color="auto"/>
              <w:left w:val="single" w:sz="8" w:color="auto"/>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9.</w:t>
            </w:r>
          </w:p>
        </w:tc>
        <w:tc>
          <w:tcPr>
            <w:tcW w:w="5120" w:type="dxa"/>
            <w:vAlign w:val="bottom"/>
            <w:tcBorders>
              <w:top w:val="single" w:sz="8" w:color="auto"/>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c>
          <w:tcPr>
            <w:tcW w:w="220" w:type="dxa"/>
            <w:vAlign w:val="bottom"/>
            <w:tcBorders>
              <w:top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6.</w:t>
            </w:r>
          </w:p>
        </w:tc>
        <w:tc>
          <w:tcPr>
            <w:tcW w:w="5260" w:type="dxa"/>
            <w:vAlign w:val="bottom"/>
            <w:tcBorders>
              <w:top w:val="single" w:sz="8" w:color="auto"/>
              <w:right w:val="single" w:sz="8" w:color="auto"/>
            </w:tcBorders>
          </w:tcPr>
          <w:p>
            <w:pPr>
              <w:ind w:left="20"/>
              <w:spacing w:after="0" w:line="224" w:lineRule="exact"/>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r>
      <w:tr>
        <w:trPr>
          <w:trHeight w:val="258"/>
        </w:trPr>
        <w:tc>
          <w:tcPr>
            <w:tcW w:w="554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clearing house</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clearing house</w:t>
            </w:r>
          </w:p>
        </w:tc>
      </w:tr>
      <w:tr>
        <w:trPr>
          <w:trHeight w:val="220"/>
        </w:trPr>
        <w:tc>
          <w:tcPr>
            <w:tcW w:w="420" w:type="dxa"/>
            <w:vAlign w:val="bottom"/>
            <w:tcBorders>
              <w:left w:val="single" w:sz="8" w:color="auto"/>
              <w:bottom w:val="single" w:sz="8" w:color="auto"/>
            </w:tcBorders>
          </w:tcPr>
          <w:p>
            <w:pPr>
              <w:spacing w:after="0"/>
              <w:rPr>
                <w:sz w:val="19"/>
                <w:szCs w:val="19"/>
                <w:color w:val="auto"/>
              </w:rPr>
            </w:pPr>
          </w:p>
        </w:tc>
        <w:tc>
          <w:tcPr>
            <w:tcW w:w="51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r>
      <w:tr>
        <w:trPr>
          <w:trHeight w:val="218"/>
        </w:trPr>
        <w:tc>
          <w:tcPr>
            <w:tcW w:w="420" w:type="dxa"/>
            <w:vAlign w:val="bottom"/>
          </w:tcPr>
          <w:p>
            <w:pPr>
              <w:ind w:left="100"/>
              <w:spacing w:after="0" w:line="218" w:lineRule="exact"/>
              <w:rPr>
                <w:sz w:val="20"/>
                <w:szCs w:val="20"/>
                <w:color w:val="auto"/>
              </w:rPr>
            </w:pPr>
            <w:r>
              <w:rPr>
                <w:rFonts w:ascii="Times New Roman" w:cs="Times New Roman" w:eastAsia="Times New Roman" w:hAnsi="Times New Roman"/>
                <w:sz w:val="20"/>
                <w:szCs w:val="20"/>
                <w:color w:val="auto"/>
              </w:rPr>
              <w:t>10.</w:t>
            </w:r>
          </w:p>
        </w:tc>
        <w:tc>
          <w:tcPr>
            <w:tcW w:w="5120" w:type="dxa"/>
            <w:vAlign w:val="bottom"/>
            <w:tcBorders>
              <w:right w:val="single" w:sz="8" w:color="auto"/>
            </w:tcBorders>
          </w:tcPr>
          <w:p>
            <w:pPr>
              <w:ind w:left="60"/>
              <w:spacing w:after="0" w:line="218" w:lineRule="exact"/>
              <w:rPr>
                <w:sz w:val="20"/>
                <w:szCs w:val="20"/>
                <w:color w:val="auto"/>
              </w:rPr>
            </w:pPr>
            <w:r>
              <w:rPr>
                <w:rFonts w:ascii="Times New Roman" w:cs="Times New Roman" w:eastAsia="Times New Roman" w:hAnsi="Times New Roman"/>
                <w:sz w:val="20"/>
                <w:szCs w:val="20"/>
                <w:color w:val="auto"/>
              </w:rPr>
              <w:t>Petition for bankruptcy of parent company</w:t>
            </w:r>
          </w:p>
        </w:tc>
        <w:tc>
          <w:tcPr>
            <w:tcW w:w="22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auto"/>
              </w:rPr>
              <w:t>7.</w:t>
            </w:r>
          </w:p>
        </w:tc>
        <w:tc>
          <w:tcPr>
            <w:tcW w:w="5260" w:type="dxa"/>
            <w:vAlign w:val="bottom"/>
            <w:tcBorders>
              <w:right w:val="single" w:sz="8" w:color="auto"/>
            </w:tcBorders>
          </w:tcPr>
          <w:p>
            <w:pPr>
              <w:ind w:left="20"/>
              <w:spacing w:after="0" w:line="218" w:lineRule="exact"/>
              <w:rPr>
                <w:sz w:val="20"/>
                <w:szCs w:val="20"/>
                <w:color w:val="auto"/>
              </w:rPr>
            </w:pPr>
            <w:r>
              <w:rPr>
                <w:rFonts w:ascii="Times New Roman" w:cs="Times New Roman" w:eastAsia="Times New Roman" w:hAnsi="Times New Roman"/>
                <w:sz w:val="20"/>
                <w:szCs w:val="20"/>
                <w:color w:val="auto"/>
              </w:rPr>
              <w:t>Petition for bankruptcy of sub-subsidiary</w:t>
            </w:r>
          </w:p>
        </w:tc>
      </w:tr>
      <w:tr>
        <w:trPr>
          <w:trHeight w:val="170"/>
        </w:trPr>
        <w:tc>
          <w:tcPr>
            <w:tcW w:w="420" w:type="dxa"/>
            <w:vAlign w:val="bottom"/>
            <w:tcBorders>
              <w:bottom w:val="single" w:sz="8" w:color="auto"/>
            </w:tcBorders>
          </w:tcPr>
          <w:p>
            <w:pPr>
              <w:spacing w:after="0"/>
              <w:rPr>
                <w:sz w:val="14"/>
                <w:szCs w:val="14"/>
                <w:color w:val="auto"/>
              </w:rPr>
            </w:pPr>
          </w:p>
        </w:tc>
        <w:tc>
          <w:tcPr>
            <w:tcW w:w="512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60" w:type="dxa"/>
            <w:vAlign w:val="bottom"/>
            <w:tcBorders>
              <w:bottom w:val="single" w:sz="8" w:color="auto"/>
              <w:right w:val="single" w:sz="8" w:color="auto"/>
            </w:tcBorders>
          </w:tcPr>
          <w:p>
            <w:pPr>
              <w:spacing w:after="0"/>
              <w:rPr>
                <w:sz w:val="14"/>
                <w:szCs w:val="14"/>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11.</w:t>
            </w:r>
          </w:p>
        </w:tc>
        <w:tc>
          <w:tcPr>
            <w:tcW w:w="51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Potential for default due to occurrence of dishonor concerning</w:t>
            </w:r>
          </w:p>
        </w:tc>
        <w:tc>
          <w:tcPr>
            <w:tcW w:w="22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8.</w:t>
            </w:r>
          </w:p>
        </w:tc>
        <w:tc>
          <w:tcPr>
            <w:tcW w:w="526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Potential for default due to occurrence of dishonor concerning</w:t>
            </w:r>
          </w:p>
        </w:tc>
      </w:tr>
      <w:tr>
        <w:trPr>
          <w:trHeight w:val="258"/>
        </w:trPr>
        <w:tc>
          <w:tcPr>
            <w:tcW w:w="5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debtors or principal debtors of guaranteed obligations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debtors or principal debtors of guaranteed obligations</w:t>
            </w:r>
          </w:p>
        </w:tc>
      </w:tr>
      <w:tr>
        <w:trPr>
          <w:trHeight w:val="413"/>
        </w:trPr>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right w:val="single" w:sz="8" w:color="auto"/>
            </w:tcBorders>
          </w:tcPr>
          <w:p>
            <w:pPr>
              <w:spacing w:after="0"/>
              <w:rPr>
                <w:sz w:val="24"/>
                <w:szCs w:val="24"/>
                <w:color w:val="auto"/>
              </w:rPr>
            </w:pPr>
          </w:p>
        </w:tc>
      </w:tr>
      <w:tr>
        <w:trPr>
          <w:trHeight w:val="252"/>
        </w:trPr>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12.</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9.</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r>
      <w:tr>
        <w:trPr>
          <w:trHeight w:val="403"/>
        </w:trPr>
        <w:tc>
          <w:tcPr>
            <w:tcW w:w="420" w:type="dxa"/>
            <w:vAlign w:val="bottom"/>
            <w:tcBorders>
              <w:bottom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gridSpan w:val="2"/>
          </w:tcPr>
          <w:p>
            <w:pPr>
              <w:spacing w:after="0"/>
              <w:rPr>
                <w:sz w:val="24"/>
                <w:szCs w:val="24"/>
                <w:color w:val="auto"/>
              </w:rPr>
            </w:pPr>
          </w:p>
        </w:tc>
      </w:tr>
      <w:tr>
        <w:trPr>
          <w:trHeight w:val="200"/>
        </w:trPr>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51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Discharge of debt or assumption or payment of a debt by</w:t>
            </w:r>
          </w:p>
        </w:tc>
        <w:tc>
          <w:tcPr>
            <w:tcW w:w="5480" w:type="dxa"/>
            <w:vAlign w:val="bottom"/>
            <w:tcBorders>
              <w:right w:val="single" w:sz="8" w:color="auto"/>
            </w:tcBorders>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rPr>
              <w:t>10. Discharge of debt or assumption or payment of a debt by a</w:t>
            </w:r>
          </w:p>
        </w:tc>
      </w:tr>
      <w:tr>
        <w:trPr>
          <w:trHeight w:val="258"/>
        </w:trPr>
        <w:tc>
          <w:tcPr>
            <w:tcW w:w="55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a third party</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third party</w:t>
            </w:r>
          </w:p>
        </w:tc>
      </w:tr>
      <w:tr>
        <w:trPr>
          <w:trHeight w:val="197"/>
        </w:trPr>
        <w:tc>
          <w:tcPr>
            <w:tcW w:w="420" w:type="dxa"/>
            <w:vAlign w:val="bottom"/>
            <w:tcBorders>
              <w:bottom w:val="single" w:sz="8" w:color="auto"/>
            </w:tcBorders>
          </w:tcPr>
          <w:p>
            <w:pPr>
              <w:spacing w:after="0"/>
              <w:rPr>
                <w:sz w:val="17"/>
                <w:szCs w:val="17"/>
                <w:color w:val="auto"/>
              </w:rPr>
            </w:pPr>
          </w:p>
        </w:tc>
        <w:tc>
          <w:tcPr>
            <w:tcW w:w="5120" w:type="dxa"/>
            <w:vAlign w:val="bottom"/>
            <w:tcBorders>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gridSpan w:val="2"/>
          </w:tcPr>
          <w:p>
            <w:pPr>
              <w:spacing w:after="0"/>
              <w:rPr>
                <w:sz w:val="17"/>
                <w:szCs w:val="17"/>
                <w:color w:val="auto"/>
              </w:rPr>
            </w:pPr>
          </w:p>
        </w:tc>
      </w:tr>
      <w:tr>
        <w:trPr>
          <w:trHeight w:val="252"/>
        </w:trPr>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Discovery of resources</w:t>
            </w:r>
          </w:p>
        </w:tc>
        <w:tc>
          <w:tcPr>
            <w:tcW w:w="54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11. Discovery of resources</w:t>
            </w:r>
          </w:p>
        </w:tc>
      </w:tr>
      <w:tr>
        <w:trPr>
          <w:trHeight w:val="174"/>
        </w:trPr>
        <w:tc>
          <w:tcPr>
            <w:tcW w:w="420" w:type="dxa"/>
            <w:vAlign w:val="bottom"/>
            <w:tcBorders>
              <w:bottom w:val="single" w:sz="8" w:color="auto"/>
            </w:tcBorders>
          </w:tcPr>
          <w:p>
            <w:pPr>
              <w:spacing w:after="0"/>
              <w:rPr>
                <w:sz w:val="15"/>
                <w:szCs w:val="15"/>
                <w:color w:val="auto"/>
              </w:rPr>
            </w:pPr>
          </w:p>
        </w:tc>
        <w:tc>
          <w:tcPr>
            <w:tcW w:w="512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60" w:type="dxa"/>
            <w:vAlign w:val="bottom"/>
            <w:tcBorders>
              <w:bottom w:val="single" w:sz="8" w:color="auto"/>
              <w:right w:val="single" w:sz="8" w:color="auto"/>
            </w:tcBorders>
          </w:tcPr>
          <w:p>
            <w:pPr>
              <w:spacing w:after="0"/>
              <w:rPr>
                <w:sz w:val="15"/>
                <w:szCs w:val="15"/>
                <w:color w:val="auto"/>
              </w:rPr>
            </w:pPr>
          </w:p>
        </w:tc>
      </w:tr>
    </w:tbl>
    <w:p>
      <w:pPr>
        <w:spacing w:after="0" w:line="288" w:lineRule="exact"/>
        <w:rPr>
          <w:sz w:val="20"/>
          <w:szCs w:val="20"/>
          <w:color w:val="auto"/>
        </w:rPr>
      </w:pPr>
    </w:p>
    <w:p>
      <w:pPr>
        <w:ind w:left="860" w:hanging="748"/>
        <w:spacing w:after="0"/>
        <w:tabs>
          <w:tab w:leader="none" w:pos="8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Concerning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988810" cy="130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6988810" cy="130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55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Listed Companies</w:t>
            </w:r>
          </w:p>
        </w:tc>
        <w:tc>
          <w:tcPr>
            <w:tcW w:w="55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ind w:left="480" w:hanging="390"/>
        <w:spacing w:after="0"/>
        <w:tabs>
          <w:tab w:leader="none" w:pos="4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Turnover, ordinary profit or net profit</w:t>
      </w:r>
    </w:p>
    <w:p>
      <w:pPr>
        <w:spacing w:after="0" w:line="193" w:lineRule="exact"/>
        <w:rPr>
          <w:rFonts w:ascii="Times New Roman" w:cs="Times New Roman" w:eastAsia="Times New Roman" w:hAnsi="Times New Roman"/>
          <w:sz w:val="20"/>
          <w:szCs w:val="20"/>
          <w:color w:val="auto"/>
        </w:rPr>
      </w:pPr>
    </w:p>
    <w:p>
      <w:pPr>
        <w:ind w:left="480" w:hanging="390"/>
        <w:spacing w:after="0"/>
        <w:tabs>
          <w:tab w:leader="none" w:pos="4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interim dividends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   Turnover, ordinary profit or net profit of corporate group</w:t>
            </w:r>
          </w:p>
        </w:tc>
        <w:tc>
          <w:tcPr>
            <w:tcW w:w="57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1. Turnover, ordinary profit or net profit</w:t>
            </w:r>
          </w:p>
        </w:tc>
      </w:tr>
      <w:tr>
        <w:trPr>
          <w:trHeight w:val="436"/>
        </w:trPr>
        <w:tc>
          <w:tcPr>
            <w:tcW w:w="5300" w:type="dxa"/>
            <w:vAlign w:val="bottom"/>
          </w:tcPr>
          <w:p>
            <w:pPr>
              <w:spacing w:after="0"/>
              <w:rPr>
                <w:sz w:val="24"/>
                <w:szCs w:val="24"/>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 limited to the case where the subsidiary is a public company</w:t>
            </w:r>
          </w:p>
        </w:tc>
      </w:tr>
    </w:tbl>
    <w:p>
      <w:pPr>
        <w:spacing w:after="0" w:line="205" w:lineRule="exact"/>
        <w:rPr>
          <w:sz w:val="20"/>
          <w:szCs w:val="20"/>
          <w:color w:val="auto"/>
        </w:rPr>
      </w:pPr>
    </w:p>
    <w:p>
      <w:pPr>
        <w:ind w:left="120" w:right="480" w:hanging="3"/>
        <w:spacing w:after="0" w:line="255" w:lineRule="auto"/>
        <w:tabs>
          <w:tab w:leader="none" w:pos="26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Occurrence of any difference from the latest estimate; if the estimate is not announced, occurrence of any difference from the historical data of the previous business year.</w:t>
      </w:r>
    </w:p>
    <w:p>
      <w:pPr>
        <w:sectPr>
          <w:pgSz w:w="11900" w:h="16838" w:orient="portrait"/>
          <w:cols w:equalWidth="0" w:num="1">
            <w:col w:w="11020"/>
          </w:cols>
          <w:pgMar w:left="440" w:top="1399" w:right="439" w:bottom="1440" w:gutter="0" w:footer="0" w:header="0"/>
        </w:sectPr>
      </w:pPr>
    </w:p>
    <w:p>
      <w:pPr>
        <w:spacing w:after="0" w:line="193" w:lineRule="exact"/>
        <w:rPr>
          <w:sz w:val="20"/>
          <w:szCs w:val="20"/>
          <w:color w:val="auto"/>
        </w:rPr>
      </w:pPr>
    </w:p>
    <w:p>
      <w:pPr>
        <w:ind w:left="860" w:hanging="748"/>
        <w:spacing w:after="0"/>
        <w:tabs>
          <w:tab w:leader="none" w:pos="8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Provisions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Listed Companies</w:t>
      </w:r>
    </w:p>
    <w:p>
      <w:pPr>
        <w:spacing w:after="0" w:line="27" w:lineRule="exact"/>
        <w:rPr>
          <w:sz w:val="20"/>
          <w:szCs w:val="20"/>
          <w:color w:val="auto"/>
        </w:rPr>
      </w:pPr>
    </w:p>
    <w:p>
      <w:pPr>
        <w:ind w:left="100"/>
        <w:spacing w:after="0" w:line="279"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Subsidiaries of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-141605</wp:posOffset>
            </wp:positionV>
            <wp:extent cx="6988810" cy="8851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6988810" cy="885190"/>
                    </a:xfrm>
                    <a:prstGeom prst="rect">
                      <a:avLst/>
                    </a:prstGeom>
                    <a:noFill/>
                  </pic:spPr>
                </pic:pic>
              </a:graphicData>
            </a:graphic>
          </wp:anchor>
        </w:drawing>
      </w:r>
    </w:p>
    <w:p>
      <w:pPr>
        <w:spacing w:after="0" w:line="8"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0" w:lineRule="exact"/>
        <w:rPr>
          <w:sz w:val="20"/>
          <w:szCs w:val="20"/>
          <w:color w:val="auto"/>
        </w:rPr>
      </w:pPr>
    </w:p>
    <w:p>
      <w:pPr>
        <w:sectPr>
          <w:pgSz w:w="11900" w:h="16838" w:orient="portrait"/>
          <w:cols w:equalWidth="0" w:num="2">
            <w:col w:w="5200" w:space="380"/>
            <w:col w:w="5440"/>
          </w:cols>
          <w:pgMar w:left="440" w:top="139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0" w:hanging="748"/>
        <w:spacing w:after="0"/>
        <w:tabs>
          <w:tab w:leader="none" w:pos="8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Takeover bids or any act similar thereto (Article 167 of the 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634365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399" w:right="439" w:bottom="1440" w:gutter="0" w:footer="0" w:header="0"/>
          <w:type w:val="continuous"/>
        </w:sectPr>
      </w:pPr>
    </w:p>
    <w:bookmarkStart w:id="117" w:name="page118"/>
    <w:bookmarkEnd w:id="117"/>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Requirements for Rule 10b5-1 Trading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Rule 10b5-1 “trading plan” involving purchases or sales of the Company’s securities must comply with the requirements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 10b5-1 and must meet the following requirements:</w:t>
      </w:r>
    </w:p>
    <w:p>
      <w:pPr>
        <w:spacing w:after="0" w:line="182" w:lineRule="exact"/>
        <w:rPr>
          <w:sz w:val="20"/>
          <w:szCs w:val="20"/>
          <w:color w:val="auto"/>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in writing and signed by the person adopting the trading plan.</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adopted at a time when:</w:t>
      </w:r>
    </w:p>
    <w:p>
      <w:pPr>
        <w:spacing w:after="0" w:line="9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is not aware of any material non-public information (“</w:t>
      </w:r>
      <w:r>
        <w:rPr>
          <w:rFonts w:ascii="Times New Roman" w:cs="Times New Roman" w:eastAsia="Times New Roman" w:hAnsi="Times New Roman"/>
          <w:sz w:val="22"/>
          <w:szCs w:val="22"/>
          <w:b w:val="1"/>
          <w:bCs w:val="1"/>
          <w:color w:val="auto"/>
        </w:rPr>
        <w:t>MNPI</w:t>
      </w:r>
      <w:r>
        <w:rPr>
          <w:rFonts w:ascii="Times New Roman" w:cs="Times New Roman" w:eastAsia="Times New Roman" w:hAnsi="Times New Roman"/>
          <w:sz w:val="22"/>
          <w:szCs w:val="22"/>
          <w:color w:val="auto"/>
        </w:rPr>
        <w:t>”); and</w:t>
      </w:r>
    </w:p>
    <w:p>
      <w:pPr>
        <w:spacing w:after="0" w:line="102"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quarterly, special or other trading blackout in effect with respect to the person adopting the trading plan.</w:t>
      </w:r>
    </w:p>
    <w:p>
      <w:pPr>
        <w:spacing w:after="0" w:line="158" w:lineRule="exact"/>
        <w:rPr>
          <w:rFonts w:ascii="Times New Roman" w:cs="Times New Roman" w:eastAsia="Times New Roman" w:hAnsi="Times New Roman"/>
          <w:sz w:val="22"/>
          <w:szCs w:val="22"/>
          <w:color w:val="auto"/>
        </w:rPr>
      </w:pPr>
    </w:p>
    <w:p>
      <w:pPr>
        <w:ind w:left="760" w:hanging="378"/>
        <w:spacing w:after="0" w:line="285" w:lineRule="exact"/>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entered in good faith and not as part of a plan or scheme to evade the prohibitions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the individual adopting the trading plan must act in good faith with respect to the plan through its duration.</w:t>
      </w:r>
    </w:p>
    <w:p>
      <w:pPr>
        <w:spacing w:after="0" w:line="146"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directors and Section 16 officers of the Company (i.e., all persons listed on Exhibit C of this Policy) must represent in a trading plan at the time of its adoption (or modification) that (a) they are not aware of any MNPI about the Company or its securities, and (b) they are adopting (or modifying) the trading plan in good faith and not as part of a plan or scheme to evade the prohibitions of Rule 10b5-1.</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3"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trading plan may not occur until:</w:t>
      </w:r>
    </w:p>
    <w:p>
      <w:pPr>
        <w:spacing w:after="0" w:line="206" w:lineRule="exact"/>
        <w:rPr>
          <w:rFonts w:ascii="Times New Roman" w:cs="Times New Roman" w:eastAsia="Times New Roman" w:hAnsi="Times New Roman"/>
          <w:sz w:val="22"/>
          <w:szCs w:val="22"/>
          <w:color w:val="auto"/>
        </w:rPr>
      </w:pPr>
    </w:p>
    <w:p>
      <w:pPr>
        <w:jc w:val="both"/>
        <w:ind w:left="1500" w:hanging="369"/>
        <w:spacing w:after="0" w:line="239" w:lineRule="auto"/>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Section 16 officers of the Company (i.e., all persons listed on Exhibit C of this Policy), the later of (a) 90 calendar days after adoption of the trading plan or (b) two business days following the filing of the Form 10-Q or Form 10-K for the fiscal quarter in which the plan was adopted (but in any event, no more than 120 calendar days after the adoption of the trading plan).</w:t>
      </w:r>
    </w:p>
    <w:p>
      <w:pPr>
        <w:spacing w:after="0" w:line="180"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persons, 30 calendar days after adoption of the trading plan.</w:t>
      </w:r>
    </w:p>
    <w:p>
      <w:pPr>
        <w:spacing w:after="0" w:line="206"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term of one year and a maximum term of two years (measured from the date the plan is effective). There is a limitation of one single-trade plan during any consecutive 12-month period.</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cannot overlap with another Rule 10b5-1 trading plan, unless one of the following exceptions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1" w:lineRule="exact"/>
        <w:rPr>
          <w:sz w:val="20"/>
          <w:szCs w:val="20"/>
          <w:color w:val="auto"/>
        </w:rPr>
      </w:pPr>
    </w:p>
    <w:p>
      <w:pPr>
        <w:jc w:val="both"/>
        <w:ind w:left="1118" w:right="20" w:hanging="369"/>
        <w:spacing w:after="0" w:line="239"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pacing w:after="0" w:line="180" w:lineRule="exact"/>
        <w:rPr>
          <w:rFonts w:ascii="Times New Roman" w:cs="Times New Roman" w:eastAsia="Times New Roman" w:hAnsi="Times New Roman"/>
          <w:sz w:val="22"/>
          <w:szCs w:val="22"/>
          <w:color w:val="auto"/>
        </w:rPr>
      </w:pPr>
    </w:p>
    <w:p>
      <w:pPr>
        <w:ind w:left="1118" w:right="20"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of separate contracts with different broker-dealers that effectively function as a single trading plan are not considered overlapping plans.</w:t>
      </w:r>
    </w:p>
    <w:p>
      <w:pPr>
        <w:spacing w:after="0" w:line="158" w:lineRule="exact"/>
        <w:rPr>
          <w:rFonts w:ascii="Times New Roman" w:cs="Times New Roman" w:eastAsia="Times New Roman" w:hAnsi="Times New Roman"/>
          <w:sz w:val="22"/>
          <w:szCs w:val="22"/>
          <w:color w:val="auto"/>
        </w:rPr>
      </w:pPr>
    </w:p>
    <w:p>
      <w:pPr>
        <w:jc w:val="both"/>
        <w:ind w:left="1118" w:hanging="369"/>
        <w:spacing w:after="0" w:line="249" w:lineRule="auto"/>
        <w:tabs>
          <w:tab w:leader="none" w:pos="111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existing trading plan is terminated early (i.e., before its scheduled completion date), then the applicable cooling-off period for the new trading plan must run from the date of the termination of the existing trading plan.</w:t>
      </w:r>
    </w:p>
    <w:p>
      <w:pPr>
        <w:spacing w:after="0" w:line="170" w:lineRule="exact"/>
        <w:rPr>
          <w:rFonts w:ascii="Times New Roman" w:cs="Times New Roman" w:eastAsia="Times New Roman" w:hAnsi="Times New Roman"/>
          <w:sz w:val="21"/>
          <w:szCs w:val="21"/>
          <w:color w:val="auto"/>
        </w:rPr>
      </w:pPr>
    </w:p>
    <w:p>
      <w:pPr>
        <w:ind w:left="378" w:right="20" w:hanging="378"/>
        <w:spacing w:after="0" w:line="284" w:lineRule="auto"/>
        <w:tabs>
          <w:tab w:leader="none" w:pos="43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material modifications (where such modifications change the amount, price or timing of the purchase or sale of securities pursuant to the plan, but does not include immaterial modifications):</w:t>
      </w:r>
    </w:p>
    <w:p>
      <w:pPr>
        <w:spacing w:after="0" w:line="22" w:lineRule="exact"/>
        <w:rPr>
          <w:rFonts w:ascii="Times New Roman" w:cs="Times New Roman" w:eastAsia="Times New Roman" w:hAnsi="Times New Roman"/>
          <w:sz w:val="22"/>
          <w:szCs w:val="22"/>
          <w:color w:val="auto"/>
        </w:rPr>
      </w:pPr>
    </w:p>
    <w:p>
      <w:pPr>
        <w:ind w:left="1118" w:hanging="369"/>
        <w:spacing w:after="0"/>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 person modifying the trading plan is not aware of MNPI.</w:t>
      </w:r>
    </w:p>
    <w:p>
      <w:pPr>
        <w:spacing w:after="0" w:line="98"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there is no quarterly, special or other blackout in effect with respect to the person modifying the plan.</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modified trading plan may only occur in accordance with the cooling off periods noted in item 6 above. The existing plan would remain in effect until the modified plan comes into effect.</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modified trading plan must have a minimum duration of one year and a maximum term of two years (measured from the date the plan is effective).</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only modify a trading plan once in a one-year period.</w:t>
      </w:r>
    </w:p>
    <w:p>
      <w:pPr>
        <w:spacing w:after="0" w:line="206"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that adopted the trading plan terminates the plan prior to its stated duration, he or she may not trade in the Company’s securities until the cooling off periods noted in item 6 above have been met.</w:t>
      </w:r>
    </w:p>
    <w:p>
      <w:pPr>
        <w:spacing w:after="0" w:line="158"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be promptly notified of any modification or termination of the trading plan, including any suspension of trading under the plan.</w:t>
      </w:r>
    </w:p>
    <w:p>
      <w:pPr>
        <w:spacing w:after="0" w:line="158"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trading plan grants discretion to a stockbroker or other person with respect to the execution of trades under the plan:</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made under the trading plan must be executed by someone other than the stockbroker or other person that executes trades in other securities for the person adopting the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593725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19" w:name="page120"/>
    <w:bookmarkEnd w:id="119"/>
    <w:p>
      <w:pPr>
        <w:spacing w:after="0" w:line="63" w:lineRule="exact"/>
        <w:rPr>
          <w:sz w:val="20"/>
          <w:szCs w:val="20"/>
          <w:color w:val="auto"/>
        </w:rPr>
      </w:pPr>
    </w:p>
    <w:p>
      <w:pPr>
        <w:ind w:left="1118" w:hanging="369"/>
        <w:spacing w:after="0" w:line="258" w:lineRule="auto"/>
        <w:tabs>
          <w:tab w:leader="none" w:pos="111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may not confer with the person administering the trading plan regarding the Company or its securities; and</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administering the trading plan must provide prompt notice to the Company of the execution of a transaction pursuant to the plan.</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under the trading plan must be in accordance with applicable law.</w:t>
      </w:r>
    </w:p>
    <w:p>
      <w:pPr>
        <w:spacing w:after="0" w:line="202" w:lineRule="exact"/>
        <w:rPr>
          <w:rFonts w:ascii="Times New Roman" w:cs="Times New Roman" w:eastAsia="Times New Roman" w:hAnsi="Times New Roman"/>
          <w:sz w:val="22"/>
          <w:szCs w:val="22"/>
          <w:color w:val="auto"/>
        </w:rPr>
      </w:pPr>
    </w:p>
    <w:p>
      <w:pPr>
        <w:ind w:left="378" w:hanging="378"/>
        <w:spacing w:after="0" w:line="262" w:lineRule="auto"/>
        <w:tabs>
          <w:tab w:leader="none" w:pos="3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trading plan (including any modified trading plan) must meet such other requirements as the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OFFICER </w:t>
      </w:r>
      <w:r>
        <w:rPr>
          <w:rFonts w:ascii="Times New Roman" w:cs="Times New Roman" w:eastAsia="Times New Roman" w:hAnsi="Times New Roman"/>
          <w:sz w:val="22"/>
          <w:szCs w:val="22"/>
          <w:color w:val="auto"/>
        </w:rPr>
        <w:t>may determine.</w:t>
      </w:r>
    </w:p>
    <w:p>
      <w:pPr>
        <w:spacing w:after="0" w:line="149"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xml:space="preserve"> must approve and keep a copy of each adopted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626745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20" w:name="page121"/>
    <w:bookmarkEnd w:id="120"/>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4275 Executive Square, Suite 650 La Jolla, CA 92037</w:t>
      </w:r>
    </w:p>
    <w:p>
      <w:pPr>
        <w:spacing w:after="0" w:line="207" w:lineRule="exact"/>
        <w:rPr>
          <w:sz w:val="20"/>
          <w:szCs w:val="20"/>
          <w:color w:val="auto"/>
        </w:rPr>
      </w:pPr>
    </w:p>
    <w:p>
      <w:pPr>
        <w:ind w:right="460" w:firstLine="469"/>
        <w:spacing w:after="0" w:line="269" w:lineRule="auto"/>
        <w:rPr>
          <w:sz w:val="20"/>
          <w:szCs w:val="20"/>
          <w:color w:val="auto"/>
        </w:rPr>
      </w:pPr>
      <w:r>
        <w:rPr>
          <w:rFonts w:ascii="Times New Roman" w:cs="Times New Roman" w:eastAsia="Times New Roman" w:hAnsi="Times New Roman"/>
          <w:sz w:val="20"/>
          <w:szCs w:val="20"/>
          <w:color w:val="auto"/>
        </w:rPr>
        <w:t>Re: Certification of the MediciNova, Inc. Statement of Company Policy on Securities Trades by Company Personnel and Confidential Information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Dear Employee, Board Member, Consultant, Advisor or Contractor to the Company:</w:t>
      </w:r>
    </w:p>
    <w:p>
      <w:pPr>
        <w:spacing w:after="0" w:line="229"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20"/>
          <w:szCs w:val="20"/>
          <w:color w:val="auto"/>
        </w:rPr>
        <w:t>Enclosed is a copy of the MediciNova, Inc. Statement of Company Policy covering securities trades by company personnel and designated insiders and safeguarding confidential information. As you will see from the Statement of Company Policy, the consequences of an insider trading violation can be severe to both the individual involved and the Company.</w:t>
      </w:r>
    </w:p>
    <w:p>
      <w:pPr>
        <w:spacing w:after="0" w:line="188" w:lineRule="exact"/>
        <w:rPr>
          <w:sz w:val="20"/>
          <w:szCs w:val="20"/>
          <w:color w:val="auto"/>
        </w:rPr>
      </w:pPr>
    </w:p>
    <w:p>
      <w:pPr>
        <w:ind w:right="20" w:firstLine="469"/>
        <w:spacing w:after="0" w:line="269" w:lineRule="auto"/>
        <w:rPr>
          <w:sz w:val="20"/>
          <w:szCs w:val="20"/>
          <w:color w:val="auto"/>
        </w:rPr>
      </w:pPr>
      <w:r>
        <w:rPr>
          <w:rFonts w:ascii="Times New Roman" w:cs="Times New Roman" w:eastAsia="Times New Roman" w:hAnsi="Times New Roman"/>
          <w:sz w:val="20"/>
          <w:szCs w:val="20"/>
          <w:color w:val="auto"/>
        </w:rPr>
        <w:t>Please take a few minutes now to read the enclosed Statement of Company Policy and then sign and return the attached copy of this letter.</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Yuichi Iwaki</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ACKNOWLEDGMENT</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that he/she has read and understands, and agrees to comply with, the Statement of Company Policy covering securities trades by Company personnel and designated insiders and safeguarding confidential information, a copy of which was distributed with this letter.</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-10795</wp:posOffset>
            </wp:positionV>
            <wp:extent cx="6388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638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-10795</wp:posOffset>
            </wp:positionV>
            <wp:extent cx="9594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959485" cy="8890"/>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621665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-24765</wp:posOffset>
            </wp:positionV>
            <wp:extent cx="8934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893445" cy="8255"/>
                    </a:xfrm>
                    <a:prstGeom prst="rect">
                      <a:avLst/>
                    </a:prstGeom>
                    <a:noFill/>
                  </pic:spPr>
                </pic:pic>
              </a:graphicData>
            </a:graphic>
          </wp:anchor>
        </w:drawing>
      </w:r>
    </w:p>
    <w:p>
      <w:pPr>
        <w:sectPr>
          <w:pgSz w:w="11900" w:h="16838" w:orient="portrait"/>
          <w:cols w:equalWidth="0" w:num="1">
            <w:col w:w="10600"/>
          </w:cols>
          <w:pgMar w:left="600" w:top="1440" w:right="699" w:bottom="1440" w:gutter="0" w:footer="0" w:header="0"/>
        </w:sectPr>
      </w:pPr>
    </w:p>
    <w:bookmarkStart w:id="121" w:name="page122"/>
    <w:bookmarkEnd w:id="121"/>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333-267094, 333-252592 and 333-214830) and Form S-8 (No. 333-264938, 333-232239, 333-219491, 333-190490, 333-151808, 333-141694 and 333-122665) of MediciNova, Inc. of our report dated February 19, 2025, relating to the consolidated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1407795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2" w:name="page123"/>
    <w:bookmarkEnd w:id="12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3" w:name="page124"/>
    <w:bookmarkEnd w:id="12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Jason Kruger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4" w:name="page125"/>
    <w:bookmarkEnd w:id="124"/>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2024,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Yuichi Iwaki</w:t>
            </w:r>
          </w:p>
        </w:tc>
      </w:tr>
      <w:tr>
        <w:trPr>
          <w:trHeight w:val="191"/>
        </w:trPr>
        <w:tc>
          <w:tcPr>
            <w:tcW w:w="6740" w:type="dxa"/>
            <w:vAlign w:val="bottom"/>
          </w:tcPr>
          <w:p>
            <w:pPr>
              <w:spacing w:after="0"/>
              <w:rPr>
                <w:sz w:val="16"/>
                <w:szCs w:val="16"/>
                <w:color w:val="auto"/>
              </w:rPr>
            </w:pP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Yuichi Iwaki, M.D., Ph.D.</w:t>
            </w:r>
          </w:p>
        </w:tc>
      </w:tr>
      <w:tr>
        <w:trPr>
          <w:trHeight w:val="214"/>
        </w:trPr>
        <w:tc>
          <w:tcPr>
            <w:tcW w:w="67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67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2024, as filed with the Securities and Exchange Commission on the date hereof (the “Report”),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Jason Kruger, as Chief Financial Officer of the Company, certify, pursuant to 18 U.S.C. Section 1350, as adopted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my knowledge:</w:t>
      </w:r>
    </w:p>
    <w:p>
      <w:pPr>
        <w:spacing w:after="0" w:line="99" w:lineRule="exact"/>
        <w:rPr>
          <w:sz w:val="20"/>
          <w:szCs w:val="20"/>
          <w:color w:val="auto"/>
        </w:rPr>
      </w:pPr>
    </w:p>
    <w:p>
      <w:pPr>
        <w:ind w:left="700" w:hanging="183"/>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Kruger</w:t>
            </w:r>
          </w:p>
        </w:tc>
      </w:tr>
      <w:tr>
        <w:trPr>
          <w:trHeight w:val="191"/>
        </w:trPr>
        <w:tc>
          <w:tcPr>
            <w:tcW w:w="6760" w:type="dxa"/>
            <w:vAlign w:val="bottom"/>
          </w:tcPr>
          <w:p>
            <w:pPr>
              <w:spacing w:after="0"/>
              <w:rPr>
                <w:sz w:val="16"/>
                <w:szCs w:val="16"/>
                <w:color w:val="auto"/>
              </w:rPr>
            </w:pPr>
          </w:p>
        </w:tc>
        <w:tc>
          <w:tcPr>
            <w:tcW w:w="4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Jason Kruger</w:t>
            </w:r>
          </w:p>
        </w:tc>
      </w:tr>
      <w:tr>
        <w:trPr>
          <w:trHeight w:val="214"/>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7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4"/>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3"/>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21"/>
    </w:lvl>
  </w:abstractNum>
  <w:abstractNum w:abstractNumId="48">
    <w:nsid w:val="5DC79EA8"/>
    <w:multiLevelType w:val="hybridMultilevel"/>
    <w:lvl w:ilvl="0">
      <w:lvlJc w:val="left"/>
      <w:lvlText w:val="%1"/>
      <w:numFmt w:val="decimal"/>
      <w:start w:val="101"/>
    </w:lvl>
  </w:abstractNum>
  <w:abstractNum w:abstractNumId="49">
    <w:nsid w:val="540A471C"/>
    <w:multiLevelType w:val="hybridMultilevel"/>
    <w:lvl w:ilvl="0">
      <w:lvlJc w:val="left"/>
      <w:lvlText w:val="†"/>
      <w:numFmt w:val="bullet"/>
      <w:start w:val="1"/>
    </w:lvl>
    <w:lvl w:ilvl="1">
      <w:lvlJc w:val="left"/>
      <w:lvlText w:val="%2"/>
      <w:numFmt w:val="decimal"/>
      <w:start w:val="104"/>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decimal"/>
      <w:start w:val="2"/>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3"/>
    </w:lvl>
  </w:abstractNum>
  <w:abstractNum w:abstractNumId="56">
    <w:nsid w:val="A0382C5"/>
    <w:multiLevelType w:val="hybridMultilevel"/>
    <w:lvl w:ilvl="0">
      <w:lvlJc w:val="left"/>
      <w:lvlText w:val=" "/>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1."/>
      <w:numFmt w:val="decimal"/>
      <w:start w:val="4"/>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5"/>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5"/>
    </w:lvl>
  </w:abstractNum>
  <w:abstractNum w:abstractNumId="64">
    <w:nsid w:val="14330624"/>
    <w:multiLevelType w:val="hybridMultilevel"/>
    <w:lvl w:ilvl="0">
      <w:lvlJc w:val="left"/>
      <w:lvlText w:val="%1."/>
      <w:numFmt w:val="upperLetter"/>
      <w:start w:val="1"/>
    </w:lvl>
  </w:abstractNum>
  <w:abstractNum w:abstractNumId="65">
    <w:nsid w:val="7FFFCA11"/>
    <w:multiLevelType w:val="hybridMultilevel"/>
    <w:lvl w:ilvl="0">
      <w:lvlJc w:val="left"/>
      <w:lvlText w:val="(%1)"/>
      <w:numFmt w:val="lowerRoman"/>
      <w:start w:val="3"/>
    </w:lvl>
  </w:abstractNum>
  <w:abstractNum w:abstractNumId="66">
    <w:nsid w:val="1A27709E"/>
    <w:multiLevelType w:val="hybridMultilevel"/>
    <w:lvl w:ilvl="0">
      <w:lvlJc w:val="left"/>
      <w:lvlText w:val="%1."/>
      <w:numFmt w:val="upperLetter"/>
      <w:start w:val="2"/>
    </w:lvl>
  </w:abstractNum>
  <w:abstractNum w:abstractNumId="67">
    <w:nsid w:val="71EA1109"/>
    <w:multiLevelType w:val="hybridMultilevel"/>
    <w:lvl w:ilvl="0">
      <w:lvlJc w:val="left"/>
      <w:lvlText w:val="%1."/>
      <w:numFmt w:val="upperLetter"/>
      <w:start w:val="3"/>
    </w:lvl>
  </w:abstractNum>
  <w:abstractNum w:abstractNumId="68">
    <w:nsid w:val="100F59DC"/>
    <w:multiLevelType w:val="hybridMultilevel"/>
    <w:lvl w:ilvl="0">
      <w:lvlJc w:val="left"/>
      <w:lvlText w:val="%1."/>
      <w:numFmt w:val="upperLetter"/>
      <w:start w:val="4"/>
    </w:lvl>
  </w:abstractNum>
  <w:abstractNum w:abstractNumId="69">
    <w:nsid w:val="7FB7E0AA"/>
    <w:multiLevelType w:val="hybridMultilevel"/>
    <w:lvl w:ilvl="0">
      <w:lvlJc w:val="left"/>
      <w:lvlText w:val="%1."/>
      <w:numFmt w:val="upperLetter"/>
      <w:start w:val="5"/>
    </w:lvl>
  </w:abstractNum>
  <w:abstractNum w:abstractNumId="70">
    <w:nsid w:val="6EB5BD4"/>
    <w:multiLevelType w:val="hybridMultilevel"/>
    <w:lvl w:ilvl="0">
      <w:lvlJc w:val="left"/>
      <w:lvlText w:val="%1."/>
      <w:numFmt w:val="upperLetter"/>
      <w:start w:val="6"/>
    </w:lvl>
  </w:abstractNum>
  <w:abstractNum w:abstractNumId="71">
    <w:nsid w:val="6F6DD9AC"/>
    <w:multiLevelType w:val="hybridMultilevel"/>
    <w:lvl w:ilvl="0">
      <w:lvlJc w:val="left"/>
      <w:lvlText w:val="%1."/>
      <w:numFmt w:val="upperLetter"/>
      <w:start w:val="7"/>
    </w:lvl>
  </w:abstractNum>
  <w:abstractNum w:abstractNumId="72">
    <w:nsid w:val="94211F2"/>
    <w:multiLevelType w:val="hybridMultilevel"/>
    <w:lvl w:ilvl="0">
      <w:lvlJc w:val="left"/>
      <w:lvlText w:val="%1."/>
      <w:numFmt w:val="decimal"/>
      <w:start w:val="6"/>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emdash "/>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decimal"/>
      <w:start w:val="7"/>
    </w:lvl>
  </w:abstractNum>
  <w:abstractNum w:abstractNumId="78">
    <w:nsid w:val="3222E7CD"/>
    <w:multiLevelType w:val="hybridMultilevel"/>
    <w:lvl w:ilvl="0">
      <w:lvlJc w:val="left"/>
      <w:lvlText w:val="%1."/>
      <w:numFmt w:val="decimal"/>
      <w:start w:val="8"/>
    </w:lvl>
  </w:abstractNum>
  <w:abstractNum w:abstractNumId="79">
    <w:nsid w:val="74DE0EE3"/>
    <w:multiLevelType w:val="hybridMultilevel"/>
    <w:lvl w:ilvl="0">
      <w:lvlJc w:val="left"/>
      <w:lvlText w:val="%1."/>
      <w:numFmt w:val="decimal"/>
      <w:start w:val="9"/>
    </w:lvl>
  </w:abstractNum>
  <w:abstractNum w:abstractNumId="80">
    <w:nsid w:val="68EBC550"/>
    <w:multiLevelType w:val="hybridMultilevel"/>
    <w:lvl w:ilvl="0">
      <w:lvlJc w:val="left"/>
      <w:lvlText w:val="%1."/>
      <w:numFmt w:val="decimal"/>
      <w:start w:val="10"/>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1."/>
      <w:numFmt w:val="decimal"/>
      <w:start w:val="2"/>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2"/>
    </w:lvl>
  </w:abstractNum>
  <w:abstractNum w:abstractNumId="87">
    <w:nsid w:val="43F18422"/>
    <w:multiLevelType w:val="hybridMultilevel"/>
    <w:lvl w:ilvl="0">
      <w:lvlJc w:val="left"/>
      <w:lvlText w:val="%1."/>
      <w:numFmt w:val="decimal"/>
      <w:start w:val="3"/>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1."/>
      <w:numFmt w:val="decimal"/>
      <w:start w:val="4"/>
    </w:lvl>
  </w:abstractNum>
  <w:abstractNum w:abstractNumId="91">
    <w:nsid w:val="49DA307D"/>
    <w:multiLevelType w:val="hybridMultilevel"/>
    <w:lvl w:ilvl="0">
      <w:lvlJc w:val="left"/>
      <w:lvlText w:val="%1."/>
      <w:numFmt w:val="decimal"/>
      <w:start w:val="5"/>
    </w:lvl>
  </w:abstractNum>
  <w:abstractNum w:abstractNumId="92">
    <w:nsid w:val="7055A5F5"/>
    <w:multiLevelType w:val="hybridMultilevel"/>
    <w:lvl w:ilvl="0">
      <w:lvlJc w:val="left"/>
      <w:lvlText w:val="%1."/>
      <w:numFmt w:val="decimal"/>
      <w:start w:val="1"/>
    </w:lvl>
    <w:lvl w:ilvl="1">
      <w:lvlJc w:val="left"/>
      <w:lvlText w:val="•"/>
      <w:numFmt w:val="bullet"/>
      <w:start w:val="1"/>
    </w:lvl>
  </w:abstractNum>
  <w:abstractNum w:abstractNumId="93">
    <w:nsid w:val="5FB8370B"/>
    <w:multiLevelType w:val="hybridMultilevel"/>
    <w:lvl w:ilvl="0">
      <w:lvlJc w:val="left"/>
      <w:lvlText w:val="%1."/>
      <w:numFmt w:val="decimal"/>
      <w:start w:val="8"/>
    </w:lvl>
    <w:lvl w:ilvl="1">
      <w:lvlJc w:val="left"/>
      <w:lvlText w:val="•"/>
      <w:numFmt w:val="bullet"/>
      <w:start w:val="1"/>
    </w:lvl>
  </w:abstractNum>
  <w:abstractNum w:abstractNumId="94">
    <w:nsid w:val="50801EE1"/>
    <w:multiLevelType w:val="hybridMultilevel"/>
    <w:lvl w:ilvl="0">
      <w:lvlJc w:val="left"/>
      <w:lvlText w:val="%1."/>
      <w:numFmt w:val="decimal"/>
      <w:start w:val="13"/>
    </w:lvl>
    <w:lvl w:ilvl="1">
      <w:lvlJc w:val="left"/>
      <w:lvlText w:val="•"/>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17" Type="http://schemas.openxmlformats.org/officeDocument/2006/relationships/hyperlink" Target="https://www.sec.gov/Archives/edgar/data/1226616/000119312512347932/d344794dex31.htm" TargetMode="External"/><Relationship Id="rId218" Type="http://schemas.openxmlformats.org/officeDocument/2006/relationships/hyperlink" Target="https://www.sec.gov/Archives/edgar/data/1226616/000119312504164964/dex34.htm" TargetMode="External"/><Relationship Id="rId219" Type="http://schemas.openxmlformats.org/officeDocument/2006/relationships/hyperlink" Target="https://www.sec.gov/Archives/edgar/data/1226616/000119312507033031/dex41.htm" TargetMode="External"/><Relationship Id="rId220" Type="http://schemas.openxmlformats.org/officeDocument/2006/relationships/hyperlink" Target="https://www.sec.gov/Archives/edgar/data/1226616/000119312504164964/dex42.htm" TargetMode="External"/><Relationship Id="rId221" Type="http://schemas.openxmlformats.org/officeDocument/2006/relationships/hyperlink" Target="https://www.sec.gov/Archives/edgar/data/1226616/000156459021006771/mnov-ex4_185.htm" TargetMode="External"/><Relationship Id="rId222" Type="http://schemas.openxmlformats.org/officeDocument/2006/relationships/hyperlink" Target="https://www.sec.gov/Archives/edgar/data/1226616/000119312513132600/d448827dex103.htm" TargetMode="External"/><Relationship Id="rId223" Type="http://schemas.openxmlformats.org/officeDocument/2006/relationships/hyperlink" Target="https://www.sec.gov/Archives/edgar/data/1226616/000119312507053569/ddef14a.htm" TargetMode="External"/><Relationship Id="rId224" Type="http://schemas.openxmlformats.org/officeDocument/2006/relationships/hyperlink" Target="https://www.sec.gov/Archives/edgar/data/1226616/000119312514118744/d652763dex1023.htm" TargetMode="External"/><Relationship Id="rId225" Type="http://schemas.openxmlformats.org/officeDocument/2006/relationships/hyperlink" Target="https://www.sec.gov/Archives/edgar/data/1226616/000156459017014096/mnov-ex101_306.htm" TargetMode="External"/><Relationship Id="rId226" Type="http://schemas.openxmlformats.org/officeDocument/2006/relationships/hyperlink" Target="https://www.sec.gov/Archives/edgar/data/1226616/000119312513433171/d595996dex103.htm" TargetMode="External"/><Relationship Id="rId227" Type="http://schemas.openxmlformats.org/officeDocument/2006/relationships/hyperlink" Target="https://www.sec.gov/Archives/edgar/data/1226616/000119312524011273/d112285dex991.htm" TargetMode="External"/><Relationship Id="rId230" Type="http://schemas.openxmlformats.org/officeDocument/2006/relationships/hyperlink" Target="https://www.sec.gov/Archives/edgar/data/1226616/000119312507074153/dex101.htm" TargetMode="External"/><Relationship Id="rId231" Type="http://schemas.openxmlformats.org/officeDocument/2006/relationships/hyperlink" Target="https://www.sec.gov/Archives/edgar/data/1226616/000119312511001216/dex101.htm" TargetMode="External"/><Relationship Id="rId232" Type="http://schemas.openxmlformats.org/officeDocument/2006/relationships/hyperlink" Target="https://www.sec.gov/Archives/edgar/data/1226616/000119312514308545/d745670dex102.htm" TargetMode="External"/><Relationship Id="rId233" Type="http://schemas.openxmlformats.org/officeDocument/2006/relationships/hyperlink" Target="https://www.sec.gov/Archives/edgar/data/1226616/000119312514308545/d745670dex104.htm" TargetMode="External"/><Relationship Id="rId234" Type="http://schemas.openxmlformats.org/officeDocument/2006/relationships/hyperlink" Target="https://www.sec.gov/Archives/edgar/data/1226616/000119312514308545/d745670dex105.htm" TargetMode="External"/><Relationship Id="rId235" Type="http://schemas.openxmlformats.org/officeDocument/2006/relationships/hyperlink" Target="https://www.sec.gov/Archives/edgar/data/1226616/000095017024094092/mnov-ex10_1.htm" TargetMode="External"/><Relationship Id="rId236" Type="http://schemas.openxmlformats.org/officeDocument/2006/relationships/hyperlink" Target="https://www.sec.gov/Archives/edgar/data/0001226616/000119312521222985/d159893dex991.htm" TargetMode="External"/><Relationship Id="rId237" Type="http://schemas.openxmlformats.org/officeDocument/2006/relationships/hyperlink" Target="https://www.sec.gov/Archives/edgar/data/932903/000114544306000811/d18787ex10-58.htm" TargetMode="External"/><Relationship Id="rId238" Type="http://schemas.openxmlformats.org/officeDocument/2006/relationships/hyperlink" Target="https://www.sec.gov/Archives/edgar/data/0001226616/000119312521006833/d931163dex101.htm" TargetMode="External"/><Relationship Id="rId239" Type="http://schemas.openxmlformats.org/officeDocument/2006/relationships/hyperlink" Target="https://www.sec.gov/Archives/edgar/data/0001226616/000119312521006833/d931163dex102.htm" TargetMode="External"/><Relationship Id="rId240" Type="http://schemas.openxmlformats.org/officeDocument/2006/relationships/hyperlink" Target="https://www.sec.gov/Archives/edgar/data/0001226616/000119312521233293/d211886dex991.htm" TargetMode="External"/><Relationship Id="rId241" Type="http://schemas.openxmlformats.org/officeDocument/2006/relationships/hyperlink" Target="https://www.sec.gov/Archives/edgar/data/1226616/000095017023010297/mnov-ex21.htm" TargetMode="External"/><Relationship Id="rId246" Type="http://schemas.openxmlformats.org/officeDocument/2006/relationships/hyperlink" Target="https://www.sec.gov/Archives/edgar/data/1226616/000095017024015920/mnov-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2025-02-19T16:35:30Z</dcterms:created>
  <dcterms:modified xsi:type="dcterms:W3CDTF">2025-02-19T16:35:30Z</dcterms:modified>
</cp:coreProperties>
</file>