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49" w:lineRule="exact"/>
        <w:rPr>
          <w:sz w:val="24"/>
          <w:szCs w:val="24"/>
          <w:color w:val="auto"/>
        </w:rPr>
      </w:pPr>
    </w:p>
    <w:p>
      <w:pPr>
        <w:ind w:left="520" w:right="36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355" w:right="25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120"/>
          </w:cols>
          <w:pgMar w:left="240" w:top="35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00" w:type="dxa"/>
            <w:vAlign w:val="bottom"/>
          </w:tcPr>
          <w:p>
            <w:pPr>
              <w:jc w:val="center"/>
              <w:ind w:right="35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89"/>
              </w:rPr>
              <w:t>4275 Executive Square, Suite 650</w:t>
            </w:r>
          </w:p>
        </w:tc>
        <w:tc>
          <w:tcPr>
            <w:tcW w:w="1440" w:type="dxa"/>
            <w:vAlign w:val="bottom"/>
          </w:tcPr>
          <w:p>
            <w:pPr>
              <w:spacing w:after="0"/>
              <w:rPr>
                <w:sz w:val="24"/>
                <w:szCs w:val="24"/>
                <w:color w:val="auto"/>
              </w:rPr>
            </w:pPr>
          </w:p>
        </w:tc>
      </w:t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5"/>
              </w:rPr>
              <w:t>La Jolla,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20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40" w:type="dxa"/>
            <w:vAlign w:val="bottom"/>
          </w:tcPr>
          <w:p>
            <w:pPr>
              <w:spacing w:after="0"/>
              <w:rPr>
                <w:sz w:val="24"/>
                <w:szCs w:val="24"/>
                <w:color w:val="auto"/>
              </w:rPr>
            </w:pPr>
          </w:p>
        </w:tc>
      </w:tr>
      <w:tr>
        <w:trPr>
          <w:trHeight w:val="186"/>
        </w:trPr>
        <w:tc>
          <w:tcPr>
            <w:tcW w:w="6200" w:type="dxa"/>
            <w:vAlign w:val="bottom"/>
          </w:tcPr>
          <w:p>
            <w:pPr>
              <w:jc w:val="center"/>
              <w:ind w:left="20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5"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firstLine="51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400"/>
          </w:cols>
          <w:pgMar w:left="240" w:top="355" w:right="259" w:bottom="1440" w:gutter="0" w:footer="0" w:header="0"/>
          <w:type w:val="continuous"/>
        </w:sectPr>
      </w:pP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70"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4">
            <w:col w:w="8700" w:space="180"/>
            <w:col w:w="440" w:space="180"/>
            <w:col w:w="220" w:space="80"/>
            <w:col w:w="1600"/>
          </w:cols>
          <w:pgMar w:left="240" w:top="355"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April 25, 2016, the registrant had 32,258,195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539750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8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94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MANAGEMENT’S DISCUSSION AND ANALYSIS OF FINANCIAL CONDITION AND RESULTS OF OPERATIONS</w:t>
              </w:r>
            </w:hyperlink>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946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332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0680" w:type="dxa"/>
            <w:vAlign w:val="bottom"/>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LEGAL PROCEEDINGS</w:t>
              </w:r>
            </w:hyperlink>
          </w:p>
        </w:tc>
        <w:tc>
          <w:tcPr>
            <w:tcW w:w="758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RISK FACTORS</w:t>
              </w:r>
            </w:hyperlink>
          </w:p>
        </w:tc>
        <w:tc>
          <w:tcPr>
            <w:tcW w:w="82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22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946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5"/>
        </w:trPr>
        <w:tc>
          <w:tcPr>
            <w:tcW w:w="1220" w:type="dxa"/>
            <w:vAlign w:val="bottom"/>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60" w:type="dxa"/>
            <w:vAlign w:val="bottom"/>
          </w:tcPr>
          <w:p>
            <w:pPr>
              <w:jc w:val="center"/>
              <w:ind w:left="263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460" w:type="dxa"/>
            <w:vAlign w:val="bottom"/>
          </w:tcPr>
          <w:p>
            <w:pPr>
              <w:jc w:val="center"/>
              <w:ind w:left="263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46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27,618,393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28,687,496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9,600,241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650,457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81,761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43,858,557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77,121</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972,675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1,049,796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rent and lease liability</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1,956,000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4,718,414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5,153,349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Preferred stock, $0.01 par value; 3,000,000 shares authorized at March 31, 2016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and December 31, 2015; 220,000 shares issued and outstanding at March 31,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2016 and December 31, 2015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Common stock, $0.001 par value; 100,000,000 shares authorized at March 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520"/>
              <w:spacing w:after="0"/>
              <w:rPr>
                <w:sz w:val="20"/>
                <w:szCs w:val="20"/>
                <w:color w:val="auto"/>
              </w:rPr>
            </w:pPr>
            <w:r>
              <w:rPr>
                <w:rFonts w:ascii="Arial" w:cs="Arial" w:eastAsia="Arial" w:hAnsi="Arial"/>
                <w:sz w:val="18"/>
                <w:szCs w:val="18"/>
                <w:color w:val="auto"/>
              </w:rPr>
              <w:t>2016 and December 31, 2015; 32,238,729 and 29,956,495 shares issued 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20"/>
              <w:spacing w:after="0"/>
              <w:rPr>
                <w:sz w:val="20"/>
                <w:szCs w:val="20"/>
                <w:color w:val="auto"/>
              </w:rPr>
            </w:pPr>
            <w:r>
              <w:rPr>
                <w:rFonts w:ascii="Arial" w:cs="Arial" w:eastAsia="Arial" w:hAnsi="Arial"/>
                <w:sz w:val="18"/>
                <w:szCs w:val="18"/>
                <w:color w:val="auto"/>
              </w:rPr>
              <w:t>outstanding at March 31, 2016 and December 31, 2015, respectively</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362,007,445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352,250,667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(93,058)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(102,765)</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(322,808,683)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(319,427,085)</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39,140,143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32,752,974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43,858,557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00" w:type="dxa"/>
            <w:vAlign w:val="bottom"/>
            <w:tcBorders>
              <w:bottom w:val="single" w:sz="8" w:color="CFF0FC"/>
            </w:tcBorders>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2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1,075,321</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719,728</w:t>
            </w:r>
          </w:p>
        </w:tc>
        <w:tc>
          <w:tcPr>
            <w:tcW w:w="120" w:type="dxa"/>
            <w:vAlign w:val="bottom"/>
          </w:tcPr>
          <w:p>
            <w:pPr>
              <w:spacing w:after="0"/>
              <w:rPr>
                <w:sz w:val="19"/>
                <w:szCs w:val="19"/>
                <w:color w:val="auto"/>
              </w:rPr>
            </w:pPr>
          </w:p>
        </w:tc>
      </w:tr>
      <w:tr>
        <w:trPr>
          <w:trHeight w:val="230"/>
        </w:trPr>
        <w:tc>
          <w:tcPr>
            <w:tcW w:w="5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2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2,316,254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1,495,227</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3,391,575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2,214,955</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(3,391,575)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(2,214,955)</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expense</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(4,154)</w:t>
            </w: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6,992</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(3,380,093)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(2,212,117)</w:t>
            </w:r>
          </w:p>
        </w:tc>
        <w:tc>
          <w:tcPr>
            <w:tcW w:w="12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(1,505)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(2,946)</w:t>
            </w:r>
          </w:p>
        </w:tc>
      </w:tr>
      <w:tr>
        <w:trPr>
          <w:trHeight w:val="26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2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(3,381,598)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(2,215,063)</w:t>
            </w:r>
          </w:p>
        </w:tc>
        <w:tc>
          <w:tcPr>
            <w:tcW w:w="120" w:type="dxa"/>
            <w:vAlign w:val="bottom"/>
            <w:tcBorders>
              <w:bottom w:val="single" w:sz="8" w:color="CFF0FC"/>
            </w:tcBorders>
          </w:tcPr>
          <w:p>
            <w:pPr>
              <w:spacing w:after="0"/>
              <w:rPr>
                <w:sz w:val="22"/>
                <w:szCs w:val="22"/>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2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18"/>
                <w:szCs w:val="18"/>
                <w:color w:val="auto"/>
              </w:rPr>
            </w:pPr>
          </w:p>
        </w:tc>
      </w:tr>
      <w:tr>
        <w:trPr>
          <w:trHeight w:val="215"/>
        </w:trPr>
        <w:tc>
          <w:tcPr>
            <w:tcW w:w="560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2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30,356,674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24,538,539</w:t>
            </w:r>
          </w:p>
        </w:tc>
        <w:tc>
          <w:tcPr>
            <w:tcW w:w="120" w:type="dxa"/>
            <w:vAlign w:val="bottom"/>
          </w:tcPr>
          <w:p>
            <w:pPr>
              <w:spacing w:after="0"/>
              <w:rPr>
                <w:sz w:val="20"/>
                <w:szCs w:val="20"/>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2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(3,381,598)</w:t>
            </w: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(2,215,063)</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(645)</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Comprehensive loss</w:t>
            </w:r>
          </w:p>
        </w:tc>
        <w:tc>
          <w:tcPr>
            <w:tcW w:w="2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(3,371,891)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(2,215,708)</w:t>
            </w:r>
          </w:p>
        </w:tc>
        <w:tc>
          <w:tcPr>
            <w:tcW w:w="12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4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(3,381,598)</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(2,215,063)</w:t>
            </w:r>
          </w:p>
        </w:tc>
        <w:tc>
          <w:tcPr>
            <w:tcW w:w="0" w:type="dxa"/>
            <w:vAlign w:val="bottom"/>
          </w:tcPr>
          <w:p>
            <w:pPr>
              <w:spacing w:after="0"/>
              <w:rPr>
                <w:sz w:val="1"/>
                <w:szCs w:val="1"/>
                <w:color w:val="auto"/>
              </w:rPr>
            </w:pPr>
          </w:p>
        </w:tc>
      </w:tr>
      <w:tr>
        <w:trPr>
          <w:trHeight w:val="215"/>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1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1,439,149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740"/>
              <w:spacing w:after="0"/>
              <w:rPr>
                <w:sz w:val="20"/>
                <w:szCs w:val="20"/>
                <w:color w:val="auto"/>
              </w:rPr>
            </w:pPr>
            <w:r>
              <w:rPr>
                <w:rFonts w:ascii="Arial" w:cs="Arial" w:eastAsia="Arial" w:hAnsi="Arial"/>
                <w:sz w:val="18"/>
                <w:szCs w:val="18"/>
                <w:color w:val="auto"/>
              </w:rPr>
              <w:t>Change in value of equity method investment</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1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(41,744)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(800,373)</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expenses and deferred rent</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(301,151)</w:t>
            </w:r>
          </w:p>
        </w:tc>
        <w:tc>
          <w:tcPr>
            <w:tcW w:w="0" w:type="dxa"/>
            <w:vAlign w:val="bottom"/>
          </w:tcPr>
          <w:p>
            <w:pPr>
              <w:spacing w:after="0"/>
              <w:rPr>
                <w:sz w:val="1"/>
                <w:szCs w:val="1"/>
                <w:color w:val="auto"/>
              </w:rPr>
            </w:pPr>
          </w:p>
        </w:tc>
      </w:tr>
      <w:tr>
        <w:trPr>
          <w:trHeight w:val="230"/>
        </w:trPr>
        <w:tc>
          <w:tcPr>
            <w:tcW w:w="6440" w:type="dxa"/>
            <w:vAlign w:val="bottom"/>
          </w:tcPr>
          <w:p>
            <w:pPr>
              <w:ind w:left="1120"/>
              <w:spacing w:after="0"/>
              <w:rPr>
                <w:sz w:val="20"/>
                <w:szCs w:val="20"/>
                <w:color w:val="auto"/>
              </w:rPr>
            </w:pPr>
            <w:r>
              <w:rPr>
                <w:rFonts w:ascii="Arial" w:cs="Arial" w:eastAsia="Arial" w:hAnsi="Arial"/>
                <w:sz w:val="18"/>
                <w:szCs w:val="18"/>
                <w:color w:val="auto"/>
              </w:rPr>
              <w:t>Accrued compensation and related expenses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(480,726)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(440,471)</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(2,419,366)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(3,233,516)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(22,005)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exercise of common stock options and warrants</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7,926,410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14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5,541,644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22,076,749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11,669,435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4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27,618,393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9,073,449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paid</w:t>
            </w:r>
          </w:p>
        </w:tc>
        <w:tc>
          <w:tcPr>
            <w:tcW w:w="17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2015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2015 has been derived from the audited financial statements at that date, but does not include all of the information and footnotes required by GAAP for complete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$1.0 million and $0.6 million for the three months ended March 31, 2016 and 2015, respectively.</w:t>
      </w:r>
    </w:p>
    <w:p>
      <w:pPr>
        <w:spacing w:after="0" w:line="1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 months ended March 31, 2016 and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Early adoption is permitted as of January 1, 2017. The amendments may be applied retrospectively to each prior period presented or retrospectively with the cumulative effect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 w:name="page7"/>
    <w:bookmarkEnd w:id="6"/>
    <w:p>
      <w:pPr>
        <w:ind w:right="400"/>
        <w:spacing w:after="0" w:line="277" w:lineRule="auto"/>
        <w:rPr>
          <w:sz w:val="20"/>
          <w:szCs w:val="20"/>
          <w:color w:val="auto"/>
        </w:rPr>
      </w:pPr>
      <w:r>
        <w:rPr>
          <w:rFonts w:ascii="Arial" w:cs="Arial" w:eastAsia="Arial" w:hAnsi="Arial"/>
          <w:sz w:val="18"/>
          <w:szCs w:val="18"/>
          <w:color w:val="auto"/>
        </w:rPr>
        <w:t>recognized as of the date of initial application. The Company is currently evaluating the impact these amendments will have on its consolidated financial statements and has not decided on the method of adoption.</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In August 2014, the FASB issued Accounting Standards Update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will be required to make this evaluation for both annual and interim reporting periods and will have to make certain disclosures if it concludes that substantial doubt exists or when its plans alleviate substantial doubt about the entity’s ability to continue as a going concern. The standard is effective for annual periods ending after December 15, 2016. Early adoption is permitted. After adoption, the Company will apply this guidance to assess going concern.</w:t>
      </w:r>
    </w:p>
    <w:p>
      <w:pPr>
        <w:spacing w:after="0" w:line="205"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215"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We are evaluating the impact that the adoption of this standard will have on our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revenue was recorded in the three months ended March 31, 2016 and 2015.</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78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Included in cash and cash equivalents are $27.5 million and $21.9 million of money market funds as of March 31, 2016 and December 31, 2015, respectively, that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w:t>
      </w:r>
    </w:p>
    <w:p>
      <w:pPr>
        <w:spacing w:after="0" w:line="16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March 31, 2016, the investment is reflected as a long-term asset on the Company’s consolidated balance sheet which represents the investment and maximum loss exposure in Zhejiang Sunmy, net of the Company’s portion of any generated loss or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2016, 613,625 options remain available for future grant under the 2013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The exercise price of all options granted was equal to the market value of the Company’s common stock on the date of grant.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March 31, 2016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3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 Life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1,118,000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(129,819)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(57,800)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2016</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5,064,350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17,274,158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Exercisable at March 31, 2016</w:t>
            </w: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3,777,308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12,771,424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During the three months ended March 31, 2016, there were 129,819 options exercised, from which gross proceeds of $681,136 were received. No options were exercised during the three months ended March 31, 2015. The intrinsic value of options exercised during the three months ended March 31, 2016 was $222,185.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9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the three months ended March 31, 2016, an aggregate of 20,715 shares were issued under the ESPP. As of March 31, 2016, there are 190,060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During the three months ended March 31, 2016, options to purchase 1,118,000 shares of common stock were granted. Stock-based compensation expense for stock option awards and ESPP shares are reflected in total operating expenses for each respective year. For the three months ended March 31, 2016 and 2015, stock-based compensation related to stock options and ESPP was $1.4 million and $513,000, respectively.</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uses the Black-Scholes valuation model for determining the estimated fair value and the stock-based compensation for stock-based awards granted to employees. The following table provides the assumptions used in the Black-Scholes valuation model for the three months ended March 31, 2016 and 2015.</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960" w:type="dxa"/>
            <w:vAlign w:val="bottom"/>
          </w:tcPr>
          <w:p>
            <w:pPr>
              <w:spacing w:after="0"/>
              <w:rPr>
                <w:sz w:val="14"/>
                <w:szCs w:val="1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2016</w:t>
            </w: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4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78.3%</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Dividend yield</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March 31, 2016, there was $2.2 million of unamortized compensation cost related to unvested stock option awards which is expected to be recognized over a remaining weighted-average vesting period of 1.3 years, on a straight-line basis.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For the year ended December 31, 2015, the Company generated gross proceeds of $32,700 and incurred issuance costs of $121,500 under this agreement on sales of 7,800 shares of the Company’s common stock at prices ranging from $4.16 to $4.23 per share. No shares of common stock were sold in the three months ended March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During the three months ended March 31, 2016, 2,131,700 warrants were exercised for gross proceeds of $7.6 million. No warrants were exercised during the three months ended March 31, 2015. As of March 29, 2016, 207,600 warrants expired unexercised.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2016, the Company had the following warrants outstanding:</w:t>
      </w:r>
    </w:p>
    <w:p>
      <w:pPr>
        <w:spacing w:after="0" w:line="117" w:lineRule="exact"/>
        <w:rPr>
          <w:sz w:val="20"/>
          <w:szCs w:val="20"/>
          <w:color w:val="auto"/>
        </w:rPr>
      </w:pPr>
    </w:p>
    <w:p>
      <w:pPr>
        <w:ind w:left="1040" w:hanging="51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and expire on May 9, 2018;</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198,020 common stock warrants at an exercise price of $6.06 and expire on May 10, 2017;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and expire on May 9, 2018.</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5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2,200,000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5,064,350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4,096,969</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1,067,067</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3,658,567</w:t>
            </w:r>
          </w:p>
        </w:tc>
        <w:tc>
          <w:tcPr>
            <w:tcW w:w="8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8,331,417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9,955,536</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March 31, 2016, is included on the balance sheet at March 31, 2016 as long-term deferred revenue and will be recognized as revenue in future periods upon the Company’s performance of the remaining services.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Subsequent to March 31, 2016 and through the date of this report, the Company has generated gross proceeds of $86,750 from the exercise of 19,466 stock options.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2015 included in our Annual Report on Form 10-K filed with the Securities and Exchange Commission, or SEC, on February 25, 2016.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Our pipeline also includes MN-221 (bedoradrine) for the treatment of acute exacerbations of asthma and MN-029 (denibulin) for solid tumor cancers. We were incorporated in Delaware in September 2000.</w:t>
      </w:r>
    </w:p>
    <w:p>
      <w:pPr>
        <w:spacing w:after="0" w:line="178"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March 31, 2016, we had an accumulated deficit of $322.8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rFonts w:ascii="Arial" w:cs="Arial" w:eastAsia="Arial" w:hAnsi="Arial"/>
          <w:sz w:val="18"/>
          <w:szCs w:val="18"/>
          <w:color w:val="auto"/>
        </w:rPr>
      </w:pPr>
    </w:p>
    <w:p>
      <w:pPr>
        <w:ind w:left="1040" w:right="60"/>
        <w:spacing w:after="0" w:line="293" w:lineRule="auto"/>
        <w:rPr>
          <w:rFonts w:ascii="Arial" w:cs="Arial" w:eastAsia="Arial" w:hAnsi="Arial"/>
          <w:sz w:val="18"/>
          <w:szCs w:val="18"/>
          <w:color w:val="auto"/>
        </w:rPr>
      </w:pPr>
      <w:r>
        <w:rPr>
          <w:rFonts w:ascii="Arial" w:cs="Arial" w:eastAsia="Arial" w:hAnsi="Arial"/>
          <w:sz w:val="16"/>
          <w:szCs w:val="16"/>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56"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for fibrotic diseases such as NASH and IPF.</w:t>
      </w:r>
    </w:p>
    <w:p>
      <w:pPr>
        <w:spacing w:after="0" w:line="117" w:lineRule="exact"/>
        <w:rPr>
          <w:rFonts w:ascii="Arial" w:cs="Arial" w:eastAsia="Arial" w:hAnsi="Arial"/>
          <w:sz w:val="18"/>
          <w:szCs w:val="18"/>
          <w:color w:val="auto"/>
        </w:rPr>
      </w:pPr>
    </w:p>
    <w:p>
      <w:pPr>
        <w:ind w:left="1040" w:right="12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through a combination of investigator-sponsored trials with or without grant funding as well as trials we may fund.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380"/>
        <w:spacing w:after="0" w:line="277"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enter into strategic alliances with leading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1040" w:right="20"/>
        <w:spacing w:after="0" w:line="277" w:lineRule="auto"/>
        <w:rPr>
          <w:sz w:val="20"/>
          <w:szCs w:val="20"/>
          <w:color w:val="auto"/>
        </w:rPr>
      </w:pPr>
      <w:r>
        <w:rPr>
          <w:rFonts w:ascii="Arial" w:cs="Arial" w:eastAsia="Arial" w:hAnsi="Arial"/>
          <w:sz w:val="18"/>
          <w:szCs w:val="18"/>
          <w:color w:val="auto"/>
        </w:rPr>
        <w:t>pharmaceutical companies who seek late-stage product candidates, such as MN-166, MN-221, MN-001 and MN-029, to support further clinical development and product commercialization.</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March 31, 2016,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months ended March 31, 2016 and 2015, we recognized zero revenues associated with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242"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Three Months Ended</w:t>
      </w:r>
    </w:p>
    <w:p>
      <w:pPr>
        <w:jc w:val="center"/>
        <w:ind w:left="5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MN-221</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MN-001</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7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1,075</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42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t>award, the expected term of the award, the current price of the underlying shares, the expected volatility of the underlying share price, the expected dividends on the underlying shares and the risk-free interest rate.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March 31, 2016, goodwill and in-process research and development, or IPR&amp;D, was $9.6 million and $4.8 million, respectively.</w:t>
      </w:r>
    </w:p>
    <w:p>
      <w:pPr>
        <w:spacing w:after="0" w:line="19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Research, development and patent expenses were $1.1 million and $0.7 million for the three months ended March 31, 2016 and 2015, respectively. This $0.4 million increase was due primarily to higher stock compensation expense for performance-based stock options due in part to an increase in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General and administrative expenses for the three months ended March 31, 2016 were $2.3 million, an increase of $0.8 million when compared to $1.5 million for the three months ended March 31, 2015. This increase in general and administrative expenses was due primarily to higher stock compensation expense for performance-based stock options due in part to an increase in our stock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2016 was $2.4 million compared to $3.2 million during the same period in 2015. Net cash primarily reflects the net loss for those periods, which was partially offset by non-cash stock-based compensation and changes in operating assets and liabilities.</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2016 was $8.0 million primarily due to the exercise of 2,131,700 warrants and 129,819 stock options for gross proceeds of $7.6 million and $0.3 million respectively.</w:t>
      </w:r>
    </w:p>
    <w:p>
      <w:pPr>
        <w:spacing w:after="0" w:line="170"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For the year ended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right="280"/>
        <w:spacing w:after="0" w:line="342" w:lineRule="auto"/>
        <w:rPr>
          <w:sz w:val="20"/>
          <w:szCs w:val="20"/>
          <w:color w:val="auto"/>
        </w:rPr>
      </w:pPr>
      <w:r>
        <w:rPr>
          <w:rFonts w:ascii="Arial" w:cs="Arial" w:eastAsia="Arial" w:hAnsi="Arial"/>
          <w:sz w:val="16"/>
          <w:szCs w:val="16"/>
          <w:color w:val="auto"/>
        </w:rPr>
        <w:t>December 31, 2015, we generated gross proceeds of $32,700 and incurred issuance costs of $121,500 under this agreement on sales of 7,800 shares of our common stock at prices ranging from $4.16 to $4.23 per share. No shares of common stock were sold in the three months ended March 31, 2016.</w:t>
      </w:r>
    </w:p>
    <w:p>
      <w:pPr>
        <w:spacing w:after="0" w:line="1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March 31, 2016, we had available cash and cash equivalents of $27.6 million and working capital of $27.6 million. As of the date of this report, we believe we have working capital sufficient to fund operations through December 31, 2017. However, we cannot provide assurance that these capital resources will be sufficient to conduct all of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March 31, 2016,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Cash and cash equivalents as of March 31, 2016 were $27.6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2016.</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240" w:top="665" w:right="8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March 31, 2016.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2015,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right="52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Services Agreement, effective March 31, 2016, by and between MediciNova, Inc. and Signature Analytics San Diego LLC (incorporated by reference to Exhibit 10.1 to the Registrant’s Current Report on Form 8-K filed March 31, 2016).</w:t>
      </w:r>
    </w:p>
    <w:p>
      <w:pPr>
        <w:spacing w:after="0" w:line="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31" w:lineRule="exact"/>
        <w:rPr>
          <w:sz w:val="20"/>
          <w:szCs w:val="20"/>
          <w:color w:val="auto"/>
        </w:rPr>
      </w:pPr>
    </w:p>
    <w:p>
      <w:pPr>
        <w:ind w:left="820" w:right="120" w:hanging="812"/>
        <w:spacing w:after="0" w:line="286"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March 31, 2016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April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337" w:right="8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700" w:type="dxa"/>
            <w:vAlign w:val="bottom"/>
            <w:tcBorders>
              <w:top w:val="single" w:sz="8" w:color="auto"/>
            </w:tcBorders>
          </w:tcPr>
          <w:p>
            <w:pPr>
              <w:jc w:val="right"/>
              <w:ind w:right="295"/>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Services Agreement, effective March 31, 2016, by and between MediciNova, Inc. and Signature Analytics San Diego LLC (incorporated by</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reference to Exhibit 10.1 to the Registrant’s Current Report on Form 8-K filed March 31, 2016).</w:t>
            </w: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right="120" w:hanging="812"/>
        <w:spacing w:after="0" w:line="286"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March 31, 2016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MediciNova,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27, 2016</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MediciNova,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27, 2016</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2016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27, 2016</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2016,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27, 2016</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6"/>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0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2019-12-29T13:11:52Z</dcterms:created>
  <dcterms:modified xsi:type="dcterms:W3CDTF">2019-12-29T13:11:52Z</dcterms:modified>
</cp:coreProperties>
</file>