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64770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63500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2016</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00"/>
          </w:cols>
          <w:pgMar w:left="240" w:top="427" w:right="259" w:bottom="1440" w:gutter="0" w:footer="0" w:header="0"/>
        </w:sectPr>
      </w:pPr>
    </w:p>
    <w:p>
      <w:pPr>
        <w:spacing w:after="0" w:line="70" w:lineRule="exact"/>
        <w:rPr>
          <w:sz w:val="24"/>
          <w:szCs w:val="24"/>
          <w:color w:val="auto"/>
        </w:rPr>
      </w:pPr>
    </w:p>
    <w:p>
      <w:pPr>
        <w:ind w:left="426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64" w:lineRule="exact"/>
        <w:rPr>
          <w:sz w:val="24"/>
          <w:szCs w:val="24"/>
          <w:color w:val="auto"/>
        </w:rPr>
      </w:pPr>
    </w:p>
    <w:p>
      <w:pPr>
        <w:sectPr>
          <w:pgSz w:w="11900" w:h="16838" w:orient="portrait"/>
          <w:cols w:equalWidth="0" w:num="2">
            <w:col w:w="6160" w:space="380"/>
            <w:col w:w="4860"/>
          </w:cols>
          <w:pgMar w:left="240" w:top="427" w:right="259"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65405</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type w:val="continuous"/>
        </w:sectPr>
      </w:pP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MEDICINOVA,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47625</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27" w:lineRule="exact"/>
        <w:rPr>
          <w:sz w:val="24"/>
          <w:szCs w:val="24"/>
          <w:color w:val="auto"/>
        </w:rPr>
      </w:pPr>
    </w:p>
    <w:tbl>
      <w:tblPr>
        <w:tblLayout w:type="fixed"/>
        <w:tblInd w:w="60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5000" w:type="dxa"/>
            <w:vAlign w:val="bottom"/>
            <w:gridSpan w:val="4"/>
          </w:tcPr>
          <w:p>
            <w:pPr>
              <w:jc w:val="center"/>
              <w:ind w:right="4140"/>
              <w:spacing w:after="0"/>
              <w:rPr>
                <w:sz w:val="20"/>
                <w:szCs w:val="20"/>
                <w:color w:val="auto"/>
              </w:rPr>
            </w:pPr>
            <w:r>
              <w:rPr>
                <w:rFonts w:ascii="Arial" w:cs="Arial" w:eastAsia="Arial" w:hAnsi="Arial"/>
                <w:sz w:val="14"/>
                <w:szCs w:val="14"/>
                <w:b w:val="1"/>
                <w:bCs w:val="1"/>
                <w:color w:val="auto"/>
                <w:w w:val="94"/>
              </w:rPr>
              <w:t>Delaware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right"/>
              <w:ind w:right="636"/>
              <w:spacing w:after="0"/>
              <w:rPr>
                <w:sz w:val="20"/>
                <w:szCs w:val="20"/>
                <w:color w:val="auto"/>
              </w:rPr>
            </w:pPr>
            <w:r>
              <w:rPr>
                <w:rFonts w:ascii="Arial" w:cs="Arial" w:eastAsia="Arial" w:hAnsi="Arial"/>
                <w:sz w:val="14"/>
                <w:szCs w:val="14"/>
                <w:b w:val="1"/>
                <w:bCs w:val="1"/>
                <w:color w:val="auto"/>
              </w:rPr>
              <w:t>33-0927979</w:t>
            </w:r>
          </w:p>
        </w:tc>
        <w:tc>
          <w:tcPr>
            <w:tcW w:w="0" w:type="dxa"/>
            <w:vAlign w:val="bottom"/>
          </w:tcPr>
          <w:p>
            <w:pPr>
              <w:spacing w:after="0"/>
              <w:rPr>
                <w:sz w:val="1"/>
                <w:szCs w:val="1"/>
                <w:color w:val="auto"/>
              </w:rPr>
            </w:pPr>
          </w:p>
        </w:tc>
      </w:tr>
      <w:tr>
        <w:trPr>
          <w:trHeight w:val="122"/>
        </w:trPr>
        <w:tc>
          <w:tcPr>
            <w:tcW w:w="6800" w:type="dxa"/>
            <w:vAlign w:val="bottom"/>
            <w:gridSpan w:val="5"/>
          </w:tcPr>
          <w:p>
            <w:pPr>
              <w:jc w:val="center"/>
              <w:ind w:right="2320"/>
              <w:spacing w:after="0" w:line="122" w:lineRule="exact"/>
              <w:rPr>
                <w:sz w:val="20"/>
                <w:szCs w:val="20"/>
                <w:color w:val="auto"/>
              </w:rPr>
            </w:pPr>
            <w:r>
              <w:rPr>
                <w:rFonts w:ascii="Arial" w:cs="Arial" w:eastAsia="Arial" w:hAnsi="Arial"/>
                <w:sz w:val="11"/>
                <w:szCs w:val="11"/>
                <w:b w:val="1"/>
                <w:bCs w:val="1"/>
                <w:color w:val="auto"/>
                <w:w w:val="89"/>
              </w:rPr>
              <w:t>(State or Other Jurisdiction of</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Pr>
          <w:p>
            <w:pPr>
              <w:jc w:val="center"/>
              <w:ind w:right="336"/>
              <w:spacing w:after="0" w:line="122"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6800" w:type="dxa"/>
            <w:vAlign w:val="bottom"/>
            <w:gridSpan w:val="5"/>
          </w:tcPr>
          <w:p>
            <w:pPr>
              <w:jc w:val="center"/>
              <w:ind w:right="2340"/>
              <w:spacing w:after="0"/>
              <w:rPr>
                <w:sz w:val="20"/>
                <w:szCs w:val="20"/>
                <w:color w:val="auto"/>
              </w:rPr>
            </w:pPr>
            <w:r>
              <w:rPr>
                <w:rFonts w:ascii="Arial" w:cs="Arial" w:eastAsia="Arial" w:hAnsi="Arial"/>
                <w:sz w:val="11"/>
                <w:szCs w:val="11"/>
                <w:b w:val="1"/>
                <w:bCs w:val="1"/>
                <w:color w:val="auto"/>
                <w:w w:val="91"/>
              </w:rPr>
              <w:t>Incorporation or Organization)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ind w:right="336"/>
              <w:spacing w:after="0"/>
              <w:rPr>
                <w:sz w:val="20"/>
                <w:szCs w:val="20"/>
                <w:color w:val="auto"/>
              </w:rPr>
            </w:pPr>
            <w:r>
              <w:rPr>
                <w:rFonts w:ascii="Arial" w:cs="Arial" w:eastAsia="Arial" w:hAnsi="Arial"/>
                <w:sz w:val="11"/>
                <w:szCs w:val="11"/>
                <w:b w:val="1"/>
                <w:bCs w:val="1"/>
                <w:color w:val="auto"/>
                <w:w w:val="92"/>
              </w:rPr>
              <w:t>Identification No.)</w:t>
            </w:r>
          </w:p>
        </w:tc>
        <w:tc>
          <w:tcPr>
            <w:tcW w:w="0" w:type="dxa"/>
            <w:vAlign w:val="bottom"/>
          </w:tcPr>
          <w:p>
            <w:pPr>
              <w:spacing w:after="0"/>
              <w:rPr>
                <w:sz w:val="1"/>
                <w:szCs w:val="1"/>
                <w:color w:val="auto"/>
              </w:rPr>
            </w:pPr>
          </w:p>
        </w:tc>
      </w:tr>
      <w:tr>
        <w:trPr>
          <w:trHeight w:val="238"/>
        </w:trPr>
        <w:tc>
          <w:tcPr>
            <w:tcW w:w="6800" w:type="dxa"/>
            <w:vAlign w:val="bottom"/>
            <w:gridSpan w:val="5"/>
          </w:tcPr>
          <w:p>
            <w:pPr>
              <w:jc w:val="center"/>
              <w:ind w:right="2340"/>
              <w:spacing w:after="0"/>
              <w:rPr>
                <w:sz w:val="20"/>
                <w:szCs w:val="20"/>
                <w:color w:val="auto"/>
              </w:rPr>
            </w:pPr>
            <w:r>
              <w:rPr>
                <w:rFonts w:ascii="Arial" w:cs="Arial" w:eastAsia="Arial" w:hAnsi="Arial"/>
                <w:sz w:val="14"/>
                <w:szCs w:val="14"/>
                <w:b w:val="1"/>
                <w:bCs w:val="1"/>
                <w:color w:val="auto"/>
                <w:w w:val="93"/>
              </w:rPr>
              <w:t>4275 Executive Square, Suite 650, La Jolla, CA</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796"/>
              <w:spacing w:after="0"/>
              <w:rPr>
                <w:sz w:val="20"/>
                <w:szCs w:val="20"/>
                <w:color w:val="auto"/>
              </w:rPr>
            </w:pPr>
            <w:r>
              <w:rPr>
                <w:rFonts w:ascii="Arial" w:cs="Arial" w:eastAsia="Arial" w:hAnsi="Arial"/>
                <w:sz w:val="14"/>
                <w:szCs w:val="14"/>
                <w:b w:val="1"/>
                <w:bCs w:val="1"/>
                <w:color w:val="auto"/>
              </w:rPr>
              <w:t>92037</w:t>
            </w:r>
          </w:p>
        </w:tc>
        <w:tc>
          <w:tcPr>
            <w:tcW w:w="0" w:type="dxa"/>
            <w:vAlign w:val="bottom"/>
          </w:tcPr>
          <w:p>
            <w:pPr>
              <w:spacing w:after="0"/>
              <w:rPr>
                <w:sz w:val="1"/>
                <w:szCs w:val="1"/>
                <w:color w:val="auto"/>
              </w:rPr>
            </w:pPr>
          </w:p>
        </w:tc>
      </w:tr>
      <w:tr>
        <w:trPr>
          <w:trHeight w:val="140"/>
        </w:trPr>
        <w:tc>
          <w:tcPr>
            <w:tcW w:w="6800" w:type="dxa"/>
            <w:vAlign w:val="bottom"/>
            <w:gridSpan w:val="5"/>
          </w:tcPr>
          <w:p>
            <w:pPr>
              <w:jc w:val="center"/>
              <w:ind w:right="2340"/>
              <w:spacing w:after="0"/>
              <w:rPr>
                <w:sz w:val="20"/>
                <w:szCs w:val="20"/>
                <w:color w:val="auto"/>
              </w:rPr>
            </w:pPr>
            <w:r>
              <w:rPr>
                <w:rFonts w:ascii="Arial" w:cs="Arial" w:eastAsia="Arial" w:hAnsi="Arial"/>
                <w:sz w:val="11"/>
                <w:szCs w:val="11"/>
                <w:b w:val="1"/>
                <w:bCs w:val="1"/>
                <w:color w:val="auto"/>
                <w:w w:val="88"/>
              </w:rPr>
              <w:t>(Address of Principal Executive Offices)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ind w:right="336"/>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184"/>
        </w:trPr>
        <w:tc>
          <w:tcPr>
            <w:tcW w:w="6420" w:type="dxa"/>
            <w:vAlign w:val="bottom"/>
            <w:gridSpan w:val="4"/>
          </w:tcPr>
          <w:p>
            <w:pPr>
              <w:jc w:val="center"/>
              <w:ind w:left="3735"/>
              <w:spacing w:after="0"/>
              <w:rPr>
                <w:sz w:val="20"/>
                <w:szCs w:val="20"/>
                <w:color w:val="auto"/>
              </w:rPr>
            </w:pPr>
            <w:r>
              <w:rPr>
                <w:rFonts w:ascii="Arial" w:cs="Arial" w:eastAsia="Arial" w:hAnsi="Arial"/>
                <w:sz w:val="14"/>
                <w:szCs w:val="14"/>
                <w:b w:val="1"/>
                <w:bCs w:val="1"/>
                <w:color w:val="auto"/>
                <w:w w:val="93"/>
              </w:rPr>
              <w:t>(858) 373-1500</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8"/>
              </w:rPr>
              <w:t>(Registrant’s Telephone Number, Including Area Code)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60" w:type="dxa"/>
            <w:vAlign w:val="bottom"/>
            <w:gridSpan w:val="5"/>
          </w:tcPr>
          <w:p>
            <w:pPr>
              <w:jc w:val="center"/>
              <w:ind w:left="38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800" w:type="dxa"/>
            <w:vAlign w:val="bottom"/>
          </w:tcPr>
          <w:p>
            <w:pPr>
              <w:spacing w:after="0"/>
              <w:rPr>
                <w:sz w:val="15"/>
                <w:szCs w:val="15"/>
                <w:color w:val="auto"/>
              </w:rPr>
            </w:pPr>
          </w:p>
        </w:tc>
        <w:tc>
          <w:tcPr>
            <w:tcW w:w="5000" w:type="dxa"/>
            <w:vAlign w:val="bottom"/>
            <w:gridSpan w:val="4"/>
          </w:tcPr>
          <w:p>
            <w:pPr>
              <w:jc w:val="center"/>
              <w:ind w:right="4140"/>
              <w:spacing w:after="0"/>
              <w:rPr>
                <w:sz w:val="20"/>
                <w:szCs w:val="20"/>
                <w:color w:val="auto"/>
              </w:rPr>
            </w:pPr>
            <w:r>
              <w:rPr>
                <w:rFonts w:ascii="Arial" w:cs="Arial" w:eastAsia="Arial" w:hAnsi="Arial"/>
                <w:sz w:val="11"/>
                <w:szCs w:val="11"/>
                <w:b w:val="1"/>
                <w:bCs w:val="1"/>
                <w:color w:val="auto"/>
                <w:w w:val="87"/>
              </w:rPr>
              <w:t>Title of Each Class</w:t>
            </w:r>
          </w:p>
        </w:tc>
        <w:tc>
          <w:tcPr>
            <w:tcW w:w="140" w:type="dxa"/>
            <w:vAlign w:val="bottom"/>
          </w:tcPr>
          <w:p>
            <w:pPr>
              <w:spacing w:after="0"/>
              <w:rPr>
                <w:sz w:val="15"/>
                <w:szCs w:val="15"/>
                <w:color w:val="auto"/>
              </w:rPr>
            </w:pPr>
          </w:p>
        </w:tc>
        <w:tc>
          <w:tcPr>
            <w:tcW w:w="2100" w:type="dxa"/>
            <w:vAlign w:val="bottom"/>
            <w:gridSpan w:val="3"/>
          </w:tcPr>
          <w:p>
            <w:pPr>
              <w:jc w:val="center"/>
              <w:spacing w:after="0"/>
              <w:rPr>
                <w:sz w:val="20"/>
                <w:szCs w:val="20"/>
                <w:color w:val="auto"/>
              </w:rPr>
            </w:pPr>
            <w:r>
              <w:rPr>
                <w:rFonts w:ascii="Arial" w:cs="Arial" w:eastAsia="Arial" w:hAnsi="Arial"/>
                <w:sz w:val="11"/>
                <w:szCs w:val="11"/>
                <w:b w:val="1"/>
                <w:bCs w:val="1"/>
                <w:color w:val="auto"/>
                <w:w w:val="87"/>
              </w:rPr>
              <w:t>Name of Each Exchange on Which Registered</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140" w:type="dxa"/>
            <w:vAlign w:val="bottom"/>
            <w:gridSpan w:val="3"/>
            <w:vMerge w:val="restart"/>
          </w:tcPr>
          <w:p>
            <w:pPr>
              <w:spacing w:after="0"/>
              <w:rPr>
                <w:sz w:val="20"/>
                <w:szCs w:val="20"/>
                <w:color w:val="auto"/>
              </w:rPr>
            </w:pPr>
            <w:r>
              <w:rPr>
                <w:rFonts w:ascii="Arial" w:cs="Arial" w:eastAsia="Arial" w:hAnsi="Arial"/>
                <w:sz w:val="14"/>
                <w:szCs w:val="14"/>
                <w:color w:val="auto"/>
              </w:rPr>
              <w:t>0.001 per share</w:t>
            </w:r>
          </w:p>
        </w:tc>
        <w:tc>
          <w:tcPr>
            <w:tcW w:w="140" w:type="dxa"/>
            <w:vAlign w:val="bottom"/>
          </w:tcPr>
          <w:p>
            <w:pPr>
              <w:spacing w:after="0" w:line="20" w:lineRule="exact"/>
              <w:rPr>
                <w:sz w:val="1"/>
                <w:szCs w:val="1"/>
                <w:color w:val="auto"/>
              </w:rPr>
            </w:pPr>
          </w:p>
        </w:tc>
        <w:tc>
          <w:tcPr>
            <w:tcW w:w="210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60" w:type="dxa"/>
            <w:vAlign w:val="bottom"/>
            <w:gridSpan w:val="2"/>
          </w:tcPr>
          <w:p>
            <w:pPr>
              <w:ind w:left="980"/>
              <w:spacing w:after="0"/>
              <w:rPr>
                <w:sz w:val="20"/>
                <w:szCs w:val="20"/>
                <w:color w:val="auto"/>
              </w:rPr>
            </w:pPr>
            <w:r>
              <w:rPr>
                <w:rFonts w:ascii="Arial" w:cs="Arial" w:eastAsia="Arial" w:hAnsi="Arial"/>
                <w:sz w:val="14"/>
                <w:szCs w:val="14"/>
                <w:color w:val="auto"/>
                <w:w w:val="96"/>
              </w:rPr>
              <w:t>Common Stock, par value $</w:t>
            </w:r>
          </w:p>
        </w:tc>
        <w:tc>
          <w:tcPr>
            <w:tcW w:w="41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color w:val="auto"/>
                <w:w w:val="97"/>
              </w:rPr>
              <w:t>The NASDAQ Stock Market LLC</w:t>
            </w:r>
          </w:p>
        </w:tc>
        <w:tc>
          <w:tcPr>
            <w:tcW w:w="0" w:type="dxa"/>
            <w:vAlign w:val="bottom"/>
          </w:tcPr>
          <w:p>
            <w:pPr>
              <w:spacing w:after="0"/>
              <w:rPr>
                <w:sz w:val="1"/>
                <w:szCs w:val="1"/>
                <w:color w:val="auto"/>
              </w:rPr>
            </w:pPr>
          </w:p>
        </w:tc>
      </w:tr>
      <w:tr>
        <w:trPr>
          <w:trHeight w:val="197"/>
        </w:trPr>
        <w:tc>
          <w:tcPr>
            <w:tcW w:w="1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60" w:type="dxa"/>
            <w:vAlign w:val="bottom"/>
            <w:gridSpan w:val="5"/>
          </w:tcPr>
          <w:p>
            <w:pPr>
              <w:jc w:val="center"/>
              <w:ind w:left="368"/>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1700" w:type="dxa"/>
            <w:vAlign w:val="bottom"/>
            <w:vMerge w:val="restart"/>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1"/>
        </w:trPr>
        <w:tc>
          <w:tcPr>
            <w:tcW w:w="6800" w:type="dxa"/>
            <w:vAlign w:val="bottom"/>
            <w:gridSpan w:val="5"/>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w w:val="82"/>
              </w:rPr>
              <w:t>Yes</w:t>
            </w:r>
          </w:p>
        </w:tc>
        <w:tc>
          <w:tcPr>
            <w:tcW w:w="220" w:type="dxa"/>
            <w:vAlign w:val="bottom"/>
            <w:vMerge w:val="continue"/>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00" w:type="dxa"/>
            <w:vAlign w:val="bottom"/>
            <w:gridSpan w:val="5"/>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  Yes</w:t>
            </w:r>
          </w:p>
        </w:tc>
        <w:tc>
          <w:tcPr>
            <w:tcW w:w="320" w:type="dxa"/>
            <w:vAlign w:val="bottom"/>
            <w:gridSpan w:val="2"/>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No</w:t>
            </w:r>
          </w:p>
        </w:tc>
        <w:tc>
          <w:tcPr>
            <w:tcW w:w="17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140" w:firstLine="59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280" w:firstLine="598"/>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8" w:lineRule="exact"/>
        <w:rPr>
          <w:sz w:val="24"/>
          <w:szCs w:val="24"/>
          <w:color w:val="auto"/>
        </w:rPr>
      </w:pPr>
    </w:p>
    <w:p>
      <w:pPr>
        <w:ind w:right="680" w:firstLine="598"/>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right="140" w:firstLine="59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00"/>
          </w:cols>
          <w:pgMar w:left="240" w:top="427" w:right="259" w:bottom="1440" w:gutter="0" w:footer="0" w:header="0"/>
          <w:type w:val="continuous"/>
        </w:sectPr>
      </w:pPr>
    </w:p>
    <w:p>
      <w:pPr>
        <w:spacing w:after="0" w:line="66" w:lineRule="exact"/>
        <w:rPr>
          <w:sz w:val="24"/>
          <w:szCs w:val="24"/>
          <w:color w:val="auto"/>
        </w:rPr>
      </w:pPr>
    </w:p>
    <w:p>
      <w:pPr>
        <w:ind w:right="440"/>
        <w:spacing w:after="0" w:line="303" w:lineRule="auto"/>
        <w:rPr>
          <w:sz w:val="20"/>
          <w:szCs w:val="20"/>
          <w:color w:val="auto"/>
        </w:rPr>
      </w:pPr>
      <w:r>
        <w:rPr>
          <w:rFonts w:ascii="Arial" w:cs="Arial" w:eastAsia="Arial" w:hAnsi="Arial"/>
          <w:sz w:val="13"/>
          <w:szCs w:val="13"/>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76" w:lineRule="exact"/>
        <w:rPr>
          <w:sz w:val="24"/>
          <w:szCs w:val="24"/>
          <w:color w:val="auto"/>
        </w:rPr>
      </w:pPr>
    </w:p>
    <w:p>
      <w:pPr>
        <w:sectPr>
          <w:pgSz w:w="11900" w:h="16838" w:orient="portrait"/>
          <w:cols w:equalWidth="0" w:num="4">
            <w:col w:w="1740" w:space="720"/>
            <w:col w:w="5080" w:space="720"/>
            <w:col w:w="1720" w:space="720"/>
            <w:col w:w="700"/>
          </w:cols>
          <w:pgMar w:left="240" w:top="427" w:right="259" w:bottom="1440" w:gutter="0" w:footer="0" w:header="0"/>
          <w:type w:val="continuous"/>
        </w:sectPr>
      </w:pPr>
    </w:p>
    <w:p>
      <w:pPr>
        <w:spacing w:after="0" w:line="27" w:lineRule="exact"/>
        <w:rPr>
          <w:sz w:val="24"/>
          <w:szCs w:val="24"/>
          <w:color w:val="auto"/>
        </w:rPr>
      </w:pPr>
    </w:p>
    <w:p>
      <w:pPr>
        <w:ind w:left="60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Securities Exchange Act of 1934).  Yes</w:t>
      </w:r>
    </w:p>
    <w:p>
      <w:pPr>
        <w:spacing w:after="0" w:line="20" w:lineRule="exact"/>
        <w:rPr>
          <w:sz w:val="24"/>
          <w:szCs w:val="24"/>
          <w:color w:val="auto"/>
        </w:rPr>
      </w:pPr>
      <w:r>
        <w:rPr>
          <w:sz w:val="24"/>
          <w:szCs w:val="24"/>
          <w:color w:val="auto"/>
        </w:rPr>
        <w:br w:type="column"/>
      </w:r>
    </w:p>
    <w:p>
      <w:pPr>
        <w:spacing w:after="0" w:line="100"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0" w:lineRule="exact"/>
        <w:rPr>
          <w:sz w:val="20"/>
          <w:szCs w:val="20"/>
          <w:color w:val="auto"/>
        </w:rPr>
      </w:pPr>
      <w:r>
        <w:rPr>
          <w:rFonts w:ascii="MS PGothic" w:cs="MS PGothic" w:eastAsia="MS PGothic" w:hAnsi="MS PGothic"/>
          <w:sz w:val="12"/>
          <w:szCs w:val="12"/>
          <w:color w:val="auto"/>
        </w:rPr>
        <w:t>☒</w:t>
      </w:r>
    </w:p>
    <w:p>
      <w:pPr>
        <w:spacing w:after="0" w:line="123" w:lineRule="exact"/>
        <w:rPr>
          <w:sz w:val="24"/>
          <w:szCs w:val="24"/>
          <w:color w:val="auto"/>
        </w:rPr>
      </w:pPr>
    </w:p>
    <w:p>
      <w:pPr>
        <w:sectPr>
          <w:pgSz w:w="11900" w:h="16838" w:orient="portrait"/>
          <w:cols w:equalWidth="0" w:num="4">
            <w:col w:w="8540" w:space="80"/>
            <w:col w:w="120" w:space="140"/>
            <w:col w:w="180" w:space="80"/>
            <w:col w:w="2260"/>
          </w:cols>
          <w:pgMar w:left="240" w:top="427" w:right="259" w:bottom="1440" w:gutter="0" w:footer="0" w:header="0"/>
          <w:type w:val="continuous"/>
        </w:sectPr>
      </w:pPr>
    </w:p>
    <w:p>
      <w:pPr>
        <w:ind w:firstLine="598"/>
        <w:spacing w:after="0" w:line="238"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approximately $244,267,000 based on the closing price of the registrant’s common stock on The NASDAQ Global Market of $7.55 per share on June 30, 2016. Shares of common stock held by each executive officer and director and each affiliated entity has been excluded from this calculation. This determination of affiliate status may not be conclusive for other purposes.</w:t>
      </w:r>
    </w:p>
    <w:p>
      <w:pPr>
        <w:spacing w:after="0" w:line="21" w:lineRule="exact"/>
        <w:rPr>
          <w:sz w:val="24"/>
          <w:szCs w:val="24"/>
          <w:color w:val="auto"/>
        </w:rPr>
      </w:pPr>
    </w:p>
    <w:p>
      <w:pPr>
        <w:ind w:left="600"/>
        <w:spacing w:after="0"/>
        <w:rPr>
          <w:sz w:val="20"/>
          <w:szCs w:val="20"/>
          <w:color w:val="auto"/>
        </w:rPr>
      </w:pPr>
      <w:r>
        <w:rPr>
          <w:rFonts w:ascii="Arial" w:cs="Arial" w:eastAsia="Arial" w:hAnsi="Arial"/>
          <w:sz w:val="14"/>
          <w:szCs w:val="14"/>
          <w:color w:val="auto"/>
        </w:rPr>
        <w:t>The number of outstanding shares of the registrant’s common stock, par value $0.001 per share, as of February 13, 2017 was 34,527,678.</w:t>
      </w:r>
    </w:p>
    <w:p>
      <w:pPr>
        <w:spacing w:after="0" w:line="38"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ind w:right="20" w:firstLine="598"/>
        <w:spacing w:after="0" w:line="253" w:lineRule="auto"/>
        <w:rPr>
          <w:sz w:val="20"/>
          <w:szCs w:val="20"/>
          <w:color w:val="auto"/>
        </w:rPr>
      </w:pPr>
      <w:r>
        <w:rPr>
          <w:rFonts w:ascii="Arial" w:cs="Arial" w:eastAsia="Arial" w:hAnsi="Arial"/>
          <w:sz w:val="14"/>
          <w:szCs w:val="14"/>
          <w:color w:val="auto"/>
        </w:rPr>
        <w:t>Portions of the registrant’s Proxy Statement to be filed with the Securities and Exchange Commission pursuant to Regulation 14A in connection with the registrant’s 2017 Annual Meeting of Stockholders, which will be filed subsequent to the date hereof,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452755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27"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60" w:type="dxa"/>
            <w:vAlign w:val="bottom"/>
            <w:gridSpan w:val="8"/>
          </w:tcPr>
          <w:p>
            <w:pPr>
              <w:jc w:val="center"/>
              <w:ind w:right="3980"/>
              <w:spacing w:after="0"/>
              <w:rPr>
                <w:sz w:val="20"/>
                <w:szCs w:val="20"/>
                <w:color w:val="auto"/>
              </w:rPr>
            </w:pPr>
            <w:r>
              <w:rPr>
                <w:rFonts w:ascii="Arial" w:cs="Arial" w:eastAsia="Arial" w:hAnsi="Arial"/>
                <w:sz w:val="18"/>
                <w:szCs w:val="18"/>
                <w:b w:val="1"/>
                <w:bCs w:val="1"/>
                <w:color w:val="auto"/>
              </w:rPr>
              <w:t>MEDICINOVA, INC.</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40" w:type="dxa"/>
            <w:vAlign w:val="bottom"/>
            <w:gridSpan w:val="9"/>
          </w:tcPr>
          <w:p>
            <w:pPr>
              <w:jc w:val="center"/>
              <w:ind w:right="3780"/>
              <w:spacing w:after="0"/>
              <w:rPr>
                <w:sz w:val="20"/>
                <w:szCs w:val="20"/>
                <w:color w:val="auto"/>
              </w:rPr>
            </w:pPr>
            <w:r>
              <w:rPr>
                <w:rFonts w:ascii="Arial" w:cs="Arial" w:eastAsia="Arial" w:hAnsi="Arial"/>
                <w:sz w:val="18"/>
                <w:szCs w:val="18"/>
                <w:b w:val="1"/>
                <w:bCs w:val="1"/>
                <w:color w:val="auto"/>
              </w:rPr>
              <w:t>FORM 10-K—ANNUAL REPORT</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60" w:type="dxa"/>
            <w:vAlign w:val="bottom"/>
            <w:gridSpan w:val="11"/>
          </w:tcPr>
          <w:p>
            <w:pPr>
              <w:jc w:val="center"/>
              <w:ind w:right="2680"/>
              <w:spacing w:after="0"/>
              <w:rPr>
                <w:sz w:val="20"/>
                <w:szCs w:val="20"/>
                <w:color w:val="auto"/>
              </w:rPr>
            </w:pPr>
            <w:r>
              <w:rPr>
                <w:rFonts w:ascii="Arial" w:cs="Arial" w:eastAsia="Arial" w:hAnsi="Arial"/>
                <w:sz w:val="18"/>
                <w:szCs w:val="18"/>
                <w:b w:val="1"/>
                <w:bCs w:val="1"/>
                <w:color w:val="auto"/>
                <w:w w:val="90"/>
              </w:rPr>
              <w:t>For the Fiscal Year Ended December 31, 2016</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60" w:type="dxa"/>
            <w:vAlign w:val="bottom"/>
            <w:gridSpan w:val="8"/>
          </w:tcPr>
          <w:p>
            <w:pPr>
              <w:jc w:val="center"/>
              <w:ind w:right="3960"/>
              <w:spacing w:after="0"/>
              <w:rPr>
                <w:sz w:val="20"/>
                <w:szCs w:val="20"/>
                <w:color w:val="auto"/>
              </w:rPr>
            </w:pPr>
            <w:r>
              <w:rPr>
                <w:rFonts w:ascii="Arial" w:cs="Arial" w:eastAsia="Arial" w:hAnsi="Arial"/>
                <w:sz w:val="18"/>
                <w:szCs w:val="18"/>
                <w:b w:val="1"/>
                <w:bCs w:val="1"/>
                <w:color w:val="auto"/>
                <w:w w:val="89"/>
              </w:rPr>
              <w:t>Table of Contents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18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8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9700" w:type="dxa"/>
            <w:vAlign w:val="bottom"/>
            <w:gridSpan w:val="20"/>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70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9700" w:type="dxa"/>
            <w:vAlign w:val="bottom"/>
            <w:gridSpan w:val="2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Unresolved Staff Comments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Properties</w:t>
              </w:r>
            </w:hyperlink>
          </w:p>
        </w:tc>
        <w:tc>
          <w:tcPr>
            <w:tcW w:w="1300" w:type="dxa"/>
            <w:vAlign w:val="bottom"/>
            <w:tcBorders>
              <w:top w:val="single" w:sz="8" w:color="0000EE"/>
            </w:tcBorders>
            <w:gridSpan w:val="7"/>
          </w:tcPr>
          <w:p>
            <w:pPr>
              <w:spacing w:after="0"/>
              <w:rPr>
                <w:sz w:val="17"/>
                <w:szCs w:val="17"/>
                <w:color w:val="auto"/>
              </w:rPr>
            </w:pPr>
          </w:p>
        </w:tc>
        <w:tc>
          <w:tcPr>
            <w:tcW w:w="7660" w:type="dxa"/>
            <w:vAlign w:val="bottom"/>
            <w:gridSpan w:val="1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Legal Proceedings</w:t>
              </w:r>
            </w:hyperlink>
          </w:p>
        </w:tc>
        <w:tc>
          <w:tcPr>
            <w:tcW w:w="8360" w:type="dxa"/>
            <w:vAlign w:val="bottom"/>
            <w:gridSpan w:val="1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700" w:type="dxa"/>
            <w:vAlign w:val="bottom"/>
            <w:gridSpan w:val="2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44"/>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80" w:type="dxa"/>
            <w:vAlign w:val="bottom"/>
            <w:gridSpan w:val="2"/>
          </w:tcPr>
          <w:p>
            <w:pPr>
              <w:spacing w:after="0" w:line="190"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19"/>
          </w:tcPr>
          <w:p>
            <w:pPr>
              <w:spacing w:after="0" w:line="190"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Market for Registrant’s Common Equity, Related Stockholder Matters and Issuer Purchases of Equity Securities</w:t>
              </w:r>
            </w:hyperlink>
          </w:p>
        </w:tc>
        <w:tc>
          <w:tcPr>
            <w:tcW w:w="1620" w:type="dxa"/>
            <w:vAlign w:val="bottom"/>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Selected Financial Data</w:t>
              </w:r>
            </w:hyperlink>
          </w:p>
        </w:tc>
        <w:tc>
          <w:tcPr>
            <w:tcW w:w="7980" w:type="dxa"/>
            <w:vAlign w:val="bottom"/>
            <w:gridSpan w:val="1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9700" w:type="dxa"/>
            <w:vAlign w:val="bottom"/>
            <w:gridSpan w:val="2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3240" w:type="dxa"/>
            <w:vAlign w:val="bottom"/>
            <w:gridSpan w:val="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534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Changes in and Disagreements With Accountants on Accounting and Financial Disclosure</w:t>
              </w:r>
            </w:hyperlink>
          </w:p>
        </w:tc>
        <w:tc>
          <w:tcPr>
            <w:tcW w:w="318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Controls and Procedures</w:t>
              </w:r>
            </w:hyperlink>
          </w:p>
        </w:tc>
        <w:tc>
          <w:tcPr>
            <w:tcW w:w="7920" w:type="dxa"/>
            <w:vAlign w:val="bottom"/>
            <w:gridSpan w:val="1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9700" w:type="dxa"/>
            <w:vAlign w:val="bottom"/>
            <w:gridSpan w:val="20"/>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Other Information</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44"/>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80" w:type="dxa"/>
            <w:vAlign w:val="bottom"/>
            <w:gridSpan w:val="2"/>
          </w:tcPr>
          <w:p>
            <w:pPr>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line="190"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Directors, Executive Officers and Corporate Governance</w:t>
              </w:r>
            </w:hyperlink>
          </w:p>
        </w:tc>
        <w:tc>
          <w:tcPr>
            <w:tcW w:w="5600" w:type="dxa"/>
            <w:vAlign w:val="bottom"/>
            <w:gridSpan w:val="7"/>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9700" w:type="dxa"/>
            <w:vAlign w:val="bottom"/>
            <w:gridSpan w:val="20"/>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Executive Compensation</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Security Ownership of Certain Beneficial Owners and Management and Related Stockholder Matters</w:t>
              </w:r>
            </w:hyperlink>
          </w:p>
        </w:tc>
        <w:tc>
          <w:tcPr>
            <w:tcW w:w="240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Certain Relationships and Related Transactions, and Director Independence</w:t>
              </w:r>
            </w:hyperlink>
          </w:p>
        </w:tc>
        <w:tc>
          <w:tcPr>
            <w:tcW w:w="424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700" w:type="dxa"/>
            <w:vAlign w:val="bottom"/>
            <w:gridSpan w:val="20"/>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Principal Accountant Fees and Services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44"/>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80" w:type="dxa"/>
            <w:vAlign w:val="bottom"/>
            <w:gridSpan w:val="2"/>
          </w:tcPr>
          <w:p>
            <w:pPr>
              <w:spacing w:after="0" w:line="190" w:lineRule="exact"/>
              <w:rPr>
                <w:sz w:val="20"/>
                <w:szCs w:val="20"/>
                <w:color w:val="auto"/>
              </w:rPr>
            </w:pPr>
            <w:r>
              <w:rPr>
                <w:rFonts w:ascii="Arial" w:cs="Arial" w:eastAsia="Arial" w:hAnsi="Arial"/>
                <w:sz w:val="18"/>
                <w:szCs w:val="18"/>
                <w:color w:val="auto"/>
              </w:rPr>
              <w:t>Item 15</w:t>
            </w:r>
          </w:p>
        </w:tc>
        <w:tc>
          <w:tcPr>
            <w:tcW w:w="9700" w:type="dxa"/>
            <w:vAlign w:val="bottom"/>
            <w:gridSpan w:val="20"/>
          </w:tcPr>
          <w:p>
            <w:pPr>
              <w:spacing w:after="0" w:line="190" w:lineRule="exact"/>
              <w:rPr>
                <w:rFonts w:ascii="Arial" w:cs="Arial" w:eastAsia="Arial" w:hAnsi="Arial"/>
                <w:sz w:val="18"/>
                <w:szCs w:val="18"/>
                <w:color w:val="0000EE"/>
              </w:rPr>
            </w:pPr>
            <w:hyperlink w:anchor="page85">
              <w:r>
                <w:rPr>
                  <w:rFonts w:ascii="Arial" w:cs="Arial" w:eastAsia="Arial" w:hAnsi="Arial"/>
                  <w:sz w:val="18"/>
                  <w:szCs w:val="18"/>
                  <w:color w:val="0000EE"/>
                </w:rPr>
                <w:t>Exhibits and Financial Statement Schedules</w:t>
              </w:r>
            </w:hyperlink>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18"/>
        </w:trPr>
        <w:tc>
          <w:tcPr>
            <w:tcW w:w="1180" w:type="dxa"/>
            <w:vAlign w:val="bottom"/>
            <w:gridSpan w:val="2"/>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Signatures</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The MediciNova logo is a registered trademark of MediciNova, Inc. All other product and company names are registered trademarks or trademarks of their respective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598"/>
        <w:spacing w:after="0" w:line="297" w:lineRule="auto"/>
        <w:rPr>
          <w:sz w:val="20"/>
          <w:szCs w:val="20"/>
          <w:color w:val="auto"/>
        </w:rPr>
      </w:pPr>
      <w:r>
        <w:rPr>
          <w:rFonts w:ascii="Arial" w:cs="Arial" w:eastAsia="Arial" w:hAnsi="Arial"/>
          <w:sz w:val="16"/>
          <w:szCs w:val="16"/>
          <w:i w:val="1"/>
          <w:iCs w:val="1"/>
          <w:color w:val="auto"/>
        </w:rPr>
        <w:t>This Annual Report on Form 10-K includes forward-looking statements that involve a number of risks and uncertainties, many of which are beyond our control.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58" w:lineRule="exact"/>
        <w:rPr>
          <w:sz w:val="20"/>
          <w:szCs w:val="20"/>
          <w:color w:val="auto"/>
        </w:rPr>
      </w:pPr>
    </w:p>
    <w:p>
      <w:pPr>
        <w:jc w:val="both"/>
        <w:ind w:firstLine="598"/>
        <w:spacing w:after="0" w:line="255" w:lineRule="auto"/>
        <w:rPr>
          <w:sz w:val="20"/>
          <w:szCs w:val="20"/>
          <w:color w:val="auto"/>
        </w:rPr>
      </w:pPr>
      <w:r>
        <w:rPr>
          <w:rFonts w:ascii="Arial" w:cs="Arial" w:eastAsia="Arial" w:hAnsi="Arial"/>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In light of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or delay in completing clinical trials or obtaining FDA or foreign regulatory approval for our product candidates in a timely manner;</w:t>
      </w:r>
    </w:p>
    <w:p>
      <w:pPr>
        <w:spacing w:after="0" w:line="140" w:lineRule="exact"/>
        <w:rPr>
          <w:rFonts w:ascii="Arial" w:cs="Arial" w:eastAsia="Arial" w:hAnsi="Arial"/>
          <w:sz w:val="16"/>
          <w:szCs w:val="16"/>
          <w:color w:val="auto"/>
        </w:rPr>
      </w:pPr>
    </w:p>
    <w:p>
      <w:pPr>
        <w:ind w:left="1200" w:right="10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joint venture entity in China to develop and commercialize our product candidates in China;</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17" w:lineRule="exact"/>
        <w:rPr>
          <w:rFonts w:ascii="Arial" w:cs="Arial" w:eastAsia="Arial" w:hAnsi="Arial"/>
          <w:sz w:val="18"/>
          <w:szCs w:val="18"/>
          <w:color w:val="auto"/>
        </w:rPr>
      </w:pPr>
    </w:p>
    <w:p>
      <w:pPr>
        <w:ind w:left="1200" w:right="58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product candidates, if approved, may not gain market acceptance or obtain adequate coverage for third party reimbursement;</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We are a biopharmaceutical company focused on acquiring and developing novel, small molecule therapeutics for the treatment of serious diseases with unmet medical needs and a commercial focus on the U.S. market. Our current strategy is to focus our development activities on MN-166 (ibudilast) for neurological disorders such as progressive multiple sclerosis (MS), amyotrophic lateral sclerosis (ALS) and substance dependence and addiction (</w:t>
      </w:r>
      <w:r>
        <w:rPr>
          <w:rFonts w:ascii="Arial" w:cs="Arial" w:eastAsia="Arial" w:hAnsi="Arial"/>
          <w:sz w:val="18"/>
          <w:szCs w:val="18"/>
          <w:i w:val="1"/>
          <w:iCs w:val="1"/>
          <w:color w:val="auto"/>
        </w:rPr>
        <w:t>e.g.,</w:t>
      </w:r>
      <w:r>
        <w:rPr>
          <w:rFonts w:ascii="Arial" w:cs="Arial" w:eastAsia="Arial" w:hAnsi="Arial"/>
          <w:sz w:val="18"/>
          <w:szCs w:val="18"/>
          <w:color w:val="auto"/>
        </w:rPr>
        <w:t xml:space="preserve"> methamphetamine dependence, opioid dependence, and alcohol dependence), and MN-001 (tipelukast) for fibrotic diseases such as nonalcoholic steatohepatitis (NASH) and idiopathic pulmonary fibrosis (IPF). Our pipeline also includes MN-221 (bedoradrine) for the treatment of acute exacerbation of asthma and MN-029 (denibulin) for solid tumor cancers.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MN-166 (ibudilast) is currently in development for several different neurological diseases as described below.</w:t>
      </w:r>
    </w:p>
    <w:p>
      <w:pPr>
        <w:spacing w:after="0" w:line="117" w:lineRule="exact"/>
        <w:rPr>
          <w:sz w:val="20"/>
          <w:szCs w:val="20"/>
          <w:color w:val="auto"/>
        </w:rPr>
      </w:pPr>
    </w:p>
    <w:p>
      <w:pPr>
        <w:ind w:left="1200" w:right="360" w:hanging="598"/>
        <w:spacing w:after="0" w:line="277"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Multiple Sclerosis: </w:t>
      </w:r>
      <w:r>
        <w:rPr>
          <w:rFonts w:ascii="Arial" w:cs="Arial" w:eastAsia="Arial" w:hAnsi="Arial"/>
          <w:sz w:val="18"/>
          <w:szCs w:val="18"/>
          <w:color w:val="auto"/>
        </w:rPr>
        <w:t>We completed a Phase 2 clinical trial of MN-166 (ibudilast) for the treatment of relapsing multiple sclerosis (MS) in</w:t>
      </w:r>
      <w:r>
        <w:rPr>
          <w:rFonts w:ascii="Arial" w:cs="Arial" w:eastAsia="Arial" w:hAnsi="Arial"/>
          <w:sz w:val="18"/>
          <w:szCs w:val="18"/>
          <w:i w:val="1"/>
          <w:iCs w:val="1"/>
          <w:color w:val="auto"/>
        </w:rPr>
        <w:t xml:space="preserve"> </w:t>
      </w:r>
      <w:r>
        <w:rPr>
          <w:rFonts w:ascii="Arial" w:cs="Arial" w:eastAsia="Arial" w:hAnsi="Arial"/>
          <w:sz w:val="18"/>
          <w:szCs w:val="18"/>
          <w:color w:val="auto"/>
        </w:rPr>
        <w:t>2008, in which positive safety and neuroprotective efficacy indicators were observed.</w:t>
      </w:r>
    </w:p>
    <w:p>
      <w:pPr>
        <w:spacing w:after="0" w:line="75" w:lineRule="exact"/>
        <w:rPr>
          <w:rFonts w:ascii="Arial" w:cs="Arial" w:eastAsia="Arial" w:hAnsi="Arial"/>
          <w:sz w:val="18"/>
          <w:szCs w:val="18"/>
          <w:color w:val="auto"/>
        </w:rPr>
      </w:pPr>
    </w:p>
    <w:p>
      <w:pPr>
        <w:ind w:left="1200"/>
        <w:spacing w:after="0" w:line="255" w:lineRule="auto"/>
        <w:rPr>
          <w:rFonts w:ascii="Arial" w:cs="Arial" w:eastAsia="Arial" w:hAnsi="Arial"/>
          <w:sz w:val="18"/>
          <w:szCs w:val="18"/>
          <w:color w:val="auto"/>
        </w:rPr>
      </w:pPr>
      <w:r>
        <w:rPr>
          <w:rFonts w:ascii="Arial" w:cs="Arial" w:eastAsia="Arial" w:hAnsi="Arial"/>
          <w:sz w:val="18"/>
          <w:szCs w:val="18"/>
          <w:color w:val="auto"/>
        </w:rPr>
        <w:t>We have successfully partnered with investigators on an ongoing Phase 2b clinical trial of MN-166 (ibudilast) in primary progressive and secondary progressive MS which is conducted by NeuroNEXT and funded by the National Institute of Health’s (NIH) National Institute of Neurological Diseases and Stroke (NINDS). The progressive MS trial completed randomization of 255 subjects in 2015, which exceeded the goal of 250 subjects that were planned for participation. In December 2016, we announced that the external Data and Safety Monitoring Board (DSMB) reviewed the results of the interim efficacy analysis from the ongoing Phase 2b clinical trial of MN-166 (ibudilast) in progressive MS and made a recommendation to the NIH NINDS that the trial should continue as planned and this recommendation was accepted by NINDS.</w:t>
      </w:r>
    </w:p>
    <w:p>
      <w:pPr>
        <w:spacing w:after="0" w:line="94" w:lineRule="exact"/>
        <w:rPr>
          <w:rFonts w:ascii="Arial" w:cs="Arial" w:eastAsia="Arial" w:hAnsi="Arial"/>
          <w:sz w:val="18"/>
          <w:szCs w:val="18"/>
          <w:color w:val="auto"/>
        </w:rPr>
      </w:pPr>
    </w:p>
    <w:p>
      <w:pPr>
        <w:ind w:left="1200" w:right="260"/>
        <w:spacing w:after="0" w:line="277" w:lineRule="auto"/>
        <w:rPr>
          <w:rFonts w:ascii="Arial" w:cs="Arial" w:eastAsia="Arial" w:hAnsi="Arial"/>
          <w:sz w:val="18"/>
          <w:szCs w:val="18"/>
          <w:color w:val="auto"/>
        </w:rPr>
      </w:pPr>
      <w:r>
        <w:rPr>
          <w:rFonts w:ascii="Arial" w:cs="Arial" w:eastAsia="Arial" w:hAnsi="Arial"/>
          <w:sz w:val="18"/>
          <w:szCs w:val="18"/>
          <w:color w:val="auto"/>
        </w:rPr>
        <w:t>In March 2016, we announced that the U.S. Food and Drug Administration (FDA) granted Fast Track designation for the development of MN-166 (ibudilast) for the treatment of patients with progressive MS.</w:t>
      </w:r>
    </w:p>
    <w:p>
      <w:pPr>
        <w:spacing w:after="0" w:line="62" w:lineRule="exact"/>
        <w:rPr>
          <w:rFonts w:ascii="Arial" w:cs="Arial" w:eastAsia="Arial" w:hAnsi="Arial"/>
          <w:sz w:val="18"/>
          <w:szCs w:val="18"/>
          <w:color w:val="auto"/>
        </w:rPr>
      </w:pPr>
    </w:p>
    <w:p>
      <w:pPr>
        <w:ind w:left="1200" w:right="40" w:hanging="598"/>
        <w:spacing w:after="0" w:line="264"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Amyotrophic Lateral Sclerosis (ALS): </w:t>
      </w:r>
      <w:r>
        <w:rPr>
          <w:rFonts w:ascii="Arial" w:cs="Arial" w:eastAsia="Arial" w:hAnsi="Arial"/>
          <w:sz w:val="18"/>
          <w:szCs w:val="18"/>
          <w:color w:val="auto"/>
        </w:rPr>
        <w:t>We initiated a clinical trial of MN-166 (ibudilast) in amyotrophic lateral sclerosis (ALS)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half of 2014, and this trial is currently ongoing. The trial began enrolling ALS patients not using non-invasive ventilation (NIV) and the protocol was amended to also include advanced ALS patients using NIV.</w:t>
      </w:r>
    </w:p>
    <w:p>
      <w:pPr>
        <w:spacing w:after="0" w:line="86" w:lineRule="exact"/>
        <w:rPr>
          <w:rFonts w:ascii="Arial" w:cs="Arial" w:eastAsia="Arial" w:hAnsi="Arial"/>
          <w:sz w:val="18"/>
          <w:szCs w:val="18"/>
          <w:color w:val="auto"/>
        </w:rPr>
      </w:pPr>
    </w:p>
    <w:p>
      <w:pPr>
        <w:ind w:left="1200" w:right="180"/>
        <w:spacing w:after="0" w:line="277" w:lineRule="auto"/>
        <w:rPr>
          <w:rFonts w:ascii="Arial" w:cs="Arial" w:eastAsia="Arial" w:hAnsi="Arial"/>
          <w:sz w:val="18"/>
          <w:szCs w:val="18"/>
          <w:color w:val="auto"/>
        </w:rPr>
      </w:pPr>
      <w:r>
        <w:rPr>
          <w:rFonts w:ascii="Arial" w:cs="Arial" w:eastAsia="Arial" w:hAnsi="Arial"/>
          <w:sz w:val="18"/>
          <w:szCs w:val="18"/>
          <w:color w:val="auto"/>
        </w:rPr>
        <w:t>In March 2016, we announced that we received a Notice of Allowance from the U.S. Patent and Trademark Office (PTO) for a new patent which covers MN-166 (ibudilast) for the treatment of amyotrophic lateral sclerosis (ALS).</w:t>
      </w: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 w:name="page5"/>
    <w:bookmarkEnd w:id="4"/>
    <w:p>
      <w:pPr>
        <w:jc w:val="both"/>
        <w:ind w:left="1200" w:right="40"/>
        <w:spacing w:after="0" w:line="286" w:lineRule="auto"/>
        <w:rPr>
          <w:sz w:val="20"/>
          <w:szCs w:val="20"/>
          <w:color w:val="auto"/>
        </w:rPr>
      </w:pPr>
      <w:r>
        <w:rPr>
          <w:rFonts w:ascii="Arial" w:cs="Arial" w:eastAsia="Arial" w:hAnsi="Arial"/>
          <w:sz w:val="17"/>
          <w:szCs w:val="17"/>
          <w:color w:val="auto"/>
        </w:rPr>
        <w:t>In April 2016, we announced that interim efficacy data from a mid-study analysis of the ongoing clinical trial of MN-166 (ibudilast) in ALS was presented at the American Academy of Neurology (AAN) 68th Annual Meeting. In addition to the encouraging interim efficacy data, no cluster of adverse events was differentially present in MN-166 treatment and placebo treatment subjects in this ALS study.</w:t>
      </w:r>
    </w:p>
    <w:p>
      <w:pPr>
        <w:spacing w:after="0" w:line="71" w:lineRule="exact"/>
        <w:rPr>
          <w:sz w:val="20"/>
          <w:szCs w:val="20"/>
          <w:color w:val="auto"/>
        </w:rPr>
      </w:pPr>
    </w:p>
    <w:p>
      <w:pPr>
        <w:ind w:left="1200" w:right="100"/>
        <w:spacing w:after="0" w:line="259" w:lineRule="auto"/>
        <w:rPr>
          <w:sz w:val="20"/>
          <w:szCs w:val="20"/>
          <w:color w:val="auto"/>
        </w:rPr>
      </w:pPr>
      <w:r>
        <w:rPr>
          <w:rFonts w:ascii="Arial" w:cs="Arial" w:eastAsia="Arial" w:hAnsi="Arial"/>
          <w:sz w:val="18"/>
          <w:szCs w:val="18"/>
          <w:color w:val="auto"/>
        </w:rPr>
        <w:t>In October 2016, we announced that the FDA granted Orphan-Drug designation to MN-166 (ibudilast) for the treatment of ALS, which will provide seven years of marketing exclusivity if it is approved for ALS. In December 2016, we announced that the European Commission granted Orphan Medicinal Product Designation for MN-166 (ibudilast) for the treatment of ALS. The FDA previously granted Fast Track designation to MN-166 (ibudilast) for the treatment of ALS.</w:t>
      </w:r>
    </w:p>
    <w:p>
      <w:pPr>
        <w:spacing w:after="0" w:line="92" w:lineRule="exact"/>
        <w:rPr>
          <w:sz w:val="20"/>
          <w:szCs w:val="20"/>
          <w:color w:val="auto"/>
        </w:rPr>
      </w:pPr>
    </w:p>
    <w:p>
      <w:pPr>
        <w:ind w:left="1200"/>
        <w:spacing w:after="0" w:line="286" w:lineRule="auto"/>
        <w:rPr>
          <w:sz w:val="20"/>
          <w:szCs w:val="20"/>
          <w:color w:val="auto"/>
        </w:rPr>
      </w:pPr>
      <w:r>
        <w:rPr>
          <w:rFonts w:ascii="Arial" w:cs="Arial" w:eastAsia="Arial" w:hAnsi="Arial"/>
          <w:sz w:val="17"/>
          <w:szCs w:val="17"/>
          <w:color w:val="auto"/>
        </w:rPr>
        <w:t>In February 2016, we entered into an agreement to collaborate with Massachusetts General Hospital (MGH) to study the effects of MN-166 (ibudilast) on reducing brain microglial activation in ALS subjects which can be monitored by a biomarker. This clinical trial, which we refer to as the ALS / Biomarker study, will also evaluate several clinical outcomes and is currently enrolling patients.</w:t>
      </w:r>
    </w:p>
    <w:p>
      <w:pPr>
        <w:spacing w:after="0" w:line="71" w:lineRule="exact"/>
        <w:rPr>
          <w:sz w:val="20"/>
          <w:szCs w:val="20"/>
          <w:color w:val="auto"/>
        </w:rPr>
      </w:pPr>
    </w:p>
    <w:p>
      <w:pPr>
        <w:ind w:left="1200" w:right="120" w:hanging="598"/>
        <w:spacing w:after="0" w:line="264"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Substance Dependence and Addiction: </w:t>
      </w:r>
      <w:r>
        <w:rPr>
          <w:rFonts w:ascii="Arial" w:cs="Arial" w:eastAsia="Arial" w:hAnsi="Arial"/>
          <w:sz w:val="18"/>
          <w:szCs w:val="18"/>
          <w:color w:val="auto"/>
        </w:rPr>
        <w:t>In the area of addiction, the National Institute on Drug Abuse (NIDA) has funded a Phase 2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trial studying the use of MN-166 (ibudilast) for the treatment of methamphetamine addiction. In collaboration with UCLA, this clinical trial commenced in 2013 and is currently ongoing.</w:t>
      </w:r>
    </w:p>
    <w:p>
      <w:pPr>
        <w:spacing w:after="0" w:line="86" w:lineRule="exact"/>
        <w:rPr>
          <w:rFonts w:ascii="Arial" w:cs="Arial" w:eastAsia="Arial" w:hAnsi="Arial"/>
          <w:sz w:val="18"/>
          <w:szCs w:val="18"/>
          <w:color w:val="auto"/>
        </w:rPr>
      </w:pPr>
    </w:p>
    <w:p>
      <w:pPr>
        <w:ind w:left="1200"/>
        <w:spacing w:after="0" w:line="271" w:lineRule="auto"/>
        <w:rPr>
          <w:rFonts w:ascii="Arial" w:cs="Arial" w:eastAsia="Arial" w:hAnsi="Arial"/>
          <w:sz w:val="18"/>
          <w:szCs w:val="18"/>
          <w:color w:val="auto"/>
        </w:rPr>
      </w:pPr>
      <w:r>
        <w:rPr>
          <w:rFonts w:ascii="Arial" w:cs="Arial" w:eastAsia="Arial" w:hAnsi="Arial"/>
          <w:sz w:val="17"/>
          <w:szCs w:val="17"/>
          <w:color w:val="auto"/>
        </w:rPr>
        <w:t>Investigators at Columbia University and the New York State Psychiatric Institute (NYSPI) previously completed a Phase 1b/2a clinical trial of MN-166 (ibudilast) in opioid withdrawal that was funded by NIDA. Investigators at Columbia University and the NYSPI also conducted a NIDA-funded, Phase 2a clinical trial to evaluate the efficacy of MN-166 (ibudilast) in the treatment of patients addicted to prescription opioids or heroin. In March 2016, we announced that positive findings from the results of this completed study in opioid dependence were presented at the Behavior, Biology and Chemistry: Translational Research in Addiction Meeting. Researchers at UCLA were granted approval and funding by the National Institute on Alcoholism and Alcohol Abuse (NIAAA) for a clinical trial to evaluate MN-166 (ibudilast) for the treatment of alcohol dependence. This clinical trial has been completed and results were presented at the American College of Neuropsychopharmacology (ACNP)’s 54th Annual Meeting in December 2015.</w:t>
      </w:r>
    </w:p>
    <w:p>
      <w:pPr>
        <w:spacing w:after="0" w:line="70" w:lineRule="exact"/>
        <w:rPr>
          <w:rFonts w:ascii="Arial" w:cs="Arial" w:eastAsia="Arial" w:hAnsi="Arial"/>
          <w:sz w:val="18"/>
          <w:szCs w:val="18"/>
          <w:color w:val="auto"/>
        </w:rPr>
      </w:pPr>
    </w:p>
    <w:p>
      <w:pPr>
        <w:ind w:left="1200" w:right="22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Type I – Early Infantile Krabbe disease: </w:t>
      </w:r>
      <w:r>
        <w:rPr>
          <w:rFonts w:ascii="Arial" w:cs="Arial" w:eastAsia="Arial" w:hAnsi="Arial"/>
          <w:sz w:val="18"/>
          <w:szCs w:val="18"/>
          <w:color w:val="auto"/>
        </w:rPr>
        <w:t>In January 2016, we announced that the FDA granted Rare Pediatric Disease Designation to MN-166 (ibudilast) for treatment of Type 1 - Early Infantile Krabbe disease.</w:t>
      </w:r>
    </w:p>
    <w:p>
      <w:pPr>
        <w:spacing w:after="0" w:line="170"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MN-001 (tipelukast) is currently in development for fibrotic diseases including nonalcoholic steatohepatitis (NASH) and idiopathic pulmonary fibrosis (IPF), which are described below.</w:t>
      </w:r>
    </w:p>
    <w:p>
      <w:pPr>
        <w:spacing w:after="0" w:line="62" w:lineRule="exact"/>
        <w:rPr>
          <w:sz w:val="20"/>
          <w:szCs w:val="20"/>
          <w:color w:val="auto"/>
        </w:rPr>
      </w:pPr>
    </w:p>
    <w:p>
      <w:pPr>
        <w:ind w:left="1200" w:right="100" w:hanging="598"/>
        <w:spacing w:after="0" w:line="312" w:lineRule="auto"/>
        <w:tabs>
          <w:tab w:leader="none" w:pos="12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Nonalcoholic Steatohepatitis (NASH): </w:t>
      </w:r>
      <w:r>
        <w:rPr>
          <w:rFonts w:ascii="Arial" w:cs="Arial" w:eastAsia="Arial" w:hAnsi="Arial"/>
          <w:sz w:val="16"/>
          <w:szCs w:val="16"/>
          <w:color w:val="auto"/>
        </w:rPr>
        <w:t>We announced positive results of MN-001 (tipelukast) in two different NASH mouse models in 2014</w:t>
      </w:r>
      <w:r>
        <w:rPr>
          <w:rFonts w:ascii="Arial" w:cs="Arial" w:eastAsia="Arial" w:hAnsi="Arial"/>
          <w:sz w:val="16"/>
          <w:szCs w:val="16"/>
          <w:i w:val="1"/>
          <w:iCs w:val="1"/>
          <w:color w:val="auto"/>
        </w:rPr>
        <w:t xml:space="preserve"> </w:t>
      </w:r>
      <w:r>
        <w:rPr>
          <w:rFonts w:ascii="Arial" w:cs="Arial" w:eastAsia="Arial" w:hAnsi="Arial"/>
          <w:sz w:val="16"/>
          <w:szCs w:val="16"/>
          <w:color w:val="auto"/>
        </w:rPr>
        <w:t>and we opened the IND (Investigational New Drug) application for MN-001 (tipelukast) for the treatment of NASH with the FDA in 2015. The FDA subsequently granted Fast Track designation to MN-001 (tipelukast) for the treatment of patients with NASH with fibrosis.</w:t>
      </w:r>
    </w:p>
    <w:p>
      <w:pPr>
        <w:spacing w:after="0" w:line="52" w:lineRule="exact"/>
        <w:rPr>
          <w:rFonts w:ascii="Arial" w:cs="Arial" w:eastAsia="Arial" w:hAnsi="Arial"/>
          <w:sz w:val="16"/>
          <w:szCs w:val="16"/>
          <w:color w:val="auto"/>
        </w:rPr>
      </w:pPr>
    </w:p>
    <w:p>
      <w:pPr>
        <w:ind w:left="1200" w:right="60"/>
        <w:spacing w:after="0" w:line="264" w:lineRule="auto"/>
        <w:rPr>
          <w:rFonts w:ascii="Arial" w:cs="Arial" w:eastAsia="Arial" w:hAnsi="Arial"/>
          <w:sz w:val="16"/>
          <w:szCs w:val="16"/>
          <w:color w:val="auto"/>
        </w:rPr>
      </w:pPr>
      <w:r>
        <w:rPr>
          <w:rFonts w:ascii="Arial" w:cs="Arial" w:eastAsia="Arial" w:hAnsi="Arial"/>
          <w:sz w:val="18"/>
          <w:szCs w:val="18"/>
          <w:color w:val="auto"/>
        </w:rPr>
        <w:t>In November 2015, we announced initiation of a clinical trial to investigate MN-001 (tipelukast) for the treatment of hypertriglyceridemia in NASH patients. This clinical trial began enrolling NASH patients with hypertriglyceridemia and the protocol was amended to also allow enrollment of NAFLD (nonalcoholic fatty liver disease) patients with hypertriglyceridemia.</w:t>
      </w:r>
    </w:p>
    <w:p>
      <w:pPr>
        <w:spacing w:after="0" w:line="86" w:lineRule="exact"/>
        <w:rPr>
          <w:rFonts w:ascii="Arial" w:cs="Arial" w:eastAsia="Arial" w:hAnsi="Arial"/>
          <w:sz w:val="16"/>
          <w:szCs w:val="16"/>
          <w:color w:val="auto"/>
        </w:rPr>
      </w:pPr>
    </w:p>
    <w:p>
      <w:pPr>
        <w:ind w:left="1200" w:right="720"/>
        <w:spacing w:after="0" w:line="308" w:lineRule="auto"/>
        <w:rPr>
          <w:rFonts w:ascii="Arial" w:cs="Arial" w:eastAsia="Arial" w:hAnsi="Arial"/>
          <w:sz w:val="16"/>
          <w:szCs w:val="16"/>
          <w:color w:val="auto"/>
        </w:rPr>
      </w:pPr>
      <w:r>
        <w:rPr>
          <w:rFonts w:ascii="Arial" w:cs="Arial" w:eastAsia="Arial" w:hAnsi="Arial"/>
          <w:sz w:val="17"/>
          <w:szCs w:val="17"/>
          <w:color w:val="auto"/>
        </w:rPr>
        <w:t>In January 2016, we announced that we received a Notice of Allowance from the U.S. PTO for a new patent which covers MN-001 (tipelukast) and MN-002 (a major metabolite of MN-001) for the treatment of advanced NASH with fibrosis.</w:t>
      </w:r>
    </w:p>
    <w:p>
      <w:pPr>
        <w:spacing w:after="0" w:line="51" w:lineRule="exact"/>
        <w:rPr>
          <w:rFonts w:ascii="Arial" w:cs="Arial" w:eastAsia="Arial" w:hAnsi="Arial"/>
          <w:sz w:val="16"/>
          <w:szCs w:val="16"/>
          <w:color w:val="auto"/>
        </w:rPr>
      </w:pPr>
    </w:p>
    <w:p>
      <w:pPr>
        <w:ind w:left="1200" w:right="800"/>
        <w:spacing w:after="0" w:line="308" w:lineRule="auto"/>
        <w:rPr>
          <w:rFonts w:ascii="Arial" w:cs="Arial" w:eastAsia="Arial" w:hAnsi="Arial"/>
          <w:sz w:val="16"/>
          <w:szCs w:val="16"/>
          <w:color w:val="auto"/>
        </w:rPr>
      </w:pPr>
      <w:r>
        <w:rPr>
          <w:rFonts w:ascii="Arial" w:cs="Arial" w:eastAsia="Arial" w:hAnsi="Arial"/>
          <w:sz w:val="17"/>
          <w:szCs w:val="17"/>
          <w:color w:val="auto"/>
        </w:rPr>
        <w:t>In March 2016, we announced that we received a Notice of Allowance from the U.S. PTO for a new patent which covers MN-001 (tipelukast) and MN-002 for the treatment of hypertriglyceridemia, hypercholesterolemia, and hyperlipoproteinemia.</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 w:name="page6"/>
    <w:bookmarkEnd w:id="5"/>
    <w:p>
      <w:pPr>
        <w:ind w:left="1200" w:right="140" w:hanging="598"/>
        <w:spacing w:after="0" w:line="259"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Idiopathic Pulmonary Fibrosis (IPF): </w:t>
      </w:r>
      <w:r>
        <w:rPr>
          <w:rFonts w:ascii="Arial" w:cs="Arial" w:eastAsia="Arial" w:hAnsi="Arial"/>
          <w:sz w:val="18"/>
          <w:szCs w:val="18"/>
          <w:color w:val="auto"/>
        </w:rPr>
        <w:t>In 2014, we announced positive results of MN-001 (tipelukast) in a mouse model of pulmonary</w:t>
      </w:r>
      <w:r>
        <w:rPr>
          <w:rFonts w:ascii="Arial" w:cs="Arial" w:eastAsia="Arial" w:hAnsi="Arial"/>
          <w:sz w:val="18"/>
          <w:szCs w:val="18"/>
          <w:i w:val="1"/>
          <w:iCs w:val="1"/>
          <w:color w:val="auto"/>
        </w:rPr>
        <w:t xml:space="preserve"> </w:t>
      </w:r>
      <w:r>
        <w:rPr>
          <w:rFonts w:ascii="Arial" w:cs="Arial" w:eastAsia="Arial" w:hAnsi="Arial"/>
          <w:sz w:val="18"/>
          <w:szCs w:val="18"/>
          <w:color w:val="auto"/>
        </w:rPr>
        <w:t>fibrosis. The FDA subsequently granted Orphan-Drug designation to MN-001 (tipelukast) for treatment of IPF which will provide seven years of marketing exclusivity if MN-001 (tipelukast) is approved for IPF. The FDA granted Fast Track designation to MN-001 (tipelukast) for the treatment of patients with IPF in September 2015.</w:t>
      </w:r>
    </w:p>
    <w:p>
      <w:pPr>
        <w:spacing w:after="0" w:line="92" w:lineRule="exact"/>
        <w:rPr>
          <w:rFonts w:ascii="Arial" w:cs="Arial" w:eastAsia="Arial" w:hAnsi="Arial"/>
          <w:sz w:val="18"/>
          <w:szCs w:val="18"/>
          <w:color w:val="auto"/>
        </w:rPr>
      </w:pPr>
    </w:p>
    <w:p>
      <w:pPr>
        <w:ind w:left="1200" w:right="80"/>
        <w:spacing w:after="0" w:line="277" w:lineRule="auto"/>
        <w:rPr>
          <w:rFonts w:ascii="Arial" w:cs="Arial" w:eastAsia="Arial" w:hAnsi="Arial"/>
          <w:sz w:val="18"/>
          <w:szCs w:val="18"/>
          <w:color w:val="auto"/>
        </w:rPr>
      </w:pPr>
      <w:r>
        <w:rPr>
          <w:rFonts w:ascii="Arial" w:cs="Arial" w:eastAsia="Arial" w:hAnsi="Arial"/>
          <w:sz w:val="18"/>
          <w:szCs w:val="18"/>
          <w:color w:val="auto"/>
        </w:rPr>
        <w:t>In October 2015, we announced initiation of a Phase 2 clinical trial of MN-001 (tipelukast) to treat moderate to severe IPF at Penn State and this trial is currently enrolling patients.</w:t>
      </w:r>
    </w:p>
    <w:p>
      <w:pPr>
        <w:spacing w:after="0" w:line="75" w:lineRule="exact"/>
        <w:rPr>
          <w:rFonts w:ascii="Arial" w:cs="Arial" w:eastAsia="Arial" w:hAnsi="Arial"/>
          <w:sz w:val="18"/>
          <w:szCs w:val="18"/>
          <w:color w:val="auto"/>
        </w:rPr>
      </w:pPr>
    </w:p>
    <w:p>
      <w:pPr>
        <w:ind w:left="1200" w:right="120"/>
        <w:spacing w:after="0" w:line="277" w:lineRule="auto"/>
        <w:rPr>
          <w:rFonts w:ascii="Arial" w:cs="Arial" w:eastAsia="Arial" w:hAnsi="Arial"/>
          <w:sz w:val="18"/>
          <w:szCs w:val="18"/>
          <w:color w:val="auto"/>
        </w:rPr>
      </w:pPr>
      <w:r>
        <w:rPr>
          <w:rFonts w:ascii="Arial" w:cs="Arial" w:eastAsia="Arial" w:hAnsi="Arial"/>
          <w:sz w:val="18"/>
          <w:szCs w:val="18"/>
          <w:color w:val="auto"/>
        </w:rPr>
        <w:t>In July 2016, we announced that we received a Notice of Allowance from the U.S. PTO for a new patent which covers MN-001 (tipelukast) and MN-002 for the treatment of fibrosis.</w:t>
      </w:r>
    </w:p>
    <w:p>
      <w:pPr>
        <w:spacing w:after="0" w:line="170"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We completed a Phase 2 clinical trial of MN-221 for the treatment of acute exacerbations of asthma treated in the emergency room and conducted an End-of-Phase 2 (EOP2) meeting with the U.S. Food and Drug Administration (FDA) in October 2012. In that meeting, the FDA identified the risk/benefit profile of MN-221 as a focal point for further development and advised that a clinical outcome, such as a reduction in hospitalizations, would need to be a pivotal trial primary endpoint. Previously completed Phase 2 studies have evaluated the potential for MN-221 to reduce hospitalizations due to acute exacerbations of asthma. We believe the appropriate clinical development for MN-221 will involve conducting dose regimen and acute exacerbations of asthma trial design optimization studies prior to commencing pivotal trials. We are working to identify a partner for financial support before further clinical development is commenced.</w:t>
      </w:r>
    </w:p>
    <w:p>
      <w:pPr>
        <w:spacing w:after="0" w:line="189" w:lineRule="exact"/>
        <w:rPr>
          <w:sz w:val="20"/>
          <w:szCs w:val="20"/>
          <w:color w:val="auto"/>
        </w:rPr>
      </w:pPr>
    </w:p>
    <w:p>
      <w:pPr>
        <w:ind w:right="480" w:firstLine="598"/>
        <w:spacing w:after="0" w:line="264" w:lineRule="auto"/>
        <w:rPr>
          <w:sz w:val="20"/>
          <w:szCs w:val="20"/>
          <w:color w:val="auto"/>
        </w:rPr>
      </w:pPr>
      <w:r>
        <w:rPr>
          <w:rFonts w:ascii="Arial" w:cs="Arial" w:eastAsia="Arial" w:hAnsi="Arial"/>
          <w:sz w:val="18"/>
          <w:szCs w:val="18"/>
          <w:color w:val="auto"/>
        </w:rPr>
        <w:t>We have acquired licenses to MN-166, MN-001, MN-221, and MN-029 for the development of these product candidates. We have pursued development of these product candidates in various indications including progressive MS, ALS, various addictions, NASH, IPF, acute exacerbations of asthma, and solid tumor cancers.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62" w:lineRule="exact"/>
        <w:rPr>
          <w:sz w:val="20"/>
          <w:szCs w:val="20"/>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117" w:lineRule="exact"/>
        <w:rPr>
          <w:rFonts w:ascii="Arial" w:cs="Arial" w:eastAsia="Arial" w:hAnsi="Arial"/>
          <w:sz w:val="18"/>
          <w:szCs w:val="18"/>
          <w:color w:val="auto"/>
        </w:rPr>
      </w:pPr>
    </w:p>
    <w:p>
      <w:pPr>
        <w:ind w:left="1200"/>
        <w:spacing w:after="0" w:line="255" w:lineRule="auto"/>
        <w:rPr>
          <w:rFonts w:ascii="Arial" w:cs="Arial" w:eastAsia="Arial" w:hAnsi="Arial"/>
          <w:sz w:val="18"/>
          <w:szCs w:val="18"/>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are funding portions of the consortium-sponsored trials. For example, we have contributed financially to the Secondary and Primary Progressive Ibudilast NeuroNEXT Trial in Multiple Sclerosis (SPRINT-MS) Phase 2 clinical trial of MN-166 (ibudilast) for the treatment of progressive MS, which is primarily funded by the NIH. In addition, we are contributing financially to the ongoing clinical trial of MN-166 (ibudilast) for the treatment of ALS as well as the ongoing ALS / Biomarker study. We intend to pursue additional strategic alliances to help support further clinical development of MN-166 (ibudilast).</w:t>
      </w:r>
    </w:p>
    <w:p>
      <w:pPr>
        <w:spacing w:after="0" w:line="81"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diseases such as NASH and IPF.</w:t>
      </w:r>
    </w:p>
    <w:p>
      <w:pPr>
        <w:spacing w:after="0" w:line="117" w:lineRule="exact"/>
        <w:rPr>
          <w:rFonts w:ascii="Arial" w:cs="Arial" w:eastAsia="Arial" w:hAnsi="Arial"/>
          <w:sz w:val="18"/>
          <w:szCs w:val="18"/>
          <w:color w:val="auto"/>
        </w:rPr>
      </w:pPr>
    </w:p>
    <w:p>
      <w:pPr>
        <w:ind w:left="1200" w:right="4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62" w:lineRule="exact"/>
        <w:rPr>
          <w:rFonts w:ascii="Arial" w:cs="Arial" w:eastAsia="Arial" w:hAnsi="Arial"/>
          <w:sz w:val="18"/>
          <w:szCs w:val="18"/>
          <w:color w:val="auto"/>
        </w:rPr>
      </w:pPr>
    </w:p>
    <w:p>
      <w:pPr>
        <w:ind w:left="1200" w:right="420" w:hanging="598"/>
        <w:spacing w:after="0" w:line="277"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Strategically partner with one or more leading pharmaceutical companies to complete late-stage product development and successfully commercialize our products.</w:t>
      </w:r>
    </w:p>
    <w:p>
      <w:pPr>
        <w:spacing w:after="0" w:line="62" w:lineRule="exact"/>
        <w:rPr>
          <w:rFonts w:ascii="Arial" w:cs="Arial" w:eastAsia="Arial" w:hAnsi="Arial"/>
          <w:sz w:val="18"/>
          <w:szCs w:val="18"/>
          <w:color w:val="auto"/>
        </w:rPr>
      </w:pPr>
    </w:p>
    <w:p>
      <w:pPr>
        <w:ind w:left="1200" w:right="60"/>
        <w:spacing w:after="0" w:line="312" w:lineRule="auto"/>
        <w:rPr>
          <w:rFonts w:ascii="Arial" w:cs="Arial" w:eastAsia="Arial" w:hAnsi="Arial"/>
          <w:sz w:val="18"/>
          <w:szCs w:val="18"/>
          <w:color w:val="auto"/>
        </w:rPr>
      </w:pPr>
      <w:r>
        <w:rPr>
          <w:rFonts w:ascii="Arial" w:cs="Arial" w:eastAsia="Arial" w:hAnsi="Arial"/>
          <w:sz w:val="16"/>
          <w:szCs w:val="16"/>
          <w:color w:val="auto"/>
        </w:rPr>
        <w:t>We develop and maintain relationships with pharmaceutical companies that are therapeutic category leaders. Upon completion of proof-of-concept Phase 2 clinical trials, we intend to enter into strategic alliances with leading pharmaceutical companies who seek late-stage product candidates, such as MN-166, MN-001, MN-221 and MN-029, to support further clinical development and product commercialization.</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Product Candidates and Programs</w:t>
      </w:r>
    </w:p>
    <w:p>
      <w:pPr>
        <w:spacing w:after="0" w:line="121"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Our product development programs address diseases that we believe are not well served by currently available therapies and represent significant commercial opportunities. We believe that we have product candidates that offer innovative therapeutic approaches that may provide significant advantages relative to current therapies.</w:t>
      </w:r>
    </w:p>
    <w:p>
      <w:pPr>
        <w:spacing w:after="0" w:line="181" w:lineRule="exact"/>
        <w:rPr>
          <w:sz w:val="20"/>
          <w:szCs w:val="20"/>
          <w:color w:val="auto"/>
        </w:rPr>
      </w:pPr>
    </w:p>
    <w:p>
      <w:pPr>
        <w:ind w:right="500" w:firstLine="598"/>
        <w:spacing w:after="0" w:line="312" w:lineRule="auto"/>
        <w:rPr>
          <w:sz w:val="20"/>
          <w:szCs w:val="20"/>
          <w:color w:val="auto"/>
        </w:rPr>
      </w:pPr>
      <w:r>
        <w:rPr>
          <w:rFonts w:ascii="Arial" w:cs="Arial" w:eastAsia="Arial" w:hAnsi="Arial"/>
          <w:sz w:val="16"/>
          <w:szCs w:val="16"/>
          <w:color w:val="auto"/>
        </w:rPr>
        <w:t>Our product acquisitions have focused primarily on product candidates with significant preclinical and early clinical testing data that have been developed by the licensors outside of the U.S. We utilize the existing data in preparing Investigational New Drug Applications (INDs) or their foreign equivalents, and in designing and implementing additional preclinical or clinical trials to advance the regulatory approval process in the U.S. or abroad.</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Following are the details of our product development programs: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w:t>
      </w:r>
    </w:p>
    <w:p>
      <w:pPr>
        <w:spacing w:after="0" w:line="117" w:lineRule="exact"/>
        <w:rPr>
          <w:sz w:val="20"/>
          <w:szCs w:val="20"/>
          <w:color w:val="auto"/>
        </w:rPr>
      </w:pPr>
    </w:p>
    <w:p>
      <w:pPr>
        <w:ind w:right="140" w:firstLine="598"/>
        <w:spacing w:after="0" w:line="270" w:lineRule="auto"/>
        <w:rPr>
          <w:sz w:val="20"/>
          <w:szCs w:val="20"/>
          <w:color w:val="auto"/>
        </w:rPr>
      </w:pPr>
      <w:r>
        <w:rPr>
          <w:rFonts w:ascii="Arial" w:cs="Arial" w:eastAsia="Arial" w:hAnsi="Arial"/>
          <w:sz w:val="17"/>
          <w:szCs w:val="17"/>
          <w:color w:val="auto"/>
        </w:rPr>
        <w:t>MN-166 (ibudilast) is a novel, first-in-class, oral, anti-inflammatory and neuroprotective agent. Ibudilast inhibits macrophage migration inhibitory factor (MIF) and certain phosphodiesterases (PDEs). Ibudilast also attenuates activated glia cells, which play a major role in certain neurological conditions. While it has been in use for more than 20 years in Japan and Korea for the treatment of asthma and post-stroke dizziness, we are developing ibudilast for the treatment of primary progressive and secondary progressive MS, ALS, and substance dependence. We licensed MN-166 (ibudilast) from Kyorin Pharmaceuticals (Kyorin) in 2004. The FDA has granted Fast Track designations to MN-166 (ibudilast) for three separate indications: the treatment of progressive MS, the treatment of ALS, and the treatment of methamphetamine dependence. In addition, the FDA granted Orphan-Drug designation to MN-166 (ibudilast) for the treatment of ALS, which will provide seven years of marketing exclusivity if it is approved for ALS in the U.S. The European Commission also granted Orphan Medicinal Product Designation for MN-166 (ibudilast) for the treatment of ALS which offers potential benefits including 10 years of marketing exclusivity if it is approved for ALS in Europe.</w:t>
      </w:r>
    </w:p>
    <w:p>
      <w:pPr>
        <w:spacing w:after="0" w:line="182" w:lineRule="exact"/>
        <w:rPr>
          <w:sz w:val="20"/>
          <w:szCs w:val="20"/>
          <w:color w:val="auto"/>
        </w:rPr>
      </w:pPr>
    </w:p>
    <w:p>
      <w:pPr>
        <w:ind w:right="280" w:firstLine="598"/>
        <w:spacing w:after="0" w:line="264" w:lineRule="auto"/>
        <w:rPr>
          <w:sz w:val="20"/>
          <w:szCs w:val="20"/>
          <w:color w:val="auto"/>
        </w:rPr>
      </w:pPr>
      <w:r>
        <w:rPr>
          <w:rFonts w:ascii="Arial" w:cs="Arial" w:eastAsia="Arial" w:hAnsi="Arial"/>
          <w:sz w:val="18"/>
          <w:szCs w:val="18"/>
          <w:color w:val="auto"/>
        </w:rPr>
        <w:t>We have filed patent applications for multiple uses of ibudilast for the treatment of neurological conditions. Some of the patent estate has received allowance in the U.S. and foreign countries. For example, we have been granted separate U.S. patents that cover the use of ibudilast for the treatment of progressive MS, for the treatment of ALS, and for the treatment of drug addiction or dependence.</w:t>
      </w:r>
    </w:p>
    <w:p>
      <w:pPr>
        <w:spacing w:after="0" w:line="181"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i w:val="1"/>
          <w:iCs w:val="1"/>
          <w:color w:val="auto"/>
        </w:rPr>
        <w:t xml:space="preserve">Primary and Secondary Progressive Multiple Sclerosis: </w:t>
      </w:r>
      <w:r>
        <w:rPr>
          <w:rFonts w:ascii="Arial" w:cs="Arial" w:eastAsia="Arial" w:hAnsi="Arial"/>
          <w:sz w:val="17"/>
          <w:szCs w:val="17"/>
          <w:color w:val="auto"/>
        </w:rPr>
        <w:t>MS is a complex disease with predominantly unknown etiology and affects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2.3 million people worldwide, according to the National Multiple Sclerosis Society, or NMSS. Also, according to NMSS, approximately 85 percent of people with MS are initially diagnosed with relapsing-remitting MS, or RRMS, and most people who are initially diagnosed with RRMS will eventually transition to secondary progressive MS, or SPMS. About 15 percent of people with MS are diagnosed with primary progressive MS, or PPMS. There are no approved therapies generally considered safe and efficacious in PPMS or SPMS in the absence of relapses. There is a significant medical need for a safe, effective, and conveniently administered therapy for patients with PPMS and SPMS. MN-166 (ibudilast) may meet these needs. Based on promising results from a Phase 2a trial in relapsing MS completed in 2008, investigators from NeuroNEXT, a NIH-funded Phase 2 clinical trial network, are evaluating ibudilast in PPMS and SPMS patients in the U.S. SPRINT-MS is a Phase 2, randomized, double-blind, placebo-controlled trial evaluating the safety and tolerability of ibudilast (up to 100 mg/day) in PPMS and SPMS patients. Recruitment and enrollment at 28 medical centers in the U.S. commenced in late 2013 and randomization of 255 subjects was completed in June 2015. In December 2016, we announced that the external Data and Safety Monitoring Board (DSMB) reviewed the results of the interim efficacy analysis from the ongoing Phase 2b clinical trial of MN-166 (ibudilast) in progressive MS and made a recommendation to the NIH NINDS that the trial should continue as planned and this recommendation was accepted by NINDS. Final results of this trial are expected in the second half of 2017.</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 w:name="page8"/>
    <w:bookmarkEnd w:id="7"/>
    <w:p>
      <w:pPr>
        <w:ind w:firstLine="598"/>
        <w:spacing w:after="0" w:line="285" w:lineRule="auto"/>
        <w:rPr>
          <w:sz w:val="20"/>
          <w:szCs w:val="20"/>
          <w:color w:val="auto"/>
        </w:rPr>
      </w:pPr>
      <w:r>
        <w:rPr>
          <w:rFonts w:ascii="Arial" w:cs="Arial" w:eastAsia="Arial" w:hAnsi="Arial"/>
          <w:sz w:val="16"/>
          <w:szCs w:val="16"/>
          <w:i w:val="1"/>
          <w:iCs w:val="1"/>
          <w:color w:val="auto"/>
        </w:rPr>
        <w:t xml:space="preserve">Amyotrophic Lateral Sclerosis (ALS): </w:t>
      </w:r>
      <w:r>
        <w:rPr>
          <w:rFonts w:ascii="Arial" w:cs="Arial" w:eastAsia="Arial" w:hAnsi="Arial"/>
          <w:sz w:val="16"/>
          <w:szCs w:val="16"/>
          <w:color w:val="auto"/>
        </w:rPr>
        <w:t>ALS, also known as Lou Gehrig’s disease, is a progressive neurodegenerative disease that affects nerve cells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brain and the spinal cord. The nerves lose the ability to trigger specific muscles, which causes the muscles to become weak. As a result, ALS affects voluntary movement and patients in the later stages of the disease may become totally paralyzed. Life expectancy of an ALS patient is usually 2-5 years. According to the ALS Association, there are approximately 20,000 ALS patients in the U.S. and approximately 6,000 people in the U.S. are diagnosed with ALS each year. Riluzole is the only pharmaceutical treatment approved for ALS in the U.S., but it has limited efficacy. We are working with Carolinas Neuromuscular/ALS-MDA Center at Carolinas HealthCare System Neurosciences Institute, which is conducting an ongoing clinical trial of ibudilast in ALS. The trial is a randomized, double-blind, placebo-controlled study which includes a six-month treatment period followed by a six-month open-label extension. The study will evaluate several efficacy endpoints in addition to monitoring the safety and tolerability of MN-166 (ibudilast) 60 mg/day versus placebo when administered in combination with riluzole in subjects with ALS. Subject enrollment began in October 2014. In September 2015, we announced that the first advanced ALS patient, using non-invasive ventilation (NIV), enrolled in the ongoing ALS study. We amended the protocol to expand its recruitment to include advanced ALS patients in the trial. In December 2015, we announced that the FDA granted Fast Track designation to MN-166 (ibudilast) for the treatment of patients with ALS. In March 2016, we announced that we received a Notice of Allowance from the U.S. Patent and Trademark Office (PTO) for a new patent which covers MN-166 (ibudilast) for the treatment of amyotrophic lateral sclerosis (ALS). In April 2016, we announced that interim efficacy data from a mid-study analysis of the ongoing clinical trial of MN-166 (ibudilast) in ALS was presented at the American Academy of Neurology (AAN) 68th Annual Meeting. In addition to the encouraging interim efficacy data, no cluster of adverse events was differentially present in MN-166 treatment and placebo treatment subjects in this ALS study. In October 2016, we announced that the FDA granted Orphan-Drug designation to MN-166 (ibudilast) for the treatment of ALS, which will provide seven years of marketing exclusivity if it is approved for ALS. In December 2016, we announced that the European Commission granted Orphan Medicinal Product Designation for MN-166 (ibudilast) for the treatment of ALS.</w:t>
      </w:r>
    </w:p>
    <w:p>
      <w:pPr>
        <w:spacing w:after="0" w:line="173"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In February 2016, we entered into an agreement to collaborate with Massachusetts General Hospital (MGH) to study the effects of MN-166 (ibudilast) on reducing brain microglial activation in ALS subjects measured by a positron emission tomography (PET) biomarker. This clinical trial, which we refer to as the ALS / Biomarker study, will also evaluate safety and tolerability as well as several clinical outcomes including ALS functional rating scale (ALSFRS-R), slow vital capacity (SVC), and muscle strength measured by hand-held dynamometry (HHD). This trial is currently enrolling patients.</w:t>
      </w:r>
    </w:p>
    <w:p>
      <w:pPr>
        <w:spacing w:after="0" w:line="154" w:lineRule="exact"/>
        <w:rPr>
          <w:sz w:val="20"/>
          <w:szCs w:val="20"/>
          <w:color w:val="auto"/>
        </w:rPr>
      </w:pPr>
    </w:p>
    <w:p>
      <w:pPr>
        <w:ind w:right="40" w:firstLine="598"/>
        <w:spacing w:after="0" w:line="289" w:lineRule="auto"/>
        <w:rPr>
          <w:sz w:val="20"/>
          <w:szCs w:val="20"/>
          <w:color w:val="auto"/>
        </w:rPr>
      </w:pPr>
      <w:r>
        <w:rPr>
          <w:rFonts w:ascii="Arial" w:cs="Arial" w:eastAsia="Arial" w:hAnsi="Arial"/>
          <w:sz w:val="16"/>
          <w:szCs w:val="16"/>
          <w:i w:val="1"/>
          <w:iCs w:val="1"/>
          <w:color w:val="auto"/>
        </w:rPr>
        <w:t xml:space="preserve">Methamphetamine addiction: </w:t>
      </w:r>
      <w:r>
        <w:rPr>
          <w:rFonts w:ascii="Arial" w:cs="Arial" w:eastAsia="Arial" w:hAnsi="Arial"/>
          <w:sz w:val="16"/>
          <w:szCs w:val="16"/>
          <w:color w:val="auto"/>
        </w:rPr>
        <w:t>Methamphetamine (MA) is a central nervous system stimulant drug that is similar in structure to amphetamine. It is a</w:t>
      </w:r>
      <w:r>
        <w:rPr>
          <w:rFonts w:ascii="Arial" w:cs="Arial" w:eastAsia="Arial" w:hAnsi="Arial"/>
          <w:sz w:val="16"/>
          <w:szCs w:val="16"/>
          <w:i w:val="1"/>
          <w:iCs w:val="1"/>
          <w:color w:val="auto"/>
        </w:rPr>
        <w:t xml:space="preserve"> </w:t>
      </w:r>
      <w:r>
        <w:rPr>
          <w:rFonts w:ascii="Arial" w:cs="Arial" w:eastAsia="Arial" w:hAnsi="Arial"/>
          <w:sz w:val="16"/>
          <w:szCs w:val="16"/>
          <w:color w:val="auto"/>
        </w:rPr>
        <w:t>Schedule II drug, meaning that it has high abuse potential and low therapeutic potential. According to the Substance Abuse and Mental Health Services Administration’s (SAMHSA) 2015 National Survey on Drug Use and Health, there are approximately 872,000 people age 12 or older with methamphetamine use disorder (includes those with dependence or abuse) in the U.S. According to the Rand Corporation, the estimate of the economic burden in the U.S. of methamphetamine use, based on the most recent year for which data are available, is approximately $23.4 billion. Currently, there is no pharmaceutical treatment approved for methamphetamine dependence. Based on non-clinical results with ibudilast’s effects in an animal model of methamphetamine relapse, investigators at UCLA conducted a Phase 1b clinical trial funded by NIDA to examine the safety and preliminary efficacy of ibudilast in non-treatment-seeking, methamphetamine-dependent users in an inpatient trial that was completed in 2012. Subsequently, UCLA investigators received NIDA grant funding for an ongoing Phase 2 clinical trial that commenced in 2013 for evaluation of ibudilast in methamphetamine-dependent users in an outpatient trial setting.</w:t>
      </w:r>
    </w:p>
    <w:p>
      <w:pPr>
        <w:spacing w:after="0" w:line="167"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We were granted Fast Track designation from the FDA for ibudilast for the treatment of MA dependence in 2013. Fast track designation is a process designed to facilitate the development and expedite the review of drugs that are intended to treat serious diseases and have the potential to fill an unmet medical need. An important feature of the FDA’s Fast Track program is that it emphasizes early and frequent communication between the FDA and the sponsor throughout the entire drug development and review process to improve the efficiency of product development. Accordingly, Fast Track status can potentially lead to a shortened timeline to ultimate drug approval.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ind w:left="600"/>
        <w:spacing w:after="0"/>
        <w:rPr>
          <w:sz w:val="20"/>
          <w:szCs w:val="20"/>
          <w:color w:val="auto"/>
        </w:rPr>
      </w:pPr>
      <w:r>
        <w:rPr>
          <w:rFonts w:ascii="Arial" w:cs="Arial" w:eastAsia="Arial" w:hAnsi="Arial"/>
          <w:sz w:val="17"/>
          <w:szCs w:val="17"/>
          <w:i w:val="1"/>
          <w:iCs w:val="1"/>
          <w:color w:val="auto"/>
        </w:rPr>
        <w:t xml:space="preserve">Opioid withdrawal and dependency: </w:t>
      </w:r>
      <w:r>
        <w:rPr>
          <w:rFonts w:ascii="Arial" w:cs="Arial" w:eastAsia="Arial" w:hAnsi="Arial"/>
          <w:sz w:val="17"/>
          <w:szCs w:val="17"/>
          <w:color w:val="auto"/>
        </w:rPr>
        <w:t>According to the SAMHSA’s 2015 National Survey on Drug Use and Health, there are approximately</w:t>
      </w:r>
    </w:p>
    <w:p>
      <w:pPr>
        <w:spacing w:after="0" w:line="3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 xml:space="preserve">2.0 million people age 12 or older with pain reliever use disorder (includes those with dependence or abuse) and approximately 591,000 people age 12 or older with heroin use disorder (includes those with dependence or abuse) in the U.S. Access to prescription opioids has recently become more difficult due to more stringent policies on prescribing opioids. An unintended consequence of this policy is increased use of heroin. Heroin is attractive to prescription opioid addicts because it is cheaper and more accessible than prescription opioids. Heroin poses serious health issues, such as risk of HIV and Hepatitis C infection, overdose and death (Knopf, 2012). The economic costs of nonmedical use of prescription opioids in the U.S. in 2006 (Hansen </w:t>
      </w:r>
      <w:r>
        <w:rPr>
          <w:rFonts w:ascii="Arial" w:cs="Arial" w:eastAsia="Arial" w:hAnsi="Arial"/>
          <w:sz w:val="17"/>
          <w:szCs w:val="17"/>
          <w:i w:val="1"/>
          <w:iCs w:val="1"/>
          <w:color w:val="auto"/>
        </w:rPr>
        <w:t>et al.</w:t>
      </w:r>
      <w:r>
        <w:rPr>
          <w:rFonts w:ascii="Arial" w:cs="Arial" w:eastAsia="Arial" w:hAnsi="Arial"/>
          <w:sz w:val="17"/>
          <w:szCs w:val="17"/>
          <w:color w:val="auto"/>
        </w:rPr>
        <w:t>, 2011) was estimated to total more than $50 billion annually, with lost productivity and crime accounting for 94% of the total economic burden. There is an urgent, significant unmet medical need for a safe, effective non-addictive, non-opioid therapy for the treatment of prescription opioid and heroin addiction. Investigators at Columbia University and NYSPI previously completed a NIDA-funded, double-blind, randomized, placebo-controlled in-unit Phase 1b/2a clinical trial to evaluate the ability of ibudilast to reduce opioid withdrawal symptoms in humans. Subsequently, investigators at Columbia University and NYSPI conducted a NIDA-funded Phase 2a clinical trial of ibudilast for the treatment of prescription opioid or heroin dependency. In March 2016, we announced that positive findings from the results of this completed study in opioid dependence were presented at the Behavior, Biology and Chemistry: Translational Research in Addiction Meeting.</w:t>
      </w:r>
    </w:p>
    <w:p>
      <w:pPr>
        <w:spacing w:after="0" w:line="185" w:lineRule="exact"/>
        <w:rPr>
          <w:sz w:val="20"/>
          <w:szCs w:val="20"/>
          <w:color w:val="auto"/>
        </w:rPr>
      </w:pPr>
    </w:p>
    <w:p>
      <w:pPr>
        <w:ind w:right="20" w:firstLine="598"/>
        <w:spacing w:after="0" w:line="276" w:lineRule="auto"/>
        <w:rPr>
          <w:sz w:val="20"/>
          <w:szCs w:val="20"/>
          <w:color w:val="auto"/>
        </w:rPr>
      </w:pPr>
      <w:r>
        <w:rPr>
          <w:rFonts w:ascii="Arial" w:cs="Arial" w:eastAsia="Arial" w:hAnsi="Arial"/>
          <w:sz w:val="16"/>
          <w:szCs w:val="16"/>
          <w:i w:val="1"/>
          <w:iCs w:val="1"/>
          <w:color w:val="auto"/>
        </w:rPr>
        <w:t xml:space="preserve">Alcohol addiction: </w:t>
      </w:r>
      <w:r>
        <w:rPr>
          <w:rFonts w:ascii="Arial" w:cs="Arial" w:eastAsia="Arial" w:hAnsi="Arial"/>
          <w:sz w:val="16"/>
          <w:szCs w:val="16"/>
          <w:color w:val="auto"/>
        </w:rPr>
        <w:t>According to SAMHSA’s 2015 National Survey on Drug Use and Health, there are approximately 15.7 million people with</w:t>
      </w:r>
      <w:r>
        <w:rPr>
          <w:rFonts w:ascii="Arial" w:cs="Arial" w:eastAsia="Arial" w:hAnsi="Arial"/>
          <w:sz w:val="16"/>
          <w:szCs w:val="16"/>
          <w:i w:val="1"/>
          <w:iCs w:val="1"/>
          <w:color w:val="auto"/>
        </w:rPr>
        <w:t xml:space="preserve"> </w:t>
      </w:r>
      <w:r>
        <w:rPr>
          <w:rFonts w:ascii="Arial" w:cs="Arial" w:eastAsia="Arial" w:hAnsi="Arial"/>
          <w:sz w:val="16"/>
          <w:szCs w:val="16"/>
          <w:color w:val="auto"/>
        </w:rPr>
        <w:t>alcohol use disorder (includes those with dependence or abuse) aged 12 and older in the U.S. The Centers for Disease Control and Prevention (CDC) reports that excessive alcohol use cost the U.S. $249 billion in 2010, the latest year for which complete data are available. Currently, medicines approved by the FDA to treat alcohol dependence include Antabuse</w:t>
      </w:r>
      <w:r>
        <w:rPr>
          <w:rFonts w:ascii="Arial" w:cs="Arial" w:eastAsia="Arial" w:hAnsi="Arial"/>
          <w:sz w:val="23"/>
          <w:szCs w:val="23"/>
          <w:color w:val="auto"/>
          <w:vertAlign w:val="superscript"/>
        </w:rPr>
        <w:t>®</w:t>
      </w:r>
      <w:r>
        <w:rPr>
          <w:rFonts w:ascii="Arial" w:cs="Arial" w:eastAsia="Arial" w:hAnsi="Arial"/>
          <w:sz w:val="16"/>
          <w:szCs w:val="16"/>
          <w:color w:val="auto"/>
        </w:rPr>
        <w:t>, Vivitrol</w:t>
      </w:r>
      <w:r>
        <w:rPr>
          <w:rFonts w:ascii="Arial" w:cs="Arial" w:eastAsia="Arial" w:hAnsi="Arial"/>
          <w:sz w:val="23"/>
          <w:szCs w:val="23"/>
          <w:color w:val="auto"/>
          <w:vertAlign w:val="superscript"/>
        </w:rPr>
        <w:t>®</w:t>
      </w:r>
      <w:r>
        <w:rPr>
          <w:rFonts w:ascii="Arial" w:cs="Arial" w:eastAsia="Arial" w:hAnsi="Arial"/>
          <w:sz w:val="16"/>
          <w:szCs w:val="16"/>
          <w:color w:val="auto"/>
        </w:rPr>
        <w:t>, Campral</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Revia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However, the search for a safe and effective drug remains elusive due to limited success of these FDA-approved compounds (Witkiewitz </w:t>
      </w:r>
      <w:r>
        <w:rPr>
          <w:rFonts w:ascii="Arial" w:cs="Arial" w:eastAsia="Arial" w:hAnsi="Arial"/>
          <w:sz w:val="16"/>
          <w:szCs w:val="16"/>
          <w:i w:val="1"/>
          <w:iCs w:val="1"/>
          <w:color w:val="auto"/>
        </w:rPr>
        <w:t>et al</w:t>
      </w:r>
      <w:r>
        <w:rPr>
          <w:rFonts w:ascii="Arial" w:cs="Arial" w:eastAsia="Arial" w:hAnsi="Arial"/>
          <w:sz w:val="16"/>
          <w:szCs w:val="16"/>
          <w:color w:val="auto"/>
        </w:rPr>
        <w:t xml:space="preserve">., 2012). In a non-clinical trial (Bell </w:t>
      </w:r>
      <w:r>
        <w:rPr>
          <w:rFonts w:ascii="Arial" w:cs="Arial" w:eastAsia="Arial" w:hAnsi="Arial"/>
          <w:sz w:val="16"/>
          <w:szCs w:val="16"/>
          <w:i w:val="1"/>
          <w:iCs w:val="1"/>
          <w:color w:val="auto"/>
        </w:rPr>
        <w:t>et al</w:t>
      </w:r>
      <w:r>
        <w:rPr>
          <w:rFonts w:ascii="Arial" w:cs="Arial" w:eastAsia="Arial" w:hAnsi="Arial"/>
          <w:sz w:val="16"/>
          <w:szCs w:val="16"/>
          <w:color w:val="auto"/>
        </w:rPr>
        <w:t>., 2013), ibudilast was examined in rats and mice and was found to reduce alcohol drinking in alcohol-preferring P rats and high-alcohol drinking (HAD1) rats by 50%, and in mice made dependent on alcohol at doses which had no effect on non-dependent mice. Investigators at UCLA received funding from the NIAAA to initiate a Phase 2a study to evaluate ibudilast in a randomized, double-blind, placebo-controlled within-subject crossover design to determine the safety, tolerability and initial human laboratory efficacy of ibudilast in a sample of 24 non-treatment seeking individuals with either alcohol abuse or dependence. The study was initiated in early 2014 and completed enrollment of 24 subjects in June 2015. Results of the alcohol dependence study were presented at the American College of Neuropsychopharmacology (ACNP)’s 54th Annual Meeting in December 2015. MN-166 (ibudilast), but not placebo, significantly decreased basal, daily alcohol craving over the course of the study (p&lt;0.05). MN-166 (ibudilast) did not affect cue- and stress-induced alcohol craving. However, MN-166 (ibudilast) increased positive mood during both the cue reactivity and stress procedures. MN-166 (ibudilast) was safe and well-tolerated during the study.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(bedoradrine)</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MN-221 (bedoradrine) is a novel, highly selective ß</w:t>
      </w:r>
      <w:r>
        <w:rPr>
          <w:rFonts w:ascii="Arial" w:cs="Arial" w:eastAsia="Arial" w:hAnsi="Arial"/>
          <w:sz w:val="15"/>
          <w:szCs w:val="15"/>
          <w:color w:val="auto"/>
        </w:rPr>
        <w:t>2</w:t>
      </w:r>
      <w:r>
        <w:rPr>
          <w:rFonts w:ascii="Arial" w:cs="Arial" w:eastAsia="Arial" w:hAnsi="Arial"/>
          <w:sz w:val="18"/>
          <w:szCs w:val="18"/>
          <w:color w:val="auto"/>
        </w:rPr>
        <w:t>-adrenergic receptor agonist being developed for the treatment of acute exacerbations of asthma. We licensed MN-221 from Kissei Pharmaceutical Co., Ltd. (Kissei) in February 2004. Current inhaled beta-agonist treatments for asthma exacerbations are limited by bronchoconstriction or insufficient airflow due to inflammation and airway constriction, which reduces the amount of inhaled drug that can get into the lungs. In addition, the amount of inhaled treatments a patient can tolerate is limited due to the potential for cardiovascular side effects (</w:t>
      </w:r>
      <w:r>
        <w:rPr>
          <w:rFonts w:ascii="Arial" w:cs="Arial" w:eastAsia="Arial" w:hAnsi="Arial"/>
          <w:sz w:val="18"/>
          <w:szCs w:val="18"/>
          <w:i w:val="1"/>
          <w:iCs w:val="1"/>
          <w:color w:val="auto"/>
        </w:rPr>
        <w:t>e.g.</w:t>
      </w:r>
      <w:r>
        <w:rPr>
          <w:rFonts w:ascii="Arial" w:cs="Arial" w:eastAsia="Arial" w:hAnsi="Arial"/>
          <w:sz w:val="18"/>
          <w:szCs w:val="18"/>
          <w:color w:val="auto"/>
        </w:rPr>
        <w:t xml:space="preserve"> increased heart rate).</w:t>
      </w:r>
    </w:p>
    <w:p>
      <w:pPr>
        <w:spacing w:after="0" w:line="188" w:lineRule="exact"/>
        <w:rPr>
          <w:sz w:val="20"/>
          <w:szCs w:val="20"/>
          <w:color w:val="auto"/>
        </w:rPr>
      </w:pPr>
    </w:p>
    <w:p>
      <w:pPr>
        <w:ind w:right="220" w:firstLine="598"/>
        <w:spacing w:after="0" w:line="279" w:lineRule="auto"/>
        <w:rPr>
          <w:sz w:val="20"/>
          <w:szCs w:val="20"/>
          <w:color w:val="auto"/>
        </w:rPr>
      </w:pPr>
      <w:r>
        <w:rPr>
          <w:rFonts w:ascii="Arial" w:cs="Arial" w:eastAsia="Arial" w:hAnsi="Arial"/>
          <w:sz w:val="17"/>
          <w:szCs w:val="17"/>
          <w:color w:val="auto"/>
        </w:rPr>
        <w:t>MN-221 is designed to treat acute exacerbations of asthma via intravenous (i.v.) infusion, bypassing constricted airways to deliver the drug to the lungs. Preclinical studies showed MN-221 to have a high affinity for the ß</w:t>
      </w:r>
      <w:r>
        <w:rPr>
          <w:rFonts w:ascii="Arial" w:cs="Arial" w:eastAsia="Arial" w:hAnsi="Arial"/>
          <w:sz w:val="14"/>
          <w:szCs w:val="14"/>
          <w:color w:val="auto"/>
        </w:rPr>
        <w:t>2</w:t>
      </w:r>
      <w:r>
        <w:rPr>
          <w:rFonts w:ascii="Arial" w:cs="Arial" w:eastAsia="Arial" w:hAnsi="Arial"/>
          <w:sz w:val="17"/>
          <w:szCs w:val="17"/>
          <w:color w:val="auto"/>
        </w:rPr>
        <w:t>-adrenergic receptor, found primarily in the lungs, and a much lower affinity for the ß</w:t>
      </w:r>
      <w:r>
        <w:rPr>
          <w:rFonts w:ascii="Arial" w:cs="Arial" w:eastAsia="Arial" w:hAnsi="Arial"/>
          <w:sz w:val="14"/>
          <w:szCs w:val="14"/>
          <w:color w:val="auto"/>
        </w:rPr>
        <w:t>1</w:t>
      </w:r>
      <w:r>
        <w:rPr>
          <w:rFonts w:ascii="Arial" w:cs="Arial" w:eastAsia="Arial" w:hAnsi="Arial"/>
          <w:sz w:val="17"/>
          <w:szCs w:val="17"/>
          <w:color w:val="auto"/>
        </w:rPr>
        <w:t>-adrenergic receptor found primarily in cardiac tissue. MN-221’s improved delivery to the lungs and its cardiac safety profile may help fill an unmet need for patients with acute exacerbations of asthma, helping them to breathe easier and avoid a costly hospital stay.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ind w:left="600"/>
        <w:spacing w:after="0"/>
        <w:rPr>
          <w:sz w:val="20"/>
          <w:szCs w:val="20"/>
          <w:color w:val="auto"/>
        </w:rPr>
      </w:pPr>
      <w:r>
        <w:rPr>
          <w:rFonts w:ascii="Arial" w:cs="Arial" w:eastAsia="Arial" w:hAnsi="Arial"/>
          <w:sz w:val="17"/>
          <w:szCs w:val="17"/>
          <w:i w:val="1"/>
          <w:iCs w:val="1"/>
          <w:color w:val="auto"/>
        </w:rPr>
        <w:t xml:space="preserve">Acute Exacerbation of Asthma: </w:t>
      </w:r>
      <w:r>
        <w:rPr>
          <w:rFonts w:ascii="Arial" w:cs="Arial" w:eastAsia="Arial" w:hAnsi="Arial"/>
          <w:sz w:val="17"/>
          <w:szCs w:val="17"/>
          <w:color w:val="auto"/>
        </w:rPr>
        <w:t>According to the most recent data available from the U.S. National Center for Health Statistics, there were</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1.75 million emergency department visits, 439,000 hospitalizations, and 3,404 deaths due to asthma in 2010. According to the U.S. National Heart, Lung and Blood Institute, the direct costs associated with hospital care due to asthma were estimated at $5.5 billion in the U.S. in 2010.</w:t>
      </w:r>
    </w:p>
    <w:p>
      <w:pPr>
        <w:spacing w:after="0" w:line="184" w:lineRule="exact"/>
        <w:rPr>
          <w:sz w:val="20"/>
          <w:szCs w:val="20"/>
          <w:color w:val="auto"/>
        </w:rPr>
      </w:pPr>
    </w:p>
    <w:p>
      <w:pPr>
        <w:ind w:right="100" w:firstLine="598"/>
        <w:spacing w:after="0" w:line="293" w:lineRule="auto"/>
        <w:rPr>
          <w:sz w:val="20"/>
          <w:szCs w:val="20"/>
          <w:color w:val="auto"/>
        </w:rPr>
      </w:pPr>
      <w:r>
        <w:rPr>
          <w:rFonts w:ascii="Arial" w:cs="Arial" w:eastAsia="Arial" w:hAnsi="Arial"/>
          <w:sz w:val="16"/>
          <w:szCs w:val="16"/>
          <w:color w:val="auto"/>
        </w:rPr>
        <w:t>We completed a Phase 2b randomized, double-blind, placebo-controlled clinical trial (N=175) evaluating MN-221 in patients with acute exacerbations of asthma in the emergency department setting. MN-221 did not statistically meet the primary endpoint, improvement in FEV</w:t>
      </w:r>
      <w:r>
        <w:rPr>
          <w:rFonts w:ascii="Arial" w:cs="Arial" w:eastAsia="Arial" w:hAnsi="Arial"/>
          <w:sz w:val="13"/>
          <w:szCs w:val="13"/>
          <w:color w:val="auto"/>
        </w:rPr>
        <w:t>1</w:t>
      </w:r>
      <w:r>
        <w:rPr>
          <w:rFonts w:ascii="Arial" w:cs="Arial" w:eastAsia="Arial" w:hAnsi="Arial"/>
          <w:sz w:val="16"/>
          <w:szCs w:val="16"/>
          <w:color w:val="auto"/>
        </w:rPr>
        <w:t xml:space="preserve"> (Forced Expiratory Volume in One Second) compared to placebo. However, MN-221 showed a significant benefit over placebo for FEV</w:t>
      </w:r>
      <w:r>
        <w:rPr>
          <w:rFonts w:ascii="Arial" w:cs="Arial" w:eastAsia="Arial" w:hAnsi="Arial"/>
          <w:sz w:val="13"/>
          <w:szCs w:val="13"/>
          <w:color w:val="auto"/>
        </w:rPr>
        <w:t>1</w:t>
      </w:r>
      <w:r>
        <w:rPr>
          <w:rFonts w:ascii="Arial" w:cs="Arial" w:eastAsia="Arial" w:hAnsi="Arial"/>
          <w:sz w:val="16"/>
          <w:szCs w:val="16"/>
          <w:color w:val="auto"/>
        </w:rPr>
        <w:t xml:space="preserve"> (liters) Area Under the Curve (AUCHr </w:t>
      </w:r>
      <w:r>
        <w:rPr>
          <w:rFonts w:ascii="Arial" w:cs="Arial" w:eastAsia="Arial" w:hAnsi="Arial"/>
          <w:sz w:val="13"/>
          <w:szCs w:val="13"/>
          <w:color w:val="auto"/>
        </w:rPr>
        <w:t>0-1,0-2,0-3</w:t>
      </w:r>
      <w:r>
        <w:rPr>
          <w:rFonts w:ascii="Arial" w:cs="Arial" w:eastAsia="Arial" w:hAnsi="Arial"/>
          <w:sz w:val="16"/>
          <w:szCs w:val="16"/>
          <w:color w:val="auto"/>
        </w:rPr>
        <w:t>) of change from baseline (p=0.043, p=0.050, p=0.066 respectively). The trial also demonstrated a reduction in hospital admissions and return ER visits with MN-221 added to standard drug treatments. Moreover, there was a significant improvement in clinical symptoms with MN-221-treated patients, and the safety profile of MN-221 continues to be positive as no safety/tolerability issues of clinical significance were observed.</w:t>
      </w:r>
    </w:p>
    <w:p>
      <w:pPr>
        <w:spacing w:after="0" w:line="165"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In October 2012, we met with the FDA to review future development of this product candidate. The FDA identified the risk/benefit profile of MN-221 as a focal point for further development and advised that a clinical outcome, such as a reduction in hospitalizations, would need to be a pivotal trial primary endpoint. We have decided that future MN-221 development will be designed based on the feedback received from the FDA and that any future MN-221 clinical trial development for asthma will be partner-dependent from a funding perspective.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w:t>
      </w:r>
    </w:p>
    <w:p>
      <w:pPr>
        <w:spacing w:after="0" w:line="117"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MN-001 (tipelukast) is a novel, orally bioavailable small molecule compound which exerts its effects through several mechanisms to produce its anti-fibrotic and anti-inflammatory activity in preclinical models, including leukotriene (LT) receptor antagonism, inhibition of PDEs (mainly 3 and 4), and inhibition of 5-lipoxygenase (5-LO). The 5-LO/LT pathway has been postulated as a pathogenic factor in fibrosis development and MN-001 (tipelukast)’s inhibitory effect on 5-LO and the 5-LO/LT pathway is considered to be a novel approach to treat fibrosis. MN-001 (tipelukast) has been shown to down-regulate expression of genes that promote fibrosis including LOXL2, Collagen Type 1 and TIMP-1. MN-001 (tipelukast) has also been shown to down-regulate expression of genes that promote inflammation including CCR2 and MCP-1. In addition, histopathological data shows that MN-001 (tipelukast) reduces fibrosis in multiple animal models. We licensed MN-001 (tipelukast) from Kyorin in 2002. In addition to granting MN-001 (tipelukast) Fast-Track designation for the treatment of NASH with fibrosis, the FDA has also granted MN-001 (tipelukast) Orphan-Drug designation and Fast-Track designation for treatment of idiopathic pulmonary fibrosis (IPF).</w:t>
      </w:r>
    </w:p>
    <w:p>
      <w:pPr>
        <w:spacing w:after="0" w:line="182" w:lineRule="exact"/>
        <w:rPr>
          <w:sz w:val="20"/>
          <w:szCs w:val="20"/>
          <w:color w:val="auto"/>
        </w:rPr>
      </w:pPr>
    </w:p>
    <w:p>
      <w:pPr>
        <w:ind w:right="420" w:firstLine="598"/>
        <w:spacing w:after="0" w:line="308" w:lineRule="auto"/>
        <w:rPr>
          <w:sz w:val="20"/>
          <w:szCs w:val="20"/>
          <w:color w:val="auto"/>
        </w:rPr>
      </w:pPr>
      <w:r>
        <w:rPr>
          <w:rFonts w:ascii="Arial" w:cs="Arial" w:eastAsia="Arial" w:hAnsi="Arial"/>
          <w:sz w:val="17"/>
          <w:szCs w:val="17"/>
          <w:color w:val="auto"/>
        </w:rPr>
        <w:t>Previously, we evaluated MN-001 (tipelukast) for its potential clinical efficacy in asthma and completed a Phase 2 study in asthma with positive results. MN-001 (tipelukast) has been exposed to more than 600 subjects and is considered generally safe and well-tolerated.</w:t>
      </w:r>
    </w:p>
    <w:p>
      <w:pPr>
        <w:spacing w:after="0" w:line="147" w:lineRule="exact"/>
        <w:rPr>
          <w:sz w:val="20"/>
          <w:szCs w:val="20"/>
          <w:color w:val="auto"/>
        </w:rPr>
      </w:pPr>
    </w:p>
    <w:p>
      <w:pPr>
        <w:ind w:right="20" w:firstLine="598"/>
        <w:spacing w:after="0" w:line="268" w:lineRule="auto"/>
        <w:rPr>
          <w:sz w:val="20"/>
          <w:szCs w:val="20"/>
          <w:color w:val="auto"/>
        </w:rPr>
      </w:pPr>
      <w:r>
        <w:rPr>
          <w:rFonts w:ascii="Arial" w:cs="Arial" w:eastAsia="Arial" w:hAnsi="Arial"/>
          <w:sz w:val="17"/>
          <w:szCs w:val="17"/>
          <w:i w:val="1"/>
          <w:iCs w:val="1"/>
          <w:color w:val="auto"/>
        </w:rPr>
        <w:t>Nonalcoholic Steatohepatitis (NASH)</w:t>
      </w:r>
      <w:r>
        <w:rPr>
          <w:rFonts w:ascii="Arial" w:cs="Arial" w:eastAsia="Arial" w:hAnsi="Arial"/>
          <w:sz w:val="17"/>
          <w:szCs w:val="17"/>
          <w:color w:val="auto"/>
        </w:rPr>
        <w:t>: Nonalcoholic steatohepatitis (NASH) is a condition in which there is fat in the liver along with inflammation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damage to liver cells. NASH is a common liver disease that resembles alcoholic liver disease but occurs in people who drink little or no alcohol. According to the U.S. National Institute of Diabetes and Digestive and Kidney Diseases (NIDDK), NASH prevalence in the U.S. is 2-5%, and an additional 10-20% of Americans have "fatty liver." The underlying cause of NASH is unclear, but it most often occurs in persons who are middle-aged and overweight or obese. Many patients with NASH have elevated serum lipids, diabetes or pre-diabetes. Progression of NASH can lead to liver cirrhosis. Liver transplantation is the only treatment for advanced cirrhosis with liver failure. At this time, there is no treatment for NASH. We completed a pre-clinical study evaluating MN-001 (tipelukast)’s potential clinical efficacy for the treatment of NASH. MN-001 (tipelukast) administered orally once daily (10, 30, and 100 mg/kg for three weeks) was evaluated in the STAM™ (NASH-HCC) mouse model of NASH, as measured by liver biochemistry and histopathology, NAFLD activity score (NAS), and percent of fibrosis and gene expression. MN-001 (tipelukast), in a dose-dependent manner, significantly reduced fibrosis area compared with placebo (p&lt;0.01) as demonstrated by a reduction in liver hydroxyproline content, supporting MN-001 (tipelukast)’s anti-fibrotic properties. MN-001 (tipelukast) significantly improved NAS (p&lt;0.01). MN-001 (tipelukast), in this animal model, improved NASH pathology by inhibiting hepatocyte damage (p&lt;0.01) and ballooning (p&lt;0.01). At the same time, MN-001 (tipelukast) was also shown to reduce certain gene expression levels in the liver, thus implying that MN-001 (tipelukast) prevents the formation of fibrosis in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ind w:right="80"/>
        <w:spacing w:after="0" w:line="288" w:lineRule="auto"/>
        <w:rPr>
          <w:sz w:val="20"/>
          <w:szCs w:val="20"/>
          <w:color w:val="auto"/>
        </w:rPr>
      </w:pPr>
      <w:r>
        <w:rPr>
          <w:rFonts w:ascii="Arial" w:cs="Arial" w:eastAsia="Arial" w:hAnsi="Arial"/>
          <w:sz w:val="16"/>
          <w:szCs w:val="16"/>
          <w:color w:val="auto"/>
        </w:rPr>
        <w:t>NASH model. We completed a second preclinical study that examined the potential clinical efficacy of MN-001 (tipelukast) for the treatment of advanced NASH. This study used mice in more advanced stages of NASH as compared to the first study of MN-001 (tipelukast) in a NASH mouse model. MN-001 (tipelukast) showed anti-NASH and anti-fibrotic effects in the advanced NASH mouse model. NAFLD activity score was significantly reduced in the MN-001 (tipelukast) treated group compared to the non-treated group (p&lt;0.001). The reduction was observed consistently in all NAS components including hepatocyte ballooning score (p&lt;0.001), lobular inflammation score (p&lt;0.01), and steatosis score (p&lt;0.05). Percent fibrosis area was also reduced in the MN-001 (tipelukast) treated group (p&lt;0.01). In addition, alpha-SMA-positive staining area was significantly reduced in the MN-001 treated group (p&lt;0.001). Collectively, these results provide compelling evidence that MN-001 (tipelukast) warrants further evaluation for the treatment of NASH in humans. We have an open IND and the FDA has approved two different Phase 2 clinical trial protocols for MN-001 (tipelukast) for the treatment of NASH in the U.S. A Phase 2 clinical trial is currently ongoing to investigate MN-001 (tipelukast) for the treatment of hypertriglyceridemia in NASH patients and NAFLD patients. The FDA has granted Fast Track designation to MN-001 (tipelukast) for the treatment of patients with NASH with fibrosis.</w:t>
      </w:r>
    </w:p>
    <w:p>
      <w:pPr>
        <w:spacing w:after="0" w:line="169"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i w:val="1"/>
          <w:iCs w:val="1"/>
          <w:color w:val="auto"/>
        </w:rPr>
        <w:t xml:space="preserve">Idiopathic Pulmonary Fibrosis (IPF): </w:t>
      </w:r>
      <w:r>
        <w:rPr>
          <w:rFonts w:ascii="Arial" w:cs="Arial" w:eastAsia="Arial" w:hAnsi="Arial"/>
          <w:sz w:val="16"/>
          <w:szCs w:val="16"/>
          <w:color w:val="auto"/>
        </w:rPr>
        <w:t>Pulmonary fibrosis (PF) is a progressive disease characterized by scarring of the lungs that thickens the lining,</w:t>
      </w:r>
      <w:r>
        <w:rPr>
          <w:rFonts w:ascii="Arial" w:cs="Arial" w:eastAsia="Arial" w:hAnsi="Arial"/>
          <w:sz w:val="16"/>
          <w:szCs w:val="16"/>
          <w:i w:val="1"/>
          <w:iCs w:val="1"/>
          <w:color w:val="auto"/>
        </w:rPr>
        <w:t xml:space="preserve"> </w:t>
      </w:r>
      <w:r>
        <w:rPr>
          <w:rFonts w:ascii="Arial" w:cs="Arial" w:eastAsia="Arial" w:hAnsi="Arial"/>
          <w:sz w:val="16"/>
          <w:szCs w:val="16"/>
          <w:color w:val="auto"/>
        </w:rPr>
        <w:t>causing an irreversible loss of the tissue's ability to transport oxygen. The causes of PF vary and can be due to anti-cancer drug therapy or exposure to chemicals. Idiopathic pulmonary fibrosis (IPF) is one type of PF without a clear cause. According to the Pulmonary Fibrosis Foundation, IPF affects between 132,000 – 200,000 people in the U.S., and an estimated 50,000 new cases are diagnosed annually. The prognosis for IPF is poor with a median survival of only two to three years following diagnosis and more than two-thirds of IPF patients die within five years. We completed a pre-clinical study evaluating MN-001 (tipelukast)’s potential clinical efficacy for the treatment of pulmonary fibrosis. MN-001 (tipelukast), which was administered orally once daily (30, 100 and 300 mg/kg) for 2 weeks, was evaluated in a mouse model of bleomycin-induced pulmonary fibrosis (PF) as measured by CT evaluation of lung density, degree of pulmonary fibrosis using the Ashcroft score based on histopathological staining, and hydroxyproline content, which is an indicator of fibrosis or storage of collagen in tissue. MN-001 (tipelukast) significantly decreased the Ashcroft score compared to Vehicle group (p&lt;0.05) after 2 weeks of treatment and MN-001 (tipelukast) reduced lung density when compared to the Vehicle-treated group. Moreover, lung hydroxyproline content was significantly reduced compared to the Vehicle group (p&lt;0.01). These results show that treatment with MN-001 (tipelukast) has significant anti-fibrogenic effects in bleomycin-induced pulmonary fibrosis in mice. We have an open IND and the FDA approved a Phase 2 clinical trial protocol for MN-001 (tipelukast) for the treatment of moderate to severe IPF in the U.S. A Phase 2 clinical trial of MN-001 (tipelukast) to treat moderate to severe IPF is currently ongoing at Penn State. The FDA has granted Orphan-Drug designation to MN-001 (tipelukast) for treatment of IPF. Orphan-Drug designation will provide us with seven years of marketing exclusivity for MN-001 (tipelukast) for the treatment of IPF if it is approved for this indication. The FDA has also granted Fast Track designation to MN-001 (tipelukast) for the treatment of patients with IPF.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(denibulin)</w:t>
      </w:r>
    </w:p>
    <w:p>
      <w:pPr>
        <w:spacing w:after="0" w:line="117"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MN-029 (denibulin) is a novel tubulin binding agent (TBA) under development for the treatment of solid tumors. It exerts its activity through reversible inhibition of tubulin polymerization resulting in disruption of the cell cytoskeleton, which causes the cancer cells to deform in shape and ultimately leads to extensive central necrosis of the solid tumor. We licensed MN-029 from Angiogene Pharmaceuticals, Ltd. (Angiogene) in 2002.</w:t>
      </w:r>
    </w:p>
    <w:p>
      <w:pPr>
        <w:spacing w:after="0" w:line="166"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 xml:space="preserve">Several preclinical pharmacology studies have assessed the mechanism of action and anti-tumor activity of MN-029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rodent models of breast adenocarcinoma, colon carcinoma, lung carcinoma and KHT sarcoma. In these studies, MN-029 damaged poorly formed tumor blood vessels by weakening tumor blood vessel walls and causing leakage, clotting and eventual vascular shutdown within the tumor, in addition to the direct effect over tumor cells. These studies suggest that MN-029 acts quickly and is rapidly cleared from the body, which may reduce the potential for some adverse effects commonly associated with chemotherapy. Shutdown of tumor blood flow in tumor models was confirmed through the use of dynamic contrast-enhanced magnetic resonance imaging. In two Phase I clinical studies we conducted, MN-029 was well-tolerated at doses that reduced tumor blood flow.</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 w:name="page12"/>
    <w:bookmarkEnd w:id="11"/>
    <w:p>
      <w:pPr>
        <w:ind w:firstLine="598"/>
        <w:spacing w:after="0" w:line="272" w:lineRule="auto"/>
        <w:rPr>
          <w:sz w:val="20"/>
          <w:szCs w:val="20"/>
          <w:color w:val="auto"/>
        </w:rPr>
      </w:pPr>
      <w:r>
        <w:rPr>
          <w:rFonts w:ascii="Arial" w:cs="Arial" w:eastAsia="Arial" w:hAnsi="Arial"/>
          <w:sz w:val="17"/>
          <w:szCs w:val="17"/>
          <w:color w:val="auto"/>
        </w:rPr>
        <w:t>The first Phase 1 trial determined the safety, tolerability, and maximum tolerated dose (MTD) level of single doses of MN-029 given every three weeks in 34 subjects with refractory cancer. The MTD was determined to be 180 mg/m</w:t>
      </w:r>
      <w:r>
        <w:rPr>
          <w:rFonts w:ascii="Arial" w:cs="Arial" w:eastAsia="Arial" w:hAnsi="Arial"/>
          <w:sz w:val="14"/>
          <w:szCs w:val="14"/>
          <w:color w:val="auto"/>
        </w:rPr>
        <w:t>2</w:t>
      </w:r>
      <w:r>
        <w:rPr>
          <w:rFonts w:ascii="Arial" w:cs="Arial" w:eastAsia="Arial" w:hAnsi="Arial"/>
          <w:sz w:val="17"/>
          <w:szCs w:val="17"/>
          <w:color w:val="auto"/>
        </w:rPr>
        <w:t xml:space="preserve"> and appeared to be safe as a single i.v. dose administered every three weeks for as many as 25 cycles. There were no clinically significant changes in routine laboratory assessments, vital signs, or ECG monitoring. The most commonly reported adverse events (AEs) were similar to other chemotherapies—vomiting, nausea, diarrhea, and fatigue. There were a total of nine serious adverse events (SAEs) and study discontinuations due to AEs. In a preliminary evaluation of anti-tumor activity, no patient had a complete response or partial response; however stable disease was seen in 12 patients. MN-029 had a desired vascular effect in seven of 11 patients that were administered drug at dose levels of ≥120 mg/m</w:t>
      </w:r>
      <w:r>
        <w:rPr>
          <w:rFonts w:ascii="Arial" w:cs="Arial" w:eastAsia="Arial" w:hAnsi="Arial"/>
          <w:sz w:val="14"/>
          <w:szCs w:val="14"/>
          <w:color w:val="auto"/>
        </w:rPr>
        <w:t>2</w:t>
      </w:r>
      <w:r>
        <w:rPr>
          <w:rFonts w:ascii="Arial" w:cs="Arial" w:eastAsia="Arial" w:hAnsi="Arial"/>
          <w:sz w:val="17"/>
          <w:szCs w:val="17"/>
          <w:color w:val="auto"/>
        </w:rPr>
        <w:t>. Nine patients continued into extended cycles of treatment.</w:t>
      </w:r>
    </w:p>
    <w:p>
      <w:pPr>
        <w:spacing w:after="0" w:line="178"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The second Phase 1 study was conducted to determine the safety, tolerability and MTD of single doses of MN-029 given every seven days for a total of three doses (Days 1, 8 and 15), followed by 13-day recovery (Days 16-28) in subjects with advanced/metastatic solid tumor cancer. Subjects who tolerated treatment with MN-029 could receive additional cycles. All 20 subjects reported at least one AE related to study drug. The most common AEs considered related to study drug were vomiting, nausea, arthralgia and headache. There were no clinically significant changes in routine laboratory assessments, vital signs or ECG monitoring. There was one SAE considered unrelated to study drug. Consistent with the previous Phase 1 trial, MN-029 up to dose levels of 180 mg/m</w:t>
      </w:r>
      <w:r>
        <w:rPr>
          <w:rFonts w:ascii="Arial" w:cs="Arial" w:eastAsia="Arial" w:hAnsi="Arial"/>
          <w:sz w:val="14"/>
          <w:szCs w:val="14"/>
          <w:color w:val="auto"/>
        </w:rPr>
        <w:t>2</w:t>
      </w:r>
      <w:r>
        <w:rPr>
          <w:rFonts w:ascii="Arial" w:cs="Arial" w:eastAsia="Arial" w:hAnsi="Arial"/>
          <w:sz w:val="17"/>
          <w:szCs w:val="17"/>
          <w:color w:val="auto"/>
        </w:rPr>
        <w:t xml:space="preserve"> appeared to be safe and well tolerated. One subject had a partial response which lasted for 74 days. Stable disease was observed in seven subjects. The results suggested an effect of MN-029 on vascular perfusion; however, a larger sample size is warranted.</w:t>
      </w:r>
    </w:p>
    <w:p>
      <w:pPr>
        <w:spacing w:after="0" w:line="178" w:lineRule="exact"/>
        <w:rPr>
          <w:sz w:val="20"/>
          <w:szCs w:val="20"/>
          <w:color w:val="auto"/>
        </w:rPr>
      </w:pPr>
    </w:p>
    <w:p>
      <w:pPr>
        <w:ind w:right="100" w:firstLine="598"/>
        <w:spacing w:after="0" w:line="302" w:lineRule="auto"/>
        <w:rPr>
          <w:sz w:val="20"/>
          <w:szCs w:val="20"/>
          <w:color w:val="auto"/>
        </w:rPr>
      </w:pPr>
      <w:r>
        <w:rPr>
          <w:rFonts w:ascii="Arial" w:cs="Arial" w:eastAsia="Arial" w:hAnsi="Arial"/>
          <w:sz w:val="16"/>
          <w:szCs w:val="16"/>
          <w:color w:val="auto"/>
        </w:rPr>
        <w:t>In January 2014, we were granted a new patent from the U.S. Patent and Trademark Office which covers MN-029 (denibulin) di-hydrochloride. The patent, which will expire no earlier than July 2032, has claims that cover a compound, pharmaceutical composition and method of treating certain cell proliferation diseases, including solid tumors, based on denibulin di-hydrochloride. We have filed patent applications based on this U.S. patent in certain foreign countries, and some of them have been granted. We plan to pursue further development of MN-029 for the treatment of solid tumors.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 w:name="page13"/>
    <w:bookmarkEnd w:id="12"/>
    <w:p>
      <w:pPr>
        <w:ind w:left="440"/>
        <w:spacing w:after="0"/>
        <w:rPr>
          <w:sz w:val="20"/>
          <w:szCs w:val="20"/>
          <w:color w:val="auto"/>
        </w:rPr>
      </w:pPr>
      <w:r>
        <w:rPr>
          <w:rFonts w:ascii="Arial" w:cs="Arial" w:eastAsia="Arial" w:hAnsi="Arial"/>
          <w:sz w:val="18"/>
          <w:szCs w:val="18"/>
          <w:color w:val="auto"/>
        </w:rPr>
        <w:t>Table 1 Product Candidates and Programs—MN-166 (ibudilast)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Indication</w:t>
            </w:r>
          </w:p>
        </w:tc>
        <w:tc>
          <w:tcPr>
            <w:tcW w:w="160" w:type="dxa"/>
            <w:vAlign w:val="bottom"/>
          </w:tcPr>
          <w:p>
            <w:pPr>
              <w:spacing w:after="0"/>
              <w:rPr>
                <w:sz w:val="14"/>
                <w:szCs w:val="14"/>
                <w:color w:val="auto"/>
              </w:rPr>
            </w:pPr>
          </w:p>
        </w:tc>
        <w:tc>
          <w:tcPr>
            <w:tcW w:w="362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Clinical Study</w:t>
            </w:r>
          </w:p>
        </w:tc>
        <w:tc>
          <w:tcPr>
            <w:tcW w:w="0" w:type="dxa"/>
            <w:vAlign w:val="bottom"/>
          </w:tcPr>
          <w:p>
            <w:pPr>
              <w:spacing w:after="0"/>
              <w:rPr>
                <w:sz w:val="1"/>
                <w:szCs w:val="1"/>
                <w:color w:val="auto"/>
              </w:rPr>
            </w:pPr>
          </w:p>
        </w:tc>
      </w:tr>
      <w:tr>
        <w:trPr>
          <w:trHeight w:val="317"/>
        </w:trPr>
        <w:tc>
          <w:tcPr>
            <w:tcW w:w="2840" w:type="dxa"/>
            <w:vAlign w:val="bottom"/>
          </w:tcPr>
          <w:p>
            <w:pPr>
              <w:spacing w:after="0"/>
              <w:rPr>
                <w:sz w:val="20"/>
                <w:szCs w:val="20"/>
                <w:color w:val="auto"/>
              </w:rPr>
            </w:pPr>
            <w:r>
              <w:rPr>
                <w:rFonts w:ascii="Arial" w:cs="Arial" w:eastAsia="Arial" w:hAnsi="Arial"/>
                <w:sz w:val="18"/>
                <w:szCs w:val="18"/>
                <w:color w:val="auto"/>
                <w:w w:val="97"/>
              </w:rPr>
              <w:t>Primary Progressive and Secondary</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A Randomized, Double-Blind, Placebo-</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8"/>
                <w:szCs w:val="18"/>
                <w:color w:val="auto"/>
              </w:rPr>
              <w:t>Progressive Multiple Sclerosis</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Controlled Study to Evaluate the Safety,</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Tolerability and Activity of Ibudilast (MN-166)</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w w:val="97"/>
              </w:rPr>
              <w:t>in Subjects with Progressive Multiple Sclerosis</w:t>
            </w:r>
          </w:p>
        </w:tc>
        <w:tc>
          <w:tcPr>
            <w:tcW w:w="0" w:type="dxa"/>
            <w:vAlign w:val="bottom"/>
          </w:tcPr>
          <w:p>
            <w:pPr>
              <w:spacing w:after="0"/>
              <w:rPr>
                <w:sz w:val="1"/>
                <w:szCs w:val="1"/>
                <w:color w:val="auto"/>
              </w:rPr>
            </w:pPr>
          </w:p>
        </w:tc>
      </w:tr>
      <w:tr>
        <w:trPr>
          <w:trHeight w:val="539"/>
        </w:trPr>
        <w:tc>
          <w:tcPr>
            <w:tcW w:w="2840" w:type="dxa"/>
            <w:vAlign w:val="bottom"/>
          </w:tcPr>
          <w:p>
            <w:pPr>
              <w:spacing w:after="0"/>
              <w:rPr>
                <w:sz w:val="20"/>
                <w:szCs w:val="20"/>
                <w:color w:val="auto"/>
              </w:rPr>
            </w:pPr>
            <w:r>
              <w:rPr>
                <w:rFonts w:ascii="Arial" w:cs="Arial" w:eastAsia="Arial" w:hAnsi="Arial"/>
                <w:sz w:val="18"/>
                <w:szCs w:val="18"/>
                <w:color w:val="auto"/>
                <w:w w:val="97"/>
              </w:rPr>
              <w:t>Amyotrophic Lateral Sclerosis (ALS)</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A Single-Center, Randomized, Double-Blind,</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Placebo-Controlled, Six Month Clinical Trial</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Followed by an Open-Label Extension to</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Evaluate the Safety, Tolerability, and Clinical</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w w:val="94"/>
              </w:rPr>
              <w:t>Endpoint Responsiveness of Ibudilast (MN-166)</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w w:val="97"/>
              </w:rPr>
              <w:t>in Subjects with Amyotrophic Lateral Sclerosis</w:t>
            </w:r>
          </w:p>
        </w:tc>
        <w:tc>
          <w:tcPr>
            <w:tcW w:w="0" w:type="dxa"/>
            <w:vAlign w:val="bottom"/>
          </w:tcPr>
          <w:p>
            <w:pPr>
              <w:spacing w:after="0"/>
              <w:rPr>
                <w:sz w:val="1"/>
                <w:szCs w:val="1"/>
                <w:color w:val="auto"/>
              </w:rPr>
            </w:pPr>
          </w:p>
        </w:tc>
      </w:tr>
      <w:tr>
        <w:trPr>
          <w:trHeight w:val="230"/>
        </w:trPr>
        <w:tc>
          <w:tcPr>
            <w:tcW w:w="2840" w:type="dxa"/>
            <w:vAlign w:val="bottom"/>
            <w:vMerge w:val="restart"/>
          </w:tcPr>
          <w:p>
            <w:pPr>
              <w:spacing w:after="0"/>
              <w:rPr>
                <w:sz w:val="20"/>
                <w:szCs w:val="20"/>
                <w:color w:val="auto"/>
              </w:rPr>
            </w:pPr>
            <w:r>
              <w:rPr>
                <w:rFonts w:ascii="Arial" w:cs="Arial" w:eastAsia="Arial" w:hAnsi="Arial"/>
                <w:sz w:val="18"/>
                <w:szCs w:val="18"/>
                <w:color w:val="auto"/>
              </w:rPr>
              <w:t>ALS / Biomarker</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(ALS)</w:t>
            </w:r>
          </w:p>
        </w:tc>
        <w:tc>
          <w:tcPr>
            <w:tcW w:w="0" w:type="dxa"/>
            <w:vAlign w:val="bottom"/>
          </w:tcPr>
          <w:p>
            <w:pPr>
              <w:spacing w:after="0"/>
              <w:rPr>
                <w:sz w:val="1"/>
                <w:szCs w:val="1"/>
                <w:color w:val="auto"/>
              </w:rPr>
            </w:pPr>
          </w:p>
        </w:tc>
      </w:tr>
      <w:tr>
        <w:trPr>
          <w:trHeight w:val="216"/>
        </w:trPr>
        <w:tc>
          <w:tcPr>
            <w:tcW w:w="2840" w:type="dxa"/>
            <w:vAlign w:val="bottom"/>
            <w:vMerge w:val="continue"/>
          </w:tcPr>
          <w:p>
            <w:pPr>
              <w:spacing w:after="0"/>
              <w:rPr>
                <w:sz w:val="18"/>
                <w:szCs w:val="18"/>
                <w:color w:val="auto"/>
              </w:rPr>
            </w:pPr>
          </w:p>
        </w:tc>
        <w:tc>
          <w:tcPr>
            <w:tcW w:w="3780" w:type="dxa"/>
            <w:vAlign w:val="bottom"/>
            <w:gridSpan w:val="2"/>
            <w:vMerge w:val="restart"/>
          </w:tcPr>
          <w:p>
            <w:pPr>
              <w:ind w:left="160"/>
              <w:spacing w:after="0"/>
              <w:rPr>
                <w:sz w:val="20"/>
                <w:szCs w:val="20"/>
                <w:color w:val="auto"/>
              </w:rPr>
            </w:pPr>
            <w:r>
              <w:rPr>
                <w:rFonts w:ascii="Arial" w:cs="Arial" w:eastAsia="Arial" w:hAnsi="Arial"/>
                <w:sz w:val="18"/>
                <w:szCs w:val="18"/>
                <w:color w:val="auto"/>
              </w:rPr>
              <w:t>A Biomarker Study to Evaluate MN-166</w:t>
            </w:r>
          </w:p>
        </w:tc>
        <w:tc>
          <w:tcPr>
            <w:tcW w:w="0" w:type="dxa"/>
            <w:vAlign w:val="bottom"/>
          </w:tcPr>
          <w:p>
            <w:pPr>
              <w:spacing w:after="0"/>
              <w:rPr>
                <w:sz w:val="1"/>
                <w:szCs w:val="1"/>
                <w:color w:val="auto"/>
              </w:rPr>
            </w:pPr>
          </w:p>
        </w:tc>
      </w:tr>
      <w:tr>
        <w:trPr>
          <w:trHeight w:val="202"/>
        </w:trPr>
        <w:tc>
          <w:tcPr>
            <w:tcW w:w="2840" w:type="dxa"/>
            <w:vAlign w:val="bottom"/>
          </w:tcPr>
          <w:p>
            <w:pPr>
              <w:spacing w:after="0"/>
              <w:rPr>
                <w:sz w:val="17"/>
                <w:szCs w:val="17"/>
                <w:color w:val="auto"/>
              </w:rPr>
            </w:pPr>
          </w:p>
        </w:tc>
        <w:tc>
          <w:tcPr>
            <w:tcW w:w="3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w w:val="96"/>
              </w:rPr>
              <w:t>(Ibudilast) in Subjects With Amyotrophic Literal</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Sclerosis (ALS)</w:t>
            </w:r>
          </w:p>
        </w:tc>
        <w:tc>
          <w:tcPr>
            <w:tcW w:w="0" w:type="dxa"/>
            <w:vAlign w:val="bottom"/>
          </w:tcPr>
          <w:p>
            <w:pPr>
              <w:spacing w:after="0"/>
              <w:rPr>
                <w:sz w:val="1"/>
                <w:szCs w:val="1"/>
                <w:color w:val="auto"/>
              </w:rPr>
            </w:pPr>
          </w:p>
        </w:tc>
      </w:tr>
      <w:tr>
        <w:trPr>
          <w:trHeight w:val="554"/>
        </w:trPr>
        <w:tc>
          <w:tcPr>
            <w:tcW w:w="2840" w:type="dxa"/>
            <w:vAlign w:val="bottom"/>
          </w:tcPr>
          <w:p>
            <w:pPr>
              <w:spacing w:after="0"/>
              <w:rPr>
                <w:sz w:val="20"/>
                <w:szCs w:val="20"/>
                <w:color w:val="auto"/>
              </w:rPr>
            </w:pPr>
            <w:r>
              <w:rPr>
                <w:rFonts w:ascii="Arial" w:cs="Arial" w:eastAsia="Arial" w:hAnsi="Arial"/>
                <w:sz w:val="18"/>
                <w:szCs w:val="18"/>
                <w:b w:val="1"/>
                <w:bCs w:val="1"/>
                <w:color w:val="auto"/>
                <w:w w:val="91"/>
              </w:rPr>
              <w:t>Substance Dependence / Addiction:</w:t>
            </w:r>
          </w:p>
        </w:tc>
        <w:tc>
          <w:tcPr>
            <w:tcW w:w="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840" w:type="dxa"/>
            <w:vAlign w:val="bottom"/>
          </w:tcPr>
          <w:p>
            <w:pPr>
              <w:spacing w:after="0"/>
              <w:rPr>
                <w:sz w:val="20"/>
                <w:szCs w:val="20"/>
                <w:color w:val="auto"/>
              </w:rPr>
            </w:pPr>
            <w:r>
              <w:rPr>
                <w:rFonts w:ascii="Arial" w:cs="Arial" w:eastAsia="Arial" w:hAnsi="Arial"/>
                <w:sz w:val="18"/>
                <w:szCs w:val="18"/>
                <w:color w:val="auto"/>
              </w:rPr>
              <w:t>Methamphetamine Dependence</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Randomized Trial of Ibudilast for</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Methamphetamine Dependence</w:t>
            </w:r>
          </w:p>
        </w:tc>
        <w:tc>
          <w:tcPr>
            <w:tcW w:w="0" w:type="dxa"/>
            <w:vAlign w:val="bottom"/>
          </w:tcPr>
          <w:p>
            <w:pPr>
              <w:spacing w:after="0"/>
              <w:rPr>
                <w:sz w:val="1"/>
                <w:szCs w:val="1"/>
                <w:color w:val="auto"/>
              </w:rPr>
            </w:pPr>
          </w:p>
        </w:tc>
      </w:tr>
      <w:tr>
        <w:trPr>
          <w:trHeight w:val="539"/>
        </w:trPr>
        <w:tc>
          <w:tcPr>
            <w:tcW w:w="2840" w:type="dxa"/>
            <w:vAlign w:val="bottom"/>
          </w:tcPr>
          <w:p>
            <w:pPr>
              <w:spacing w:after="0"/>
              <w:rPr>
                <w:sz w:val="20"/>
                <w:szCs w:val="20"/>
                <w:color w:val="auto"/>
              </w:rPr>
            </w:pPr>
            <w:r>
              <w:rPr>
                <w:rFonts w:ascii="Arial" w:cs="Arial" w:eastAsia="Arial" w:hAnsi="Arial"/>
                <w:sz w:val="18"/>
                <w:szCs w:val="18"/>
                <w:color w:val="auto"/>
              </w:rPr>
              <w:t>Opioid Dependence</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w w:val="96"/>
              </w:rPr>
              <w:t>Effects of Ibudilast (MN-166), a Glial Activation</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w w:val="98"/>
              </w:rPr>
              <w:t>Inhibitor, on Oxycodone Self-Administration in</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Opioid Abusers</w:t>
            </w:r>
          </w:p>
        </w:tc>
        <w:tc>
          <w:tcPr>
            <w:tcW w:w="0" w:type="dxa"/>
            <w:vAlign w:val="bottom"/>
          </w:tcPr>
          <w:p>
            <w:pPr>
              <w:spacing w:after="0"/>
              <w:rPr>
                <w:sz w:val="1"/>
                <w:szCs w:val="1"/>
                <w:color w:val="auto"/>
              </w:rPr>
            </w:pPr>
          </w:p>
        </w:tc>
      </w:tr>
      <w:tr>
        <w:trPr>
          <w:trHeight w:val="539"/>
        </w:trPr>
        <w:tc>
          <w:tcPr>
            <w:tcW w:w="2840" w:type="dxa"/>
            <w:vAlign w:val="bottom"/>
          </w:tcPr>
          <w:p>
            <w:pPr>
              <w:spacing w:after="0"/>
              <w:rPr>
                <w:sz w:val="20"/>
                <w:szCs w:val="20"/>
                <w:color w:val="auto"/>
              </w:rPr>
            </w:pPr>
            <w:r>
              <w:rPr>
                <w:rFonts w:ascii="Arial" w:cs="Arial" w:eastAsia="Arial" w:hAnsi="Arial"/>
                <w:sz w:val="18"/>
                <w:szCs w:val="18"/>
                <w:color w:val="auto"/>
              </w:rPr>
              <w:t>Alcohol Dependence</w:t>
            </w: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w w:val="97"/>
              </w:rPr>
              <w:t>Development of Ibudilast (MN-166) as a Novel</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3780" w:type="dxa"/>
            <w:vAlign w:val="bottom"/>
            <w:gridSpan w:val="2"/>
          </w:tcPr>
          <w:p>
            <w:pPr>
              <w:ind w:left="160"/>
              <w:spacing w:after="0"/>
              <w:rPr>
                <w:sz w:val="20"/>
                <w:szCs w:val="20"/>
                <w:color w:val="auto"/>
              </w:rPr>
            </w:pPr>
            <w:r>
              <w:rPr>
                <w:rFonts w:ascii="Arial" w:cs="Arial" w:eastAsia="Arial" w:hAnsi="Arial"/>
                <w:sz w:val="18"/>
                <w:szCs w:val="18"/>
                <w:color w:val="auto"/>
              </w:rPr>
              <w:t>Treatment for Alcoholism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tcPr>
          <w:p>
            <w:pPr>
              <w:ind w:left="840"/>
              <w:spacing w:after="0"/>
              <w:rPr>
                <w:sz w:val="20"/>
                <w:szCs w:val="20"/>
                <w:color w:val="auto"/>
              </w:rPr>
            </w:pPr>
            <w:r>
              <w:rPr>
                <w:rFonts w:ascii="Arial" w:cs="Arial" w:eastAsia="Arial" w:hAnsi="Arial"/>
                <w:sz w:val="14"/>
                <w:szCs w:val="14"/>
                <w:b w:val="1"/>
                <w:bCs w:val="1"/>
                <w:color w:val="auto"/>
              </w:rPr>
              <w:t>Principal Investigator /Institution</w:t>
            </w:r>
          </w:p>
        </w:tc>
        <w:tc>
          <w:tcPr>
            <w:tcW w:w="9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/Funding Agency(s)</w:t>
            </w:r>
          </w:p>
        </w:tc>
        <w:tc>
          <w:tcPr>
            <w:tcW w:w="12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3740" w:type="dxa"/>
            <w:vAlign w:val="bottom"/>
            <w:gridSpan w:val="2"/>
          </w:tcPr>
          <w:p>
            <w:pPr>
              <w:spacing w:after="0"/>
              <w:rPr>
                <w:sz w:val="20"/>
                <w:szCs w:val="20"/>
                <w:color w:val="auto"/>
              </w:rPr>
            </w:pPr>
            <w:r>
              <w:rPr>
                <w:rFonts w:ascii="Arial" w:cs="Arial" w:eastAsia="Arial" w:hAnsi="Arial"/>
                <w:sz w:val="18"/>
                <w:szCs w:val="18"/>
                <w:color w:val="auto"/>
              </w:rPr>
              <w:t>Robert J. Fox, M.D., M.S., FAAN</w:t>
            </w:r>
          </w:p>
        </w:tc>
        <w:tc>
          <w:tcPr>
            <w:tcW w:w="900" w:type="dxa"/>
            <w:vAlign w:val="bottom"/>
          </w:tcPr>
          <w:p>
            <w:pPr>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Cleveland Clinic</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w w:val="98"/>
              </w:rPr>
              <w:t>National Institute on Neurological Diseases and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Stroke</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MediciNova, Inc.</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740" w:type="dxa"/>
            <w:vAlign w:val="bottom"/>
            <w:gridSpan w:val="2"/>
          </w:tcPr>
          <w:p>
            <w:pPr>
              <w:spacing w:after="0"/>
              <w:rPr>
                <w:sz w:val="20"/>
                <w:szCs w:val="20"/>
                <w:color w:val="auto"/>
              </w:rPr>
            </w:pPr>
            <w:r>
              <w:rPr>
                <w:rFonts w:ascii="Arial" w:cs="Arial" w:eastAsia="Arial" w:hAnsi="Arial"/>
                <w:sz w:val="18"/>
                <w:szCs w:val="18"/>
                <w:color w:val="auto"/>
              </w:rPr>
              <w:t>Benjamin R. Brooks, M.D.</w:t>
            </w:r>
          </w:p>
        </w:tc>
        <w:tc>
          <w:tcPr>
            <w:tcW w:w="900" w:type="dxa"/>
            <w:vAlign w:val="bottom"/>
          </w:tcPr>
          <w:p>
            <w:pPr>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Carolinas HealthCare System Neurosciences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Institute</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MediciNova, Inc.</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Nazem Atassi, M.D., MMSc</w:t>
            </w:r>
          </w:p>
        </w:tc>
        <w:tc>
          <w:tcPr>
            <w:tcW w:w="900" w:type="dxa"/>
            <w:vAlign w:val="bottom"/>
          </w:tcPr>
          <w:p>
            <w:pPr>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02"/>
        </w:trPr>
        <w:tc>
          <w:tcPr>
            <w:tcW w:w="3740" w:type="dxa"/>
            <w:vAlign w:val="bottom"/>
            <w:gridSpan w:val="2"/>
            <w:vMerge w:val="continue"/>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Massachusetts General Hospital</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MediciNova, Inc.</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7"/>
        </w:trPr>
        <w:tc>
          <w:tcPr>
            <w:tcW w:w="3740" w:type="dxa"/>
            <w:vAlign w:val="bottom"/>
            <w:gridSpan w:val="2"/>
          </w:tcPr>
          <w:p>
            <w:pPr>
              <w:spacing w:after="0"/>
              <w:rPr>
                <w:sz w:val="20"/>
                <w:szCs w:val="20"/>
                <w:color w:val="auto"/>
              </w:rPr>
            </w:pPr>
            <w:r>
              <w:rPr>
                <w:rFonts w:ascii="Arial" w:cs="Arial" w:eastAsia="Arial" w:hAnsi="Arial"/>
                <w:sz w:val="18"/>
                <w:szCs w:val="18"/>
                <w:color w:val="auto"/>
              </w:rPr>
              <w:t>Keith Heinzerling, M.D., MPH</w:t>
            </w:r>
          </w:p>
        </w:tc>
        <w:tc>
          <w:tcPr>
            <w:tcW w:w="900" w:type="dxa"/>
            <w:vAlign w:val="bottom"/>
          </w:tcPr>
          <w:p>
            <w:pPr>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UCLA</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National Institute on Drug Abuse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740" w:type="dxa"/>
            <w:vAlign w:val="bottom"/>
            <w:gridSpan w:val="2"/>
          </w:tcPr>
          <w:p>
            <w:pPr>
              <w:spacing w:after="0"/>
              <w:rPr>
                <w:sz w:val="20"/>
                <w:szCs w:val="20"/>
                <w:color w:val="auto"/>
              </w:rPr>
            </w:pPr>
            <w:r>
              <w:rPr>
                <w:rFonts w:ascii="Arial" w:cs="Arial" w:eastAsia="Arial" w:hAnsi="Arial"/>
                <w:sz w:val="18"/>
                <w:szCs w:val="18"/>
                <w:color w:val="auto"/>
              </w:rPr>
              <w:t>Sandra D. Comer, Ph.D.</w:t>
            </w:r>
          </w:p>
        </w:tc>
        <w:tc>
          <w:tcPr>
            <w:tcW w:w="900" w:type="dxa"/>
            <w:vAlign w:val="bottom"/>
          </w:tcPr>
          <w:p>
            <w:pPr>
              <w:spacing w:after="0"/>
              <w:rPr>
                <w:sz w:val="20"/>
                <w:szCs w:val="20"/>
                <w:color w:val="auto"/>
              </w:rPr>
            </w:pPr>
            <w:r>
              <w:rPr>
                <w:rFonts w:ascii="Arial" w:cs="Arial" w:eastAsia="Arial" w:hAnsi="Arial"/>
                <w:sz w:val="18"/>
                <w:szCs w:val="18"/>
                <w:color w:val="auto"/>
              </w:rPr>
              <w:t>Completed</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Columbia University/NYSPI</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National Institute on Drug Abuse</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MediciNova, Inc.</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740" w:type="dxa"/>
            <w:vAlign w:val="bottom"/>
            <w:gridSpan w:val="2"/>
          </w:tcPr>
          <w:p>
            <w:pPr>
              <w:spacing w:after="0"/>
              <w:rPr>
                <w:sz w:val="20"/>
                <w:szCs w:val="20"/>
                <w:color w:val="auto"/>
              </w:rPr>
            </w:pPr>
            <w:r>
              <w:rPr>
                <w:rFonts w:ascii="Arial" w:cs="Arial" w:eastAsia="Arial" w:hAnsi="Arial"/>
                <w:sz w:val="18"/>
                <w:szCs w:val="18"/>
                <w:color w:val="auto"/>
              </w:rPr>
              <w:t>Lara Ray, Ph.D.</w:t>
            </w:r>
          </w:p>
        </w:tc>
        <w:tc>
          <w:tcPr>
            <w:tcW w:w="900" w:type="dxa"/>
            <w:vAlign w:val="bottom"/>
          </w:tcPr>
          <w:p>
            <w:pPr>
              <w:spacing w:after="0"/>
              <w:rPr>
                <w:sz w:val="20"/>
                <w:szCs w:val="20"/>
                <w:color w:val="auto"/>
              </w:rPr>
            </w:pPr>
            <w:r>
              <w:rPr>
                <w:rFonts w:ascii="Arial" w:cs="Arial" w:eastAsia="Arial" w:hAnsi="Arial"/>
                <w:sz w:val="18"/>
                <w:szCs w:val="18"/>
                <w:color w:val="auto"/>
              </w:rPr>
              <w:t>Completed</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UCLA</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National Institute on Alcohol Abuse and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Alcoholism</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6620" w:space="160"/>
            <w:col w:w="464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currently have no marketing and sales capabilities and we expect to rely on strategic partners to commercialize our products.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40" w:firstLine="598"/>
        <w:spacing w:after="0" w:line="302" w:lineRule="auto"/>
        <w:rPr>
          <w:sz w:val="20"/>
          <w:szCs w:val="20"/>
          <w:color w:val="auto"/>
        </w:rPr>
      </w:pPr>
      <w:r>
        <w:rPr>
          <w:rFonts w:ascii="Arial" w:cs="Arial" w:eastAsia="Arial" w:hAnsi="Arial"/>
          <w:sz w:val="16"/>
          <w:szCs w:val="16"/>
          <w:color w:val="auto"/>
        </w:rPr>
        <w:t>We rely on third parties to manufacture bulk active pharmaceutical ingredients (API) and finished investigational products for research, development, preclinical and clinical trials. We expect to continue to rely on third-party manufacturers for the manufacture of the API and finished products for our clinical and any future commercial production requirements. We believe that there are several manufacturing sources available at commercially reasonable terms to meet our clinical requirements and any future commercial production requirements for the API of our products and the finished drug products.</w:t>
      </w:r>
    </w:p>
    <w:p>
      <w:pPr>
        <w:spacing w:after="0" w:line="154"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For the MN-166 (ibudilast) development program, we have sourced and imported delayed-release ibudilast capsules, marketed in Japan as Pinatos</w:t>
      </w:r>
      <w:r>
        <w:rPr>
          <w:rFonts w:ascii="Arial" w:cs="Arial" w:eastAsia="Arial" w:hAnsi="Arial"/>
          <w:sz w:val="15"/>
          <w:szCs w:val="15"/>
          <w:color w:val="auto"/>
        </w:rPr>
        <w:t>®</w:t>
      </w:r>
      <w:r>
        <w:rPr>
          <w:rFonts w:ascii="Arial" w:cs="Arial" w:eastAsia="Arial" w:hAnsi="Arial"/>
          <w:sz w:val="18"/>
          <w:szCs w:val="18"/>
          <w:color w:val="auto"/>
        </w:rPr>
        <w:t>, from Taisho Pharmaceutical Co., Ltd. (Taisho).</w:t>
      </w:r>
    </w:p>
    <w:p>
      <w:pPr>
        <w:spacing w:after="0" w:line="170"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color w:val="auto"/>
        </w:rPr>
        <w:t>Pursuant to the terms of our license agreement with Kissei for MN-221, Kissei has the exclusive right to manufacture the commercial supply of the API for MN-221. If we enter into a supply agreement with Kissei, we will purchase from Kissei all API that we require for the commercial supply of MN-221, if this product candidate is approved for commercial sale by the FDA or other regulatory authorities.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 Agreements</w:t>
      </w:r>
    </w:p>
    <w:p>
      <w:pPr>
        <w:spacing w:after="0" w:line="121"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Since our inception in September 2000, we have entered into license agreements with pharmaceutical companies which cover our current product candidates. We have also entered into license agreements with universities which cover additional intellectual property related to our product candidates. In general, we seek to procure patent protection for our anticipated products, or obtain such protection from the relevant patents owned by our licensors. We hold licensed rights under two issued U.S. patents. We also hold licensed rights to 52 issued foreign patents corresponding to these U.S. patents. In addition to these licensed rights, we hold 24 issued U.S. patents and have filed 6 additional U.S. patent applications. We also hold 35 issued foreign patents and 48 pending foreign patent applications corresponding to these U.S. patents and patent applications. We are not aware of any third-party infringement of the patents owned or licensed by us and are not party to any material claims by third parties of infringement by us of such third parties’ intellectual property rights. The following is a description of our existing license agreements and intellectual property rights for each of our product candidates.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w:t>
      </w:r>
    </w:p>
    <w:p>
      <w:pPr>
        <w:spacing w:after="0" w:line="117"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On October 22, 2004, we entered into an exclusive license agreement with Kyorin for the development and commercialization of MN-166 (ibudilast). Kyorin is a fully integrated Japanese pharmaceutical company and is listed on the First Section of the Tokyo Stock Exchange. We obtained an exclusive, worldwide (excluding Japan, China, South Korea and Taiwan), sub-licensable license to the patent rights and know-how related to MN-166 (ibudilast) for the treatment of MS, except for ophthalmic solution formulations. MN-166 (ibudilast) is not covered by a composition of matter patent. The U.S. method of use patent for MN-166 (ibudilast) in MS underlying the license is set to expire on August 10, 2018. Corresponding method of use patents in certain foreign countries are set to expire on August 10, 2018. Under the terms of the agreement, we granted to Kyorin an exclusive, royalty-free, sub-licensable license to use the preclinical, clinical and regulatory databases to develop ophthalmic products incorporating the MN-166 (ibudilast) compound anywhere in the world and non-ophthalmic products incorporating the MN-166 (ibudilast) compound outside of our territory.</w:t>
      </w:r>
    </w:p>
    <w:p>
      <w:pPr>
        <w:spacing w:after="0" w:line="179"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We may terminate the agreement for any reason with 90 days’ written notice to Kyorin or, in the event that a third party claims that MN-166 (ibudilast) infringes upon such third party’s intellectual property rights, with 30 days’ written notice.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right="40" w:firstLine="598"/>
        <w:spacing w:after="0" w:line="276" w:lineRule="auto"/>
        <w:rPr>
          <w:sz w:val="20"/>
          <w:szCs w:val="20"/>
          <w:color w:val="auto"/>
        </w:rPr>
      </w:pPr>
      <w:r>
        <w:rPr>
          <w:rFonts w:ascii="Arial" w:cs="Arial" w:eastAsia="Arial" w:hAnsi="Arial"/>
          <w:sz w:val="17"/>
          <w:szCs w:val="17"/>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73" w:lineRule="exact"/>
        <w:rPr>
          <w:sz w:val="20"/>
          <w:szCs w:val="20"/>
          <w:color w:val="auto"/>
        </w:rPr>
      </w:pPr>
    </w:p>
    <w:p>
      <w:pPr>
        <w:ind w:right="480" w:firstLine="598"/>
        <w:spacing w:after="0" w:line="308" w:lineRule="auto"/>
        <w:rPr>
          <w:sz w:val="20"/>
          <w:szCs w:val="20"/>
          <w:color w:val="auto"/>
        </w:rPr>
      </w:pPr>
      <w:r>
        <w:rPr>
          <w:rFonts w:ascii="Arial" w:cs="Arial" w:eastAsia="Arial" w:hAnsi="Arial"/>
          <w:sz w:val="17"/>
          <w:szCs w:val="17"/>
          <w:color w:val="auto"/>
        </w:rPr>
        <w:t>Under the license agreement, we have paid Kyorin $700,000 to date, and we are obligated to make payments of up to $5.0 million based on the achievement of certain clinical and regulatory milestones. We are also obligated to pay a royalty on net sales of the licensed products.</w:t>
      </w:r>
    </w:p>
    <w:p>
      <w:pPr>
        <w:spacing w:after="0" w:line="147" w:lineRule="exact"/>
        <w:rPr>
          <w:sz w:val="20"/>
          <w:szCs w:val="20"/>
          <w:color w:val="auto"/>
        </w:rPr>
      </w:pPr>
    </w:p>
    <w:p>
      <w:pPr>
        <w:ind w:right="80" w:firstLine="598"/>
        <w:spacing w:after="0" w:line="286" w:lineRule="auto"/>
        <w:rPr>
          <w:sz w:val="20"/>
          <w:szCs w:val="20"/>
          <w:color w:val="auto"/>
        </w:rPr>
      </w:pPr>
      <w:r>
        <w:rPr>
          <w:rFonts w:ascii="Arial" w:cs="Arial" w:eastAsia="Arial" w:hAnsi="Arial"/>
          <w:sz w:val="17"/>
          <w:szCs w:val="17"/>
          <w:color w:val="auto"/>
        </w:rPr>
        <w:t>We own, co-own or hold licenses to seven issued U.S. patents and four pending U.S. patent applications as well as 21 issued foreign patents and four pending foreign patent applications covering MN-166 (ibudilast) and its analogs. These patents and patent applications are primarily related to our development portfolio and are currently directed to methods of treating various indications using ibudilast and its analogs.</w:t>
      </w:r>
    </w:p>
    <w:p>
      <w:pPr>
        <w:spacing w:after="0" w:line="166"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We have been granted a U.S. patent which covers the use of MN-166 (ibudilast) for the treatment of progressive forms of MS. This patent will expire no earlier than November 2029, not including a potential extension under patent term restoration rules, and covers a method of treating PPMS or SPMS by administering ibudilast. Counterparts of this patent application have been granted in certain foreign jurisdictions. We have been granted a U.S. patent which covers the use of MN-166 (ibudilast) for the treatment of amyotrophic lateral sclerosis (ALS) and it expires no earlier than January 2029. We have been granted a patent which covers the use of MN-166 (ibudilast) for the treatment of neuropathic pain in the U.S. and it expires no earlier than December 2025. We have been granted a patent which covers the use of MN-166 (ibudilast) for the treatment of drug addiction or drug dependence or withdrawal syndrome in the U.S. and it expires no earlier than January 2030. Counterparts of this patent application have been granted in certain foreign jurisdictions.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(bedoradrine)</w:t>
      </w:r>
    </w:p>
    <w:p>
      <w:pPr>
        <w:spacing w:after="0" w:line="11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On February 25, 2004, we entered into an exclusive license agreement with Kissei for the development and commercialization of MN-221. Kissei is a fully integrated Japanese pharmaceutical company and is listed on the Tokyo Stock Exchange. We obtained an exclusive, worldwide (excluding Japan), sub-licensable license to various patent rights and know-how related to MN-221 and other compounds disclosed or included in, or covered by, these patent rights, for all indications. This license includes an exclusive license under one U.S. patent and certain corresponding patents in foreign countries and is sub-licensable upon receipt of the written consent of Kissei. The U.S. patent for MN-221 has composition of matter and method of use claims. The U.S. composition of matter patent underlying the license issued on October 17, 2000 and is set to expire on February 18, 2017. Corresponding composition of matter patents in various other countries are set to expire on February 18, 2017.</w:t>
      </w:r>
    </w:p>
    <w:p>
      <w:pPr>
        <w:spacing w:after="0" w:line="17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addition to the licensed patents, we have filed patent applications in the U.S. and certain foreign countries regarding additional uses and formulations of MN-221. We have been granted a U.S. patent which covers the use of MN-221 for the treatment of acute exacerbations of asthma and it expires no earlier than November 2030. This patent includes claims covering the use of MN-221 (bedoradrine) in combination with a standard of care treatment regimen and covers different routes of administration, including intravenous, oral and inhalation. Counterparts of this patent application are pending in certain foreign jurisdictions. We have been granted a U.S. patent that covers the use of MN-221 for the treatment of irritable bowel syndrome and it expires no earlier than April 2031.</w:t>
      </w:r>
    </w:p>
    <w:p>
      <w:pPr>
        <w:spacing w:after="0" w:line="193"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for scientific or commercial reasons upon 100 days’ prior written notice to Kissei during the development phase and 180 days’ prior written notice to Kissei during the commercialization phase.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ind w:right="80" w:firstLine="598"/>
        <w:spacing w:after="0" w:line="259" w:lineRule="auto"/>
        <w:rPr>
          <w:sz w:val="20"/>
          <w:szCs w:val="20"/>
          <w:color w:val="auto"/>
        </w:rPr>
      </w:pPr>
      <w:r>
        <w:rPr>
          <w:rFonts w:ascii="Arial" w:cs="Arial" w:eastAsia="Arial" w:hAnsi="Arial"/>
          <w:sz w:val="18"/>
          <w:szCs w:val="18"/>
          <w:color w:val="auto"/>
        </w:rPr>
        <w:t>The term of the agreement is determined on a country-by-country basis and extends until the expiration of the last Kissei patent (or equivalent) under license to expire or in the event that a valid claim does not exist or, if a valid claim expired more than ten years from the date of first commercial sale, ten years from the date of first commercial sale. In either case, the term of the agreement would not extend for any particular country past the date on which generic competition exists in such country.</w:t>
      </w:r>
    </w:p>
    <w:p>
      <w:pPr>
        <w:spacing w:after="0" w:line="187" w:lineRule="exact"/>
        <w:rPr>
          <w:sz w:val="20"/>
          <w:szCs w:val="20"/>
          <w:color w:val="auto"/>
        </w:rPr>
      </w:pPr>
    </w:p>
    <w:p>
      <w:pPr>
        <w:ind w:right="260" w:firstLine="598"/>
        <w:spacing w:after="0" w:line="259" w:lineRule="auto"/>
        <w:rPr>
          <w:sz w:val="20"/>
          <w:szCs w:val="20"/>
          <w:color w:val="auto"/>
        </w:rPr>
      </w:pPr>
      <w:r>
        <w:rPr>
          <w:rFonts w:ascii="Arial" w:cs="Arial" w:eastAsia="Arial" w:hAnsi="Arial"/>
          <w:sz w:val="18"/>
          <w:szCs w:val="18"/>
          <w:color w:val="auto"/>
        </w:rPr>
        <w:t>Under the license agreement, we have paid Kissei $1.0 million to date, and we are obligated to make payments of up to $17.0 million based on the achievement of certain clinical and regulatory milestones. We are also obligated to pay a royalty on net sales of the licensed products. Under the terms of a letter agreement we entered into with Kissei in September 2011, we agreed to renegotiate in good faith with Kissei the existing levels of the milestone payment amounts and royalty rates.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w:t>
      </w:r>
    </w:p>
    <w:p>
      <w:pPr>
        <w:spacing w:after="0" w:line="117"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On March 14, 2002, we entered into an exclusive license agreement with Kyorin for the development and commercialization of MN-001 (tipelukast). We obtained an exclusive, worldwide (excluding Japan, China, South Korea and Taiwan) sub-licensable license to the patent rights and know-how related to MN-001 (tipelukast) and its active metabolite, MN-002, disclosed and included in, or covered by, these patents, in all indications, except for ophthalmic solution formulations. This license includes an exclusive, sub-licensable license under two U.S. patents and certain corresponding patents in foreign countries. The U.S. composition of matter patent for MN-001 (tipelukast) underlying the license expired on February 23, 2009, and the U.S. composition of matter patent for MN-002 underlying the license expired on December 30, 2011. Foreign composition of matter patents for MN-001 (tipelukast) and MN-002 have also expired. We have been granted 14 U.S. patents covering certain compositions, uses and manufacturing processes associated with MN-001 (tipelukast) and MN-002. Uses covered by these patents include nonalcoholic steatohepatitis (NASH), advanced NASH with fibrosis, nonalcoholic fatty liver disease (NAFLD), steatosis, hypertriglyceridemia, hypercholesterolemia, hyperlipoproteinemia, fibrosis, ulcerative colitis, interstitial cystitis, and irritable bowel syndrome. Patent applications corresponding to these U.S. patents have been filed in certain foreign countries and some of the foreign patents have issued.</w:t>
      </w:r>
    </w:p>
    <w:p>
      <w:pPr>
        <w:spacing w:after="0" w:line="169" w:lineRule="exact"/>
        <w:rPr>
          <w:sz w:val="20"/>
          <w:szCs w:val="20"/>
          <w:color w:val="auto"/>
        </w:rPr>
      </w:pPr>
    </w:p>
    <w:p>
      <w:pPr>
        <w:ind w:right="100" w:firstLine="598"/>
        <w:spacing w:after="0" w:line="297" w:lineRule="auto"/>
        <w:rPr>
          <w:sz w:val="20"/>
          <w:szCs w:val="20"/>
          <w:color w:val="auto"/>
        </w:rPr>
      </w:pPr>
      <w:r>
        <w:rPr>
          <w:rFonts w:ascii="Arial" w:cs="Arial" w:eastAsia="Arial" w:hAnsi="Arial"/>
          <w:sz w:val="16"/>
          <w:szCs w:val="16"/>
          <w:color w:val="auto"/>
        </w:rPr>
        <w:t>Under the terms of the agreement, we granted to Kyorin an exclusive, royalty-free, sub-licensable license to use the preclinical, clinical and regulatory databases to develop ophthalmic products incorporating MN-001 (tipelukast) anywhere in the world and non-ophthalmic products incorporating MN-001 (tipelukast) outside of our territory. The license agreement may be terminated by either party following an uncured breach of any material provision in the agreement by the other party, and we may terminate the agreement for any reason with 90 days’ written notice to Kyorin or, in the event that a third party claims that the licensed patent rights or know-how infringe upon such third party’s intellectual property rights, with 30 days’ written notice.</w:t>
      </w:r>
    </w:p>
    <w:p>
      <w:pPr>
        <w:spacing w:after="0" w:line="158"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73" w:lineRule="exact"/>
        <w:rPr>
          <w:sz w:val="20"/>
          <w:szCs w:val="20"/>
          <w:color w:val="auto"/>
        </w:rPr>
      </w:pPr>
    </w:p>
    <w:p>
      <w:pPr>
        <w:ind w:right="300" w:firstLine="598"/>
        <w:spacing w:after="0" w:line="308" w:lineRule="auto"/>
        <w:rPr>
          <w:sz w:val="20"/>
          <w:szCs w:val="20"/>
          <w:color w:val="auto"/>
        </w:rPr>
      </w:pPr>
      <w:r>
        <w:rPr>
          <w:rFonts w:ascii="Arial" w:cs="Arial" w:eastAsia="Arial" w:hAnsi="Arial"/>
          <w:sz w:val="17"/>
          <w:szCs w:val="17"/>
          <w:color w:val="auto"/>
        </w:rPr>
        <w:t>Under the license agreement, we have paid Kyorin $4.0 million to date, and we are obligated to make payments of up to $5.0 million based on the achievement of clinical and regulatory milestones. We are also obligated to pay a royalty on net sales of the licensed products.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MN-029 (denibulin)</w:t>
      </w:r>
    </w:p>
    <w:p>
      <w:pPr>
        <w:spacing w:after="0" w:line="11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On June 19, 2002, we entered into an exclusive license agreement with Angiogene for the development and commercialization of the ANG-600 series of compounds. Angiogene is a privately held, British drug discovery company. We obtained an exclusive, worldwide, sub-licensable license to the patent rights and know-how related to the ANG-600 series of compounds disclosed in and included or covered by these patents for all indications. MN-029 is one of the ANG-600 series compounds covered by this license. We have been granted a U.S. patent which covers MN-029 (denibulin) di-hydrochloride and expires no earlier than July 2032. The allowed claims cover a compound, pharmaceutical composition and method of treating certain cell proliferation diseases, including solid tumors, based on denibulin di-hydrochloride. Patent applications corresponding to this U.S. patent were filed in certain foreign countries and patents have been granted or allowed in some of those countries.</w:t>
      </w:r>
    </w:p>
    <w:p>
      <w:pPr>
        <w:spacing w:after="0" w:line="178"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at any time by giving 30 days’ advance written notice to Angiogene.</w:t>
      </w:r>
    </w:p>
    <w:p>
      <w:pPr>
        <w:spacing w:after="0" w:line="170"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The term of this agreement is determined on a country-by-country basis and extends until the earlier of the expiration of the last Angiogene patent (or equivalent) under license which has a valid claim to expire or 15 years from the date of first commercial sale.</w:t>
      </w:r>
    </w:p>
    <w:p>
      <w:pPr>
        <w:spacing w:after="0" w:line="170" w:lineRule="exact"/>
        <w:rPr>
          <w:sz w:val="20"/>
          <w:szCs w:val="20"/>
          <w:color w:val="auto"/>
        </w:rPr>
      </w:pPr>
    </w:p>
    <w:p>
      <w:pPr>
        <w:ind w:right="220" w:firstLine="598"/>
        <w:spacing w:after="0" w:line="308" w:lineRule="auto"/>
        <w:rPr>
          <w:sz w:val="20"/>
          <w:szCs w:val="20"/>
          <w:color w:val="auto"/>
        </w:rPr>
      </w:pPr>
      <w:r>
        <w:rPr>
          <w:rFonts w:ascii="Arial" w:cs="Arial" w:eastAsia="Arial" w:hAnsi="Arial"/>
          <w:sz w:val="17"/>
          <w:szCs w:val="17"/>
          <w:color w:val="auto"/>
        </w:rPr>
        <w:t>Under the license agreement, we have paid Angiogene $1.4 million to date and are obligated to make payments of up to $16.5 million based on the achievement of clinical and regulatory milestones. We are also obligated to pay a royalty on net sales of the licensed products.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Our proposed commercial activities may conflict with patents which have been or may be granted to competitors, universities and/or others. Third parties could bring legal action against us, our licensors or our sub-licensees claiming patent infringement and could seek damages or enjoin manufacturing and marketing of the affected product or its use or the use of a process for the manufacturing of such products. If any such actions were to be successful, in addition to any potential liability for indemnification, damages and attorneys’ fees in certain cases, we could be required to obtain a license, which may not be available on commercially reasonable terms or at all, in order to continue to manufacture, use or market the affected product. We also rely upon unpatented proprietary technology because, in some cases, our interests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 unpatented proprietary technology. We may also conduct research on other pharmaceutical compounds or technologies, the rights to which may be held by, or be subject to patent rights of, third parties. Accordingly, if products based on such research are commercialized, such commercial activities may infringe patents or other rights, which may require us to obtain a license to such patents or other rights. We are not aware of any third-party infringements of patents we hold or have licensed and have not received any material claims by third parties of infringement by us of such parties’ intellectual property rights.</w:t>
      </w:r>
    </w:p>
    <w:p>
      <w:pPr>
        <w:spacing w:after="0" w:line="180"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 challenged. For example, we have U.S. patents covering the method of using MN-166 (ibudilast) to treat MS and progressive MS, the method of using MN-166 (ibudilast) to treat ALS, the method of using MN-166 (ibudilast) to treat addiction and the method of using MN-166 (ibudilast) to treat neuropathic pain, but we do not have any composition of matter patent claims for MN-166 (ibudilast) because that patent has expired. As a result, unrelated third parties may develop products with the same API as MN-166 (ibudilast) so long as such parties do not infringe our method of use patents, other patents we have exclusive rights to through our licensor or any patents we may obtain for MN-166 (ibudilast).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ind w:right="160" w:firstLine="598"/>
        <w:spacing w:after="0" w:line="255" w:lineRule="auto"/>
        <w:rPr>
          <w:sz w:val="20"/>
          <w:szCs w:val="20"/>
          <w:color w:val="auto"/>
        </w:rPr>
      </w:pPr>
      <w:r>
        <w:rPr>
          <w:rFonts w:ascii="Arial" w:cs="Arial" w:eastAsia="Arial" w:hAnsi="Arial"/>
          <w:sz w:val="18"/>
          <w:szCs w:val="18"/>
          <w:color w:val="auto"/>
        </w:rPr>
        <w:t>In addition, if we develop certain products that are not covered by any patents, we will be dependent on obtaining market exclusivity under the new chemical entity exclusivity provisions of Hatch-Waxman Act for such products in the U.S. and/or data exclusivity provisions in Europe. If we are unable to obtain strong proprietary protection for our products after obtaining regulatory approval, competitors may be able to market competing generic products by taking advantage of an abbreviated procedure for obtaining regulatory clearance, including the ability to demonstrate bioequivalency to our product(s) without being required to conduct lengthy clinical trials. Certain of our license agreements provide for reduced or foregone royalties in the event of generic competition.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0" w:firstLine="598"/>
        <w:spacing w:after="0" w:line="270" w:lineRule="auto"/>
        <w:rPr>
          <w:sz w:val="20"/>
          <w:szCs w:val="20"/>
          <w:color w:val="auto"/>
        </w:rPr>
      </w:pPr>
      <w:r>
        <w:rPr>
          <w:rFonts w:ascii="Arial" w:cs="Arial" w:eastAsia="Arial" w:hAnsi="Arial"/>
          <w:sz w:val="17"/>
          <w:szCs w:val="17"/>
          <w:color w:val="auto"/>
        </w:rPr>
        <w:t>The development and commercialization of new drugs is extremely competitive and characterized by extensive research efforts and rapid technological progress. Competition in our industry occurs on a variety of fronts, including developing and bringing new products to market before others, developing new products to provide the same benefits as existing products at lower cost and developing new products to provide benefits superior to those of existing products. We face competition from pharmaceutical and biotechnology companies, as well as numerous academic and research institutions and governmental agencies in the U.S. and abroad. Some of these competitors have products or are pursuing the development of drugs that target the same diseases and conditions that are the focus of our product development programs. Many of 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w:t>
      </w:r>
    </w:p>
    <w:p>
      <w:pPr>
        <w:spacing w:after="0" w:line="182"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Progressive Multiple Sclerosis (Progressive MS)</w:t>
      </w:r>
    </w:p>
    <w:p>
      <w:pPr>
        <w:spacing w:after="0" w:line="117"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Our MN-166 (ibudilast) product candidate is in development for the treatment of progressive MS. Only one drug, mitoxantrone, is approved for treating progressive MS. However, mitoxantrone cannot be used on a long-term basis because of the potential for cardiac toxicity. Other programs in clinical development for progressive MS include Roche’s Ocrevus (ocrelizumab), Novartis’s BAF312 (siponimod), Teva’s Nerventra (laquinimod), and AB Science’s masitinib.</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Amyotrophic Lateral Sclerosis (ALS)</w:t>
      </w:r>
    </w:p>
    <w:p>
      <w:pPr>
        <w:spacing w:after="0" w:line="117" w:lineRule="exact"/>
        <w:rPr>
          <w:sz w:val="20"/>
          <w:szCs w:val="20"/>
          <w:color w:val="auto"/>
        </w:rPr>
      </w:pPr>
    </w:p>
    <w:p>
      <w:pPr>
        <w:ind w:right="280" w:firstLine="598"/>
        <w:spacing w:after="0" w:line="312" w:lineRule="auto"/>
        <w:rPr>
          <w:sz w:val="20"/>
          <w:szCs w:val="20"/>
          <w:color w:val="auto"/>
        </w:rPr>
      </w:pPr>
      <w:r>
        <w:rPr>
          <w:rFonts w:ascii="Arial" w:cs="Arial" w:eastAsia="Arial" w:hAnsi="Arial"/>
          <w:sz w:val="16"/>
          <w:szCs w:val="16"/>
          <w:color w:val="auto"/>
        </w:rPr>
        <w:t>Our MN-166 (ibudilast) product candidate is also in development for the treatment of ALS. Only one drug, riluzole, is approved for treating ALS, and it has limited efficacy. We are aware of additional compounds in clinical development for the treatment of ALS at other companies including Cytokinetics, BrainStorm Cell Therapeutics Inc., AB Science, Mallinckrodt, Biogen, Neuraltus Pharmaceuticals, and Amylyx Pharmaceuticals.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MN-166 (ibudilast) for Drug Addiction</w:t>
      </w:r>
    </w:p>
    <w:p>
      <w:pPr>
        <w:spacing w:after="0" w:line="117" w:lineRule="exact"/>
        <w:rPr>
          <w:sz w:val="20"/>
          <w:szCs w:val="20"/>
          <w:color w:val="auto"/>
        </w:rPr>
      </w:pPr>
    </w:p>
    <w:p>
      <w:pPr>
        <w:ind w:firstLine="598"/>
        <w:spacing w:after="0" w:line="224" w:lineRule="auto"/>
        <w:rPr>
          <w:sz w:val="20"/>
          <w:szCs w:val="20"/>
          <w:color w:val="auto"/>
        </w:rPr>
      </w:pPr>
      <w:r>
        <w:rPr>
          <w:rFonts w:ascii="Arial" w:cs="Arial" w:eastAsia="Arial" w:hAnsi="Arial"/>
          <w:sz w:val="16"/>
          <w:szCs w:val="16"/>
          <w:color w:val="auto"/>
        </w:rPr>
        <w:t>Our MN-166 (ibudilast) product candidate is also in development for treatment of opioid withdrawal and dependence, methamphetamine addiction, and alcohol dependence. Current treatments for opioid withdrawal symptoms include narcotics such as generic methadone and Indivior, Inc.’s Suboxone</w:t>
      </w:r>
      <w:r>
        <w:rPr>
          <w:rFonts w:ascii="Arial" w:cs="Arial" w:eastAsia="Arial" w:hAnsi="Arial"/>
          <w:sz w:val="23"/>
          <w:szCs w:val="23"/>
          <w:color w:val="auto"/>
          <w:vertAlign w:val="superscript"/>
        </w:rPr>
        <w:t>®</w:t>
      </w:r>
      <w:r>
        <w:rPr>
          <w:rFonts w:ascii="Arial" w:cs="Arial" w:eastAsia="Arial" w:hAnsi="Arial"/>
          <w:sz w:val="16"/>
          <w:szCs w:val="16"/>
          <w:color w:val="auto"/>
        </w:rPr>
        <w:t xml:space="preserve"> Film (buprenorphine + the opioid antagonist naloxone). Other products approved for opioid dependence include Alkermes’ Vivitrol</w:t>
      </w:r>
      <w:r>
        <w:rPr>
          <w:rFonts w:ascii="Arial" w:cs="Arial" w:eastAsia="Arial" w:hAnsi="Arial"/>
          <w:sz w:val="23"/>
          <w:szCs w:val="23"/>
          <w:color w:val="auto"/>
          <w:vertAlign w:val="superscript"/>
        </w:rPr>
        <w:t>®</w:t>
      </w:r>
      <w:r>
        <w:rPr>
          <w:rFonts w:ascii="Arial" w:cs="Arial" w:eastAsia="Arial" w:hAnsi="Arial"/>
          <w:sz w:val="16"/>
          <w:szCs w:val="16"/>
          <w:color w:val="auto"/>
        </w:rPr>
        <w:t xml:space="preserve"> (naltrexone monthly injection), Orexo’s Zubsolv</w:t>
      </w:r>
      <w:r>
        <w:rPr>
          <w:rFonts w:ascii="Arial" w:cs="Arial" w:eastAsia="Arial" w:hAnsi="Arial"/>
          <w:sz w:val="23"/>
          <w:szCs w:val="23"/>
          <w:color w:val="auto"/>
          <w:vertAlign w:val="superscript"/>
        </w:rPr>
        <w:t>®</w:t>
      </w:r>
      <w:r>
        <w:rPr>
          <w:rFonts w:ascii="Arial" w:cs="Arial" w:eastAsia="Arial" w:hAnsi="Arial"/>
          <w:sz w:val="16"/>
          <w:szCs w:val="16"/>
          <w:color w:val="auto"/>
        </w:rPr>
        <w:t xml:space="preserve"> (buprenorphine and naloxone), BioDelivery Sciences’s Bunavail</w:t>
      </w:r>
      <w:r>
        <w:rPr>
          <w:rFonts w:ascii="Arial" w:cs="Arial" w:eastAsia="Arial" w:hAnsi="Arial"/>
          <w:sz w:val="23"/>
          <w:szCs w:val="23"/>
          <w:color w:val="auto"/>
          <w:vertAlign w:val="superscript"/>
        </w:rPr>
        <w:t>®</w:t>
      </w:r>
      <w:r>
        <w:rPr>
          <w:rFonts w:ascii="Arial" w:cs="Arial" w:eastAsia="Arial" w:hAnsi="Arial"/>
          <w:sz w:val="16"/>
          <w:szCs w:val="16"/>
          <w:color w:val="auto"/>
        </w:rPr>
        <w:t xml:space="preserve"> (buprenorphine and naloxone), and Braeburn Pharmaceuticals Inc.’s Probuphine (buprenorphine) implant. Indivior and Braeburn Pharmaceuticals are developing injectable buprenorphine products for the treatment of opioid dependence. Limited non-narcotic drug candidates for opioid withdrawal symptoms exist. Britannia Pharmaceuticals Limited’s BritLofex</w:t>
      </w:r>
      <w:r>
        <w:rPr>
          <w:rFonts w:ascii="Arial" w:cs="Arial" w:eastAsia="Arial" w:hAnsi="Arial"/>
          <w:sz w:val="23"/>
          <w:szCs w:val="23"/>
          <w:color w:val="auto"/>
          <w:vertAlign w:val="superscript"/>
        </w:rPr>
        <w:t>®</w:t>
      </w:r>
      <w:r>
        <w:rPr>
          <w:rFonts w:ascii="Arial" w:cs="Arial" w:eastAsia="Arial" w:hAnsi="Arial"/>
          <w:sz w:val="16"/>
          <w:szCs w:val="16"/>
          <w:color w:val="auto"/>
        </w:rPr>
        <w:t xml:space="preserve"> (Lofexidine), licensed for development in U.S. clinical trials to US WorldMeds LLC, is an a</w:t>
      </w:r>
      <w:r>
        <w:rPr>
          <w:rFonts w:ascii="Arial" w:cs="Arial" w:eastAsia="Arial" w:hAnsi="Arial"/>
          <w:sz w:val="23"/>
          <w:szCs w:val="23"/>
          <w:color w:val="auto"/>
          <w:vertAlign w:val="subscript"/>
        </w:rPr>
        <w:t>2</w:t>
      </w:r>
      <w:r>
        <w:rPr>
          <w:rFonts w:ascii="Arial" w:cs="Arial" w:eastAsia="Arial" w:hAnsi="Arial"/>
          <w:sz w:val="16"/>
          <w:szCs w:val="16"/>
          <w:color w:val="auto"/>
        </w:rPr>
        <w:t xml:space="preserve"> adrenergic receptor agonist like clonidine which may have somewhat less orthostatic hypotension limitations. There are no pharmaceuticals currently approved for the treatment of methamphetamine addiction. Current treatments for alcohol dependence include Antabuse</w:t>
      </w:r>
      <w:r>
        <w:rPr>
          <w:rFonts w:ascii="Arial" w:cs="Arial" w:eastAsia="Arial" w:hAnsi="Arial"/>
          <w:sz w:val="23"/>
          <w:szCs w:val="23"/>
          <w:color w:val="auto"/>
          <w:vertAlign w:val="superscript"/>
        </w:rPr>
        <w:t>®</w:t>
      </w:r>
      <w:r>
        <w:rPr>
          <w:rFonts w:ascii="Arial" w:cs="Arial" w:eastAsia="Arial" w:hAnsi="Arial"/>
          <w:sz w:val="16"/>
          <w:szCs w:val="16"/>
          <w:color w:val="auto"/>
        </w:rPr>
        <w:t xml:space="preserve"> (disulfiram), Vivitrol</w:t>
      </w:r>
      <w:r>
        <w:rPr>
          <w:rFonts w:ascii="Arial" w:cs="Arial" w:eastAsia="Arial" w:hAnsi="Arial"/>
          <w:sz w:val="23"/>
          <w:szCs w:val="23"/>
          <w:color w:val="auto"/>
          <w:vertAlign w:val="superscript"/>
        </w:rPr>
        <w:t>®</w:t>
      </w:r>
      <w:r>
        <w:rPr>
          <w:rFonts w:ascii="Arial" w:cs="Arial" w:eastAsia="Arial" w:hAnsi="Arial"/>
          <w:sz w:val="16"/>
          <w:szCs w:val="16"/>
          <w:color w:val="auto"/>
        </w:rPr>
        <w:t xml:space="preserve"> (naltrexone), generic acamprosate, and Revia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(naltrexone). We are aware of additional compounds in development for the treatment of alcohol dependence at other companies including Indivior.</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(bedoradrine) for Acute Exacerbations of Asthma</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 xml:space="preserve">Our MN-221 product candidate is being developed for the treatment of acute exacerbations of asthma in the emergency room setting. The current standard of care for acute exacerbations of asthma is inhaled albuterol (a ß </w:t>
      </w:r>
      <w:r>
        <w:rPr>
          <w:rFonts w:ascii="Arial" w:cs="Arial" w:eastAsia="Arial" w:hAnsi="Arial"/>
          <w:sz w:val="15"/>
          <w:szCs w:val="15"/>
          <w:color w:val="auto"/>
        </w:rPr>
        <w:t>2</w:t>
      </w:r>
      <w:r>
        <w:rPr>
          <w:rFonts w:ascii="Arial" w:cs="Arial" w:eastAsia="Arial" w:hAnsi="Arial"/>
          <w:sz w:val="18"/>
          <w:szCs w:val="18"/>
          <w:color w:val="auto"/>
        </w:rPr>
        <w:t xml:space="preserve"> -adrenergic receptor agonist), inhaled ipratropium (an anticholinergic) and oral or injected corticosteroids. In addition, subcutaneously administered terbutaline (a ß </w:t>
      </w:r>
      <w:r>
        <w:rPr>
          <w:rFonts w:ascii="Arial" w:cs="Arial" w:eastAsia="Arial" w:hAnsi="Arial"/>
          <w:sz w:val="15"/>
          <w:szCs w:val="15"/>
          <w:color w:val="auto"/>
        </w:rPr>
        <w:t>2</w:t>
      </w:r>
      <w:r>
        <w:rPr>
          <w:rFonts w:ascii="Arial" w:cs="Arial" w:eastAsia="Arial" w:hAnsi="Arial"/>
          <w:sz w:val="18"/>
          <w:szCs w:val="18"/>
          <w:color w:val="auto"/>
        </w:rPr>
        <w:t xml:space="preserve"> -adrenergic receptor agonist) is sometimes used to treat this condition, particularly in pediatric patients.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 for Nonalcoholic Steatohepatitis (NASH)</w:t>
      </w:r>
    </w:p>
    <w:p>
      <w:pPr>
        <w:spacing w:after="0" w:line="117"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Our MN-001 (tipelukast) product candidate is being developed for the treatment of NASH. There are currently no therapeutic products approved for the treatment of NASH. We are aware of compounds in clinical development for the treatment of NASH at other companies including Intercept Pharmaceuticals, Genfit, Galectin Therapeutics, Gilead Sciences, Allergan (which acquired Tobira Therapeutics), Galmed Pharmaceuticals, Bristol-Myers Squibb, Shire and Conatus Pharmaceuticals.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 for Idiopathic Pulmonary Fibrosis (IPF)</w:t>
      </w:r>
    </w:p>
    <w:p>
      <w:pPr>
        <w:spacing w:after="0" w:line="117" w:lineRule="exact"/>
        <w:rPr>
          <w:sz w:val="20"/>
          <w:szCs w:val="20"/>
          <w:color w:val="auto"/>
        </w:rPr>
      </w:pPr>
    </w:p>
    <w:p>
      <w:pPr>
        <w:ind w:right="460" w:firstLine="598"/>
        <w:spacing w:after="0" w:line="264" w:lineRule="auto"/>
        <w:rPr>
          <w:sz w:val="20"/>
          <w:szCs w:val="20"/>
          <w:color w:val="auto"/>
        </w:rPr>
      </w:pPr>
      <w:r>
        <w:rPr>
          <w:rFonts w:ascii="Arial" w:cs="Arial" w:eastAsia="Arial" w:hAnsi="Arial"/>
          <w:sz w:val="18"/>
          <w:szCs w:val="18"/>
          <w:color w:val="auto"/>
        </w:rPr>
        <w:t>Our MN-001 (tipelukast) product candidate is also being developed for the treatment of IPF. Products approved in the U.S. for treatment of IPF include Roche’s (formerly InterMune) Esbriet</w:t>
      </w:r>
      <w:r>
        <w:rPr>
          <w:rFonts w:ascii="Arial" w:cs="Arial" w:eastAsia="Arial" w:hAnsi="Arial"/>
          <w:sz w:val="15"/>
          <w:szCs w:val="15"/>
          <w:color w:val="auto"/>
        </w:rPr>
        <w:t>®</w:t>
      </w:r>
      <w:r>
        <w:rPr>
          <w:rFonts w:ascii="Arial" w:cs="Arial" w:eastAsia="Arial" w:hAnsi="Arial"/>
          <w:sz w:val="18"/>
          <w:szCs w:val="18"/>
          <w:color w:val="auto"/>
        </w:rPr>
        <w:t xml:space="preserve"> (pirfenidone) and Boehringer Ingelheim’s OFEV</w:t>
      </w:r>
      <w:r>
        <w:rPr>
          <w:rFonts w:ascii="Arial" w:cs="Arial" w:eastAsia="Arial" w:hAnsi="Arial"/>
          <w:sz w:val="15"/>
          <w:szCs w:val="15"/>
          <w:color w:val="auto"/>
        </w:rPr>
        <w:t>®</w:t>
      </w:r>
      <w:r>
        <w:rPr>
          <w:rFonts w:ascii="Arial" w:cs="Arial" w:eastAsia="Arial" w:hAnsi="Arial"/>
          <w:sz w:val="18"/>
          <w:szCs w:val="18"/>
          <w:color w:val="auto"/>
        </w:rPr>
        <w:t xml:space="preserve"> (nintedanib). Other companies working on clinical development programs for treatment of IPF include Roche, Sanofi, Biogen and FibroGen.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(denibulin) for Solid Tumor Cancer</w:t>
      </w:r>
    </w:p>
    <w:p>
      <w:pPr>
        <w:spacing w:after="0" w:line="117"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Our MN-029 product candidate is being developed for the treatment of solid tumor cancers. Genentech’s Kadcyla</w:t>
      </w:r>
      <w:r>
        <w:rPr>
          <w:rFonts w:ascii="Arial" w:cs="Arial" w:eastAsia="Arial" w:hAnsi="Arial"/>
          <w:sz w:val="14"/>
          <w:szCs w:val="14"/>
          <w:color w:val="auto"/>
        </w:rPr>
        <w:t>®</w:t>
      </w:r>
      <w:r>
        <w:rPr>
          <w:rFonts w:ascii="Arial" w:cs="Arial" w:eastAsia="Arial" w:hAnsi="Arial"/>
          <w:sz w:val="17"/>
          <w:szCs w:val="17"/>
          <w:color w:val="auto"/>
        </w:rPr>
        <w:t>, a HER2-targeted antibody and microtubule inhibitor conjugate, is approved for treatment of patients with HER2-positive metastatic breast cancer who previously were treated with trastuzumab and/or a taxane. Bayer’s Stivarga</w:t>
      </w:r>
      <w:r>
        <w:rPr>
          <w:rFonts w:ascii="Arial" w:cs="Arial" w:eastAsia="Arial" w:hAnsi="Arial"/>
          <w:sz w:val="14"/>
          <w:szCs w:val="14"/>
          <w:color w:val="auto"/>
        </w:rPr>
        <w:t>®</w:t>
      </w:r>
      <w:r>
        <w:rPr>
          <w:rFonts w:ascii="Arial" w:cs="Arial" w:eastAsia="Arial" w:hAnsi="Arial"/>
          <w:sz w:val="17"/>
          <w:szCs w:val="17"/>
          <w:color w:val="auto"/>
        </w:rPr>
        <w:t>, a kinase inhibitor approved for metastatic colorectal cancer, was also approved for patients with advanced, unresectable (not subject to surgical removal) or metastatic gastrointestinal stromal tumor. Other drugs approved for solid tumor cancers include Genentech’s Avastin and Xeloda, Amgen’s Xgeva, Pfizer’s Sutent, and Novartis’s Afinitor. We are aware of additional compounds in development for the treatment of solid tumor cancers at companies including Eli Lilly &amp; Company, Roche, Novartis, Pfizer, Amgen and Celgene.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Government authorities in the U.S. and other countries extensively regulate the research, development, testing, manufacture, labeling, promotion, advertising, distribution, sampling, marketing and import and export of pharmaceutical products and biologics such as those we are developing. In the U.S., the FDA, under the Federal Food, Drug and Cosmetic Act, as amended, and other federal statutes and regulations, subjects pharmaceutical products to extensive and rigorous review. Any failure to comply with applicable requirements, both before and after approval, may subject us, our third-party manufacturers, contractors, suppliers and partners to administrative and judicial sanctions, such as a delay in approving or refusal to approve pending applications, fines, warning letters, product recalls, product seizures, total or partial suspension of manufacturing or marketing, injunctions and/or criminal prosecution.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Approval</w:t>
      </w:r>
    </w:p>
    <w:p>
      <w:pPr>
        <w:spacing w:after="0" w:line="117" w:lineRule="exact"/>
        <w:rPr>
          <w:sz w:val="20"/>
          <w:szCs w:val="20"/>
          <w:color w:val="auto"/>
        </w:rPr>
      </w:pPr>
    </w:p>
    <w:p>
      <w:pPr>
        <w:ind w:right="200" w:firstLine="598"/>
        <w:spacing w:after="0" w:line="276"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In the U.S., drugs and drug testing are regulated by the FDA under the Federal Food, Drug and Cosmetic Act, or FDCA, as well as state</w:t>
      </w:r>
      <w:r>
        <w:rPr>
          <w:rFonts w:ascii="Arial" w:cs="Arial" w:eastAsia="Arial" w:hAnsi="Arial"/>
          <w:sz w:val="17"/>
          <w:szCs w:val="17"/>
          <w:i w:val="1"/>
          <w:iCs w:val="1"/>
          <w:color w:val="auto"/>
        </w:rPr>
        <w:t xml:space="preserve"> </w:t>
      </w:r>
      <w:r>
        <w:rPr>
          <w:rFonts w:ascii="Arial" w:cs="Arial" w:eastAsia="Arial" w:hAnsi="Arial"/>
          <w:sz w:val="17"/>
          <w:szCs w:val="17"/>
          <w:color w:val="auto"/>
        </w:rPr>
        <w:t>and local government authorities. All of our product candidates in development will require regulatory approval by government agencies prior to commercialization. To obtain approval of a new product from the FDA, we must, among other requirements, submit data supporting safety and efficacy, as well as detailed information on the manufacture and composition of the product and proposed labeling. Our product candidates are in the early stages of testing and none has been approved. The steps required before a drug can be approved generally involve the following:</w:t>
      </w:r>
    </w:p>
    <w:p>
      <w:pPr>
        <w:spacing w:after="0" w:line="64" w:lineRule="exact"/>
        <w:rPr>
          <w:sz w:val="20"/>
          <w:szCs w:val="20"/>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nonclinical laboratory, animal studies, and formulation studies;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of an IND which must become effective before human clinical trials may begin in the U.S.;</w:t>
      </w:r>
    </w:p>
    <w:p>
      <w:pPr>
        <w:spacing w:after="0" w:line="117" w:lineRule="exact"/>
        <w:rPr>
          <w:rFonts w:ascii="Arial" w:cs="Arial" w:eastAsia="Arial" w:hAnsi="Arial"/>
          <w:sz w:val="18"/>
          <w:szCs w:val="18"/>
          <w:color w:val="auto"/>
        </w:rPr>
      </w:pPr>
    </w:p>
    <w:p>
      <w:pPr>
        <w:ind w:left="1200" w:right="560" w:hanging="598"/>
        <w:spacing w:after="0" w:line="277"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adequate and well-controlled human clinical trials to establish the safety and efficacy of the product candidate for each indication for which approval is sought;</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 New Drug Application (NDA) accompanied by a substantial user fee;</w:t>
      </w:r>
    </w:p>
    <w:p>
      <w:pPr>
        <w:spacing w:after="0" w:line="117" w:lineRule="exact"/>
        <w:rPr>
          <w:rFonts w:ascii="Arial" w:cs="Arial" w:eastAsia="Arial" w:hAnsi="Arial"/>
          <w:sz w:val="18"/>
          <w:szCs w:val="18"/>
          <w:color w:val="auto"/>
        </w:rPr>
      </w:pPr>
    </w:p>
    <w:p>
      <w:pPr>
        <w:ind w:left="1200" w:right="240" w:hanging="598"/>
        <w:spacing w:after="0" w:line="264"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 of manufacturing processes which conform to FDA-mandated commercial good manufacturing practices (cGMPs) and satisfactory completion of FDA inspections to assess cGMP compliance and clinical investigator compliance with good clinical practices; and</w:t>
      </w:r>
    </w:p>
    <w:p>
      <w:pPr>
        <w:spacing w:after="0" w:line="73" w:lineRule="exact"/>
        <w:rPr>
          <w:rFonts w:ascii="Arial" w:cs="Arial" w:eastAsia="Arial" w:hAnsi="Arial"/>
          <w:sz w:val="18"/>
          <w:szCs w:val="18"/>
          <w:color w:val="auto"/>
        </w:rPr>
      </w:pPr>
    </w:p>
    <w:p>
      <w:pPr>
        <w:ind w:left="1200" w:right="540" w:hanging="598"/>
        <w:spacing w:after="0" w:line="277"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FDA review and approval of an NDA, which process may involve input from advisory committees to the FDA and may include post-approval commitments for further clinical studies and distribution restrictions intended to mitigate drug risks.</w:t>
      </w:r>
    </w:p>
    <w:p>
      <w:pPr>
        <w:spacing w:after="0" w:line="170"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The testing, collection of data, preparation of necessary applications and approval process requires substantial time, effort and financial resources. Additionally, statutes, rules, regulations and policies may change and new regulations may be issued that could delay approvals of our drugs. The FDA may not act quickly or favorably in reviewing our applications, and we may encounter significant difficulties and costs in our efforts to obtain FDA approvals that could delay or preclude us from marketing our product candidates.</w:t>
      </w:r>
    </w:p>
    <w:p>
      <w:pPr>
        <w:spacing w:after="0" w:line="187"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i w:val="1"/>
          <w:iCs w:val="1"/>
          <w:color w:val="auto"/>
        </w:rPr>
        <w:t xml:space="preserve">Preclinical Tests. </w:t>
      </w:r>
      <w:r>
        <w:rPr>
          <w:rFonts w:ascii="Arial" w:cs="Arial" w:eastAsia="Arial" w:hAnsi="Arial"/>
          <w:sz w:val="16"/>
          <w:szCs w:val="16"/>
          <w:color w:val="auto"/>
        </w:rPr>
        <w:t>Preclinical tests include laboratory evaluation of the product candidate, its chemistry, toxicity, formulation and stability,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animal studies to assess the potential safety and efficacy of the product candidate. The results of the preclinical tests, together with manufacturing information, analytical data and other available information about the product candidate, are submitted to the FDA as part of an IND. Preclinical tests and studies can take several years to complete and, despite completion of those tests and studies, the FDA may not permit clinical testing to begin.</w:t>
      </w:r>
    </w:p>
    <w:p>
      <w:pPr>
        <w:spacing w:after="0" w:line="154"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i w:val="1"/>
          <w:iCs w:val="1"/>
          <w:color w:val="auto"/>
        </w:rPr>
        <w:t xml:space="preserve">The IND Process. </w:t>
      </w:r>
      <w:r>
        <w:rPr>
          <w:rFonts w:ascii="Arial" w:cs="Arial" w:eastAsia="Arial" w:hAnsi="Arial"/>
          <w:sz w:val="18"/>
          <w:szCs w:val="18"/>
          <w:color w:val="auto"/>
        </w:rPr>
        <w:t>An IND must be effective to administer an investigational drug to humans. The IND will automatically become effective 30 days</w:t>
      </w:r>
      <w:r>
        <w:rPr>
          <w:rFonts w:ascii="Arial" w:cs="Arial" w:eastAsia="Arial" w:hAnsi="Arial"/>
          <w:sz w:val="18"/>
          <w:szCs w:val="18"/>
          <w:i w:val="1"/>
          <w:iCs w:val="1"/>
          <w:color w:val="auto"/>
        </w:rPr>
        <w:t xml:space="preserve"> </w:t>
      </w:r>
      <w:r>
        <w:rPr>
          <w:rFonts w:ascii="Arial" w:cs="Arial" w:eastAsia="Arial" w:hAnsi="Arial"/>
          <w:sz w:val="18"/>
          <w:szCs w:val="18"/>
          <w:color w:val="auto"/>
        </w:rPr>
        <w:t>after its receipt by the FDA unless the FDA, before that time, places the IND on clinical hold. At any time thereafter, the FDA may raise concerns or questions about the conduct of the trials as outlined in the IND and impose a clinical hold if the FDA deems it appropriate. In such case, the IND sponsor and the FDA must resolve any outstanding concerns before clinical trials can begin or continue. The IND application process may become extremely costly and substantially delay development of our product candidates. Moreover, positive results in preclinical tests or prior human studies do not necessarily predict positive results in subsequent clinical trials.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20" w:name="page21"/>
    <w:bookmarkEnd w:id="20"/>
    <w:p>
      <w:pPr>
        <w:ind w:right="420" w:firstLine="598"/>
        <w:spacing w:after="0" w:line="264" w:lineRule="auto"/>
        <w:rPr>
          <w:sz w:val="20"/>
          <w:szCs w:val="20"/>
          <w:color w:val="auto"/>
        </w:rPr>
      </w:pPr>
      <w:r>
        <w:rPr>
          <w:rFonts w:ascii="Arial" w:cs="Arial" w:eastAsia="Arial" w:hAnsi="Arial"/>
          <w:sz w:val="18"/>
          <w:szCs w:val="18"/>
          <w:color w:val="auto"/>
        </w:rPr>
        <w:t>Annual progress reports detailing the results of the clinical trials must be submitted to the FDA and written IND safety reports must be promptly submitted to the FDA and the investigators for serious and unexpected adverse events or any findings from tests in laboratory animals that suggest a significant risk for human subjects.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xml:space="preserve">Clinical Trials. </w:t>
      </w:r>
      <w:r>
        <w:rPr>
          <w:rFonts w:ascii="Arial" w:cs="Arial" w:eastAsia="Arial" w:hAnsi="Arial"/>
          <w:sz w:val="18"/>
          <w:szCs w:val="18"/>
          <w:color w:val="auto"/>
        </w:rPr>
        <w:t>Human clinical trials are typically conducted in three sequential phases that may overlap:</w:t>
      </w:r>
    </w:p>
    <w:p>
      <w:pPr>
        <w:spacing w:after="0" w:line="117" w:lineRule="exact"/>
        <w:rPr>
          <w:sz w:val="20"/>
          <w:szCs w:val="20"/>
          <w:color w:val="auto"/>
        </w:rPr>
      </w:pPr>
    </w:p>
    <w:p>
      <w:pPr>
        <w:ind w:left="1200" w:right="320" w:hanging="598"/>
        <w:spacing w:after="0" w:line="286" w:lineRule="auto"/>
        <w:tabs>
          <w:tab w:leader="none" w:pos="1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Phase 1: The drug candidate is initially introduced into a small number of healthy human subjects or patients and tested for safety, dosage tolerance, absorption, distribution, excretion and metabolism. If the investigational product is considered inherently toxic to ethically administer to healthy volunteers, the initial human testing is often conducted in the target population.</w:t>
      </w:r>
    </w:p>
    <w:p>
      <w:pPr>
        <w:spacing w:after="0" w:line="57" w:lineRule="exact"/>
        <w:rPr>
          <w:rFonts w:ascii="Arial" w:cs="Arial" w:eastAsia="Arial" w:hAnsi="Arial"/>
          <w:sz w:val="17"/>
          <w:szCs w:val="17"/>
          <w:color w:val="auto"/>
        </w:rPr>
      </w:pPr>
    </w:p>
    <w:p>
      <w:pPr>
        <w:ind w:left="1200" w:right="120" w:hanging="598"/>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Phase 2: The drug candidate is introduced into a limited patient population to assess the efficacy of the drug in specific, targeted indications, assess dosage tolerance and optimal dosage, and to identify possible adverse effects and safety risks.</w:t>
      </w:r>
    </w:p>
    <w:p>
      <w:pPr>
        <w:spacing w:after="0" w:line="62" w:lineRule="exact"/>
        <w:rPr>
          <w:rFonts w:ascii="Arial" w:cs="Arial" w:eastAsia="Arial" w:hAnsi="Arial"/>
          <w:sz w:val="18"/>
          <w:szCs w:val="18"/>
          <w:color w:val="auto"/>
        </w:rPr>
      </w:pPr>
    </w:p>
    <w:p>
      <w:pPr>
        <w:ind w:left="1200" w:right="80" w:hanging="598"/>
        <w:spacing w:after="0" w:line="312" w:lineRule="auto"/>
        <w:tabs>
          <w:tab w:leader="none" w:pos="12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Phase 3: The drug candidate is introduced into an expanded patient population at geographically dispersed clinical trial sites to further evaluate clinical efficacy and safety. The purpose of the Phase 3 trial is to conduct a risk/benefit analysis of the potential drug and provide an adequate basis for product labeling. It is common to have two adequate and well-controlled Phase 3 trials for the FDA to approve an NDA.</w:t>
      </w:r>
    </w:p>
    <w:p>
      <w:pPr>
        <w:spacing w:after="0" w:line="147"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Prior to initiation of each clinical trial, an independent Institutional Review Board (IRB) for each medical site proposing to conduct the clinical trials must review and approve the study protocol and study subjects must provide informed consent for participation in the study.</w:t>
      </w:r>
    </w:p>
    <w:p>
      <w:pPr>
        <w:spacing w:after="0" w:line="170"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We cannot be certain that we will successfully complete Phase 1, 2 or 3 testing of our drug candidates within any specific time period, if at all. Clinical trials must be conducted in accordance with the FDA’s good clinical practices (GCP)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IRB may also require the clinical trial at that site to be halted, either temporarily or permanently, for failure to comply with the IRB’s requirements, or may impose other conditions. In addition, we may suspend or discontinue a clinical trial at any time for a variety of reasons, including a finding that the research subjects or patients are being exposed to an unacceptable health risk.</w:t>
      </w:r>
    </w:p>
    <w:p>
      <w:pPr>
        <w:spacing w:after="0" w:line="165"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During the development of a new drug, we may request to meet with the FDA at times such as prior to submitting an IND, at the EOP2, and before an NDA is submitted, and meetings are not limited to these certain times. The purpose of the EOP2 meeting is to discuss the Phase 2 clinical trial results and present plans for a pivotal Phase 3 trial that, in our opinion, will support the approval of the new drug. Additional animal safety studies, formulation studies and pharmacology studies are concurrently conducted with the ongoing clinical trials. Also, in compliance with cGMP requirements, the process for manufacturing commercial quantities of the new drug is finalized, with the expectation that the quality, purity, and potency of the drug will meet standards. A sponsor may also request a Special Protocol Assessment (SPA), the purpose of which is to reach agreement with the FDA on the Phase 3 clinical trial protocol design and analysis that will form the primary basis of an efficacy claim.</w:t>
      </w:r>
    </w:p>
    <w:p>
      <w:pPr>
        <w:spacing w:after="0" w:line="178"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i w:val="1"/>
          <w:iCs w:val="1"/>
          <w:color w:val="auto"/>
        </w:rPr>
        <w:t xml:space="preserve">Fast track designation: </w:t>
      </w:r>
      <w:r>
        <w:rPr>
          <w:rFonts w:ascii="Arial" w:cs="Arial" w:eastAsia="Arial" w:hAnsi="Arial"/>
          <w:sz w:val="18"/>
          <w:szCs w:val="18"/>
          <w:color w:val="auto"/>
        </w:rPr>
        <w:t>The FDA has a Fast Track program that is intended to expedite or facilitate the process for reviewing new drugs and</w:t>
      </w:r>
      <w:r>
        <w:rPr>
          <w:rFonts w:ascii="Arial" w:cs="Arial" w:eastAsia="Arial" w:hAnsi="Arial"/>
          <w:sz w:val="18"/>
          <w:szCs w:val="18"/>
          <w:i w:val="1"/>
          <w:iCs w:val="1"/>
          <w:color w:val="auto"/>
        </w:rPr>
        <w:t xml:space="preserve"> </w:t>
      </w:r>
      <w:r>
        <w:rPr>
          <w:rFonts w:ascii="Arial" w:cs="Arial" w:eastAsia="Arial" w:hAnsi="Arial"/>
          <w:sz w:val="18"/>
          <w:szCs w:val="18"/>
          <w:color w:val="auto"/>
        </w:rPr>
        <w:t>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Unique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firstLine="598"/>
        <w:spacing w:after="0" w:line="269" w:lineRule="auto"/>
        <w:rPr>
          <w:sz w:val="20"/>
          <w:szCs w:val="20"/>
          <w:color w:val="auto"/>
        </w:rPr>
      </w:pPr>
      <w:r>
        <w:rPr>
          <w:rFonts w:ascii="Arial" w:cs="Arial" w:eastAsia="Arial" w:hAnsi="Arial"/>
          <w:sz w:val="17"/>
          <w:szCs w:val="17"/>
          <w:color w:val="auto"/>
        </w:rPr>
        <w:t>Any product submitted to the FDA for marketing, including a Fast Track program, may also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NDA designated for priority review in an effort to facilitate the review. Additionally, a product may be eligible for accelerated approval. Drug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product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80" w:lineRule="exact"/>
        <w:rPr>
          <w:sz w:val="20"/>
          <w:szCs w:val="20"/>
          <w:color w:val="auto"/>
        </w:rPr>
      </w:pPr>
    </w:p>
    <w:p>
      <w:pPr>
        <w:ind w:right="20" w:firstLine="598"/>
        <w:spacing w:after="0" w:line="288" w:lineRule="auto"/>
        <w:rPr>
          <w:sz w:val="20"/>
          <w:szCs w:val="20"/>
          <w:color w:val="auto"/>
        </w:rPr>
      </w:pPr>
      <w:r>
        <w:rPr>
          <w:rFonts w:ascii="Arial" w:cs="Arial" w:eastAsia="Arial" w:hAnsi="Arial"/>
          <w:sz w:val="16"/>
          <w:szCs w:val="16"/>
          <w:i w:val="1"/>
          <w:iCs w:val="1"/>
          <w:color w:val="auto"/>
        </w:rPr>
        <w:t xml:space="preserve">U.S. patent term restoration and marketing exclusivity: </w:t>
      </w:r>
      <w:r>
        <w:rPr>
          <w:rFonts w:ascii="Arial" w:cs="Arial" w:eastAsia="Arial" w:hAnsi="Arial"/>
          <w:sz w:val="16"/>
          <w:szCs w:val="16"/>
          <w:color w:val="auto"/>
        </w:rPr>
        <w:t>Depending upon the timing, duration and specifics of the FDA approval of a drug candidate,</w:t>
      </w:r>
      <w:r>
        <w:rPr>
          <w:rFonts w:ascii="Arial" w:cs="Arial" w:eastAsia="Arial" w:hAnsi="Arial"/>
          <w:sz w:val="16"/>
          <w:szCs w:val="16"/>
          <w:i w:val="1"/>
          <w:iCs w:val="1"/>
          <w:color w:val="auto"/>
        </w:rPr>
        <w:t xml:space="preserve"> </w:t>
      </w:r>
      <w:r>
        <w:rPr>
          <w:rFonts w:ascii="Arial" w:cs="Arial" w:eastAsia="Arial" w:hAnsi="Arial"/>
          <w:sz w:val="16"/>
          <w:szCs w:val="16"/>
          <w:color w:val="auto"/>
        </w:rPr>
        <w:t>some U.S. patents covering the product candidates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apply for restoration of patent terms for one or more of our currently owned or licensed patents to add patent life beyond its current expiration date, depending on the expected length of the clinical trials and other factors involved in the filing of the relevant NDA.</w:t>
      </w:r>
    </w:p>
    <w:p>
      <w:pPr>
        <w:spacing w:after="0" w:line="169"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Market exclusivity provisions under the FDCA can also delay the submission or the approval of certain applications of other companies seeking to reference another company’s NDA. The FDCA provides a five-year period of non-patent marketing exclusivity within the U.S.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Pediatric exclusivity is another type of regulatory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500" w:firstLine="598"/>
        <w:spacing w:after="0" w:line="342" w:lineRule="auto"/>
        <w:rPr>
          <w:sz w:val="20"/>
          <w:szCs w:val="20"/>
          <w:color w:val="auto"/>
        </w:rPr>
      </w:pPr>
      <w:r>
        <w:rPr>
          <w:rFonts w:ascii="Arial" w:cs="Arial" w:eastAsia="Arial" w:hAnsi="Arial"/>
          <w:sz w:val="16"/>
          <w:szCs w:val="16"/>
          <w:i w:val="1"/>
          <w:iCs w:val="1"/>
          <w:color w:val="auto"/>
        </w:rPr>
        <w:t xml:space="preserve">Regulation outside the United States: </w:t>
      </w:r>
      <w:r>
        <w:rPr>
          <w:rFonts w:ascii="Arial" w:cs="Arial" w:eastAsia="Arial" w:hAnsi="Arial"/>
          <w:sz w:val="16"/>
          <w:szCs w:val="16"/>
          <w:color w:val="auto"/>
        </w:rPr>
        <w:t>In addition to regulations in the U.S., we and our strategic alliance partners will be subject to a variety of</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in other jurisdictions governing, among other things, clinical trials and any commercial sales and distribution of our products.</w:t>
      </w:r>
    </w:p>
    <w:p>
      <w:pPr>
        <w:spacing w:after="0" w:line="124"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U.S. have a similar process that requires the submission of a clinical trial application much like the IND prior to the commencement of human clinical trials. In the European Union, for example, a clinical trial application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73" w:lineRule="exact"/>
        <w:rPr>
          <w:sz w:val="20"/>
          <w:szCs w:val="20"/>
          <w:color w:val="auto"/>
        </w:rPr>
      </w:pPr>
    </w:p>
    <w:p>
      <w:pPr>
        <w:jc w:val="both"/>
        <w:ind w:right="60" w:firstLine="598"/>
        <w:spacing w:after="0" w:line="264"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81"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To obtain regulatory approval of an investigational drug under European Union regulatory systems, we or our strategic alliance partners must submit a marketing authorization application. The application used to file the NDA in the United States is similar to that required in the European Union, with the exception of, among other things, country-specific document requirements.</w:t>
      </w:r>
    </w:p>
    <w:p>
      <w:pPr>
        <w:spacing w:after="0" w:line="181" w:lineRule="exact"/>
        <w:rPr>
          <w:sz w:val="20"/>
          <w:szCs w:val="20"/>
          <w:color w:val="auto"/>
        </w:rPr>
      </w:pPr>
    </w:p>
    <w:p>
      <w:pPr>
        <w:ind w:right="240" w:firstLine="598"/>
        <w:spacing w:after="0" w:line="312"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47" w:lineRule="exact"/>
        <w:rPr>
          <w:sz w:val="20"/>
          <w:szCs w:val="20"/>
          <w:color w:val="auto"/>
        </w:rPr>
      </w:pPr>
    </w:p>
    <w:p>
      <w:pPr>
        <w:ind w:right="360" w:firstLine="598"/>
        <w:spacing w:after="0" w:line="342" w:lineRule="auto"/>
        <w:rPr>
          <w:sz w:val="20"/>
          <w:szCs w:val="20"/>
          <w:color w:val="auto"/>
        </w:rPr>
      </w:pPr>
      <w:r>
        <w:rPr>
          <w:rFonts w:ascii="Arial" w:cs="Arial" w:eastAsia="Arial" w:hAnsi="Arial"/>
          <w:sz w:val="16"/>
          <w:szCs w:val="16"/>
          <w:color w:val="auto"/>
        </w:rPr>
        <w:t>If we or our strategic alliance partners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We have assembled an experienced and cohesive management and support team, with core competencies in general management, clinical development, regulatory affairs and corporate development. We have 10 full-time employees as of the date of this report. We believe that our relations with our employees are good, and we have no history of work stoppages.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jc w:val="both"/>
        <w:ind w:right="140" w:firstLine="598"/>
        <w:spacing w:after="0" w:line="259" w:lineRule="auto"/>
        <w:rPr>
          <w:sz w:val="20"/>
          <w:szCs w:val="20"/>
          <w:color w:val="auto"/>
        </w:rPr>
      </w:pPr>
      <w:r>
        <w:rPr>
          <w:rFonts w:ascii="Arial" w:cs="Arial" w:eastAsia="Arial" w:hAnsi="Arial"/>
          <w:sz w:val="18"/>
          <w:szCs w:val="18"/>
          <w:color w:val="auto"/>
        </w:rPr>
        <w:t xml:space="preserve">We were originally incorporated in the State of Delaware in September 2000. Our principal executive offices are located at 4275 Executive Square, Suite 650, La Jolla, CA 92037. Our telephone number is 858-373-1500. Our website is </w:t>
      </w:r>
      <w:r>
        <w:rPr>
          <w:rFonts w:ascii="Arial" w:cs="Arial" w:eastAsia="Arial" w:hAnsi="Arial"/>
          <w:sz w:val="18"/>
          <w:szCs w:val="18"/>
          <w:u w:val="single" w:color="auto"/>
          <w:color w:val="auto"/>
        </w:rPr>
        <w:t>www.medicinova.com</w:t>
      </w:r>
      <w:r>
        <w:rPr>
          <w:rFonts w:ascii="Arial" w:cs="Arial" w:eastAsia="Arial" w:hAnsi="Arial"/>
          <w:sz w:val="18"/>
          <w:szCs w:val="18"/>
          <w:color w:val="auto"/>
        </w:rPr>
        <w:t>, which includes links to reports we have filed with the Securities and Exchange Commission, or SEC. The information contained in, or that can be accessed through, our website is not part of, and is not incorporated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 Other events that we do not currently anticipate or that we currently deem immaterial may also affect our results of operations and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operating losses since our inception and expect that we will incur continued losses for the foreseeable future.</w:t>
      </w:r>
    </w:p>
    <w:p>
      <w:pPr>
        <w:spacing w:after="0" w:line="129"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We have incurred significant net losses since our inception. For the year ended December 31, 2016, we had a net loss of $10.9 million. At December 31, 2016, from inception, our accumulated deficit was $330.3 million. We expect to incur substantial net losses for the next several years as we continue to develop certain of our existing product development candidates, and over the long-term if we expand our research and development programs and acquire or in-license products, technologies or businesses that are complementary to our own. As of December 31, 2016, we had available cash and cash equivalents of $24.1 million and working capital of $23.1 million. There can be no assurances that there will be adequate financing available to us in the future on acceptable terms, or at all. If we are unable to obtain additional financing, we may have to out-license or sell one or more of our programs or cease operations.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cash requirements will also depend on many factors, including:</w:t>
      </w:r>
    </w:p>
    <w:p>
      <w:pPr>
        <w:spacing w:after="0" w:line="117" w:lineRule="exact"/>
        <w:rPr>
          <w:sz w:val="20"/>
          <w:szCs w:val="20"/>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117" w:lineRule="exact"/>
        <w:rPr>
          <w:rFonts w:ascii="Arial" w:cs="Arial" w:eastAsia="Arial" w:hAnsi="Arial"/>
          <w:sz w:val="18"/>
          <w:szCs w:val="18"/>
          <w:color w:val="auto"/>
        </w:rPr>
      </w:pPr>
    </w:p>
    <w:p>
      <w:pPr>
        <w:ind w:left="1200" w:right="90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agreements and other arrangements;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associated with any expansion of our management, personnel, systems and facilities;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117"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70"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We expect our research and development expenses to increase in 2017 relative to 2016 as we continue our focus on the development of MN-001 (tipelukast) and MN-166 (ibudilast) in 2017. Our estimate of cash requirements for future operating expenses assumes that we do not incur significant additional new clinical development expenditures unless we raise additional capital and/or enter into one or more strategic alliances. We do expect to continue to incur significant operating losses for the foreseeable future. Because of the numerous risks and uncertainties associated with developing drug products, we are unable to predict the extent of any future losses or when we will become profitable, if at all.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right="180" w:firstLine="598"/>
        <w:spacing w:after="0" w:line="259" w:lineRule="auto"/>
        <w:rPr>
          <w:sz w:val="20"/>
          <w:szCs w:val="20"/>
          <w:color w:val="auto"/>
        </w:rPr>
      </w:pPr>
      <w:r>
        <w:rPr>
          <w:rFonts w:ascii="Arial" w:cs="Arial" w:eastAsia="Arial" w:hAnsi="Arial"/>
          <w:sz w:val="18"/>
          <w:szCs w:val="18"/>
          <w:color w:val="auto"/>
        </w:rPr>
        <w:t>If we have taxable income in the future, utilization of the net operating losses, or NOL, and tax credit carry-forwards will be subject to a substantial annual limitation under Sections 382 and 383 of the Internal Revenue Code of 1986, and similar state provisions due to ownership change limitations that have occurred. These ownership changes will limit the amount of NOL and tax credit carry-forwards that can be utilized to offset future taxable income and tax,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obtain the capital necessary to fund our operations, we will be unable to develop and commercialize our product candidates.</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consumed substantial amounts of capital since our inception.</w:t>
      </w:r>
    </w:p>
    <w:p>
      <w:pPr>
        <w:spacing w:after="0" w:line="225"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Our business will continue to require us to incur substantial research and development expenses. We believe that without raising additional capital from accessible sources of financing, we will not otherwise have adequate funding to continue our operations and to complete the development of our existing product candidates or the commercialization of any products we successfully develop. There is no guarantee that adequate funds will be available when needed from debt or equity financings, arrangements with partners, or from other sources, on terms attractive to us. The inability to obtain sufficient additional funds when needed to fund our operations would require us to significantly delay, scale back, or eliminate some or all of our clinical or regulatory activities and reduce general and administrative expenses.</w:t>
      </w:r>
    </w:p>
    <w:p>
      <w:pPr>
        <w:spacing w:after="0" w:line="30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62" w:lineRule="exact"/>
        <w:rPr>
          <w:sz w:val="20"/>
          <w:szCs w:val="20"/>
          <w:color w:val="auto"/>
        </w:rPr>
      </w:pPr>
    </w:p>
    <w:p>
      <w:pPr>
        <w:ind w:right="140" w:firstLine="598"/>
        <w:spacing w:after="0" w:line="293" w:lineRule="auto"/>
        <w:rPr>
          <w:sz w:val="20"/>
          <w:szCs w:val="20"/>
          <w:color w:val="auto"/>
        </w:rPr>
      </w:pPr>
      <w:r>
        <w:rPr>
          <w:rFonts w:ascii="Arial" w:cs="Arial" w:eastAsia="Arial" w:hAnsi="Arial"/>
          <w:sz w:val="16"/>
          <w:szCs w:val="16"/>
          <w:color w:val="auto"/>
        </w:rPr>
        <w:t>To date, we have funded our operations primarily from sales of our securities and, to a lesser extent, debt financing. We do not expect to receive any revenues from the commercialization of our product candidates for at least the next several years, if at all. We anticipate that, prior to our commercialization of a product candidate, out-licensing upfront and milestone payments will be our primary source of revenue if we can enter into collaborations, strategic alliances or other agreements that would provide us with such revenues.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and maintain profitability.</w:t>
      </w:r>
    </w:p>
    <w:p>
      <w:pPr>
        <w:spacing w:after="0" w:line="2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are largely dependent on the success of our MN-166 (ibudilast) and MN-001 (tipelukast) product candidates and we cannot be certain that these product candidates will receive regulatory approval or be successfully commercialized.</w:t>
      </w:r>
    </w:p>
    <w:p>
      <w:pPr>
        <w:spacing w:after="0" w:line="62"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color w:val="auto"/>
        </w:rPr>
        <w:t>We currently have no products for sale, and we cannot guarantee that we will ever have any drug products approved for sale. The research, testing, manufacturing, labeling, approval, sales, marketing and distribution of drug products are subject to extensive regulation by the FDA and comparable regulatory authorities in other countries. We are not permitted to market any of our product candidates in the U.S. until we submit and receive approval of a New Drug Application, or NDA, for a product candidate from the FDA or its foreign equivalent from a foreign regulatory authority. Obtaining FDA approval is a lengthy, expensive and uncertain process. The success of our business currently depends primarily on the successful development and commercialization of our MN-166 (ibudilast) and MN-001 (tipelukast) product candidates. These product candidates have not completed the clinical development process, and therefore we have not submitted an NDA or foreign equivalent or received marketing approval.</w:t>
      </w:r>
    </w:p>
    <w:p>
      <w:pPr>
        <w:spacing w:after="0" w:line="178"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The clinical development program for our product candidates may not lead to commercial products for a number of reasons, including our clinical trials’ failure to demonstrate to the FDA’s satisfaction that this product candidate is safe and effective, or our failure to obtain necessary approvals from the FDA or similar foreign regulatory authorities for any reason.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our product candidates in a timely manner would have a material and adverse impact on our business and our stock price.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ind w:right="340"/>
        <w:spacing w:after="0" w:line="277" w:lineRule="auto"/>
        <w:rPr>
          <w:sz w:val="20"/>
          <w:szCs w:val="20"/>
          <w:color w:val="auto"/>
        </w:rPr>
      </w:pPr>
      <w:r>
        <w:rPr>
          <w:rFonts w:ascii="Arial" w:cs="Arial" w:eastAsia="Arial" w:hAnsi="Arial"/>
          <w:sz w:val="18"/>
          <w:szCs w:val="18"/>
          <w:b w:val="1"/>
          <w:bCs w:val="1"/>
          <w:i w:val="1"/>
          <w:iCs w:val="1"/>
          <w:color w:val="auto"/>
        </w:rPr>
        <w:t>Because the results of early clinical trials are not necessarily predictive of future results, our product candidates we advance into clinical trials in any indication may not have favorable results in later clinical trials, if any, or receive regulatory approval.</w:t>
      </w:r>
    </w:p>
    <w:p>
      <w:pPr>
        <w:spacing w:after="0" w:line="62" w:lineRule="exact"/>
        <w:rPr>
          <w:sz w:val="20"/>
          <w:szCs w:val="20"/>
          <w:color w:val="auto"/>
        </w:rPr>
      </w:pPr>
    </w:p>
    <w:p>
      <w:pPr>
        <w:ind w:right="220" w:firstLine="598"/>
        <w:spacing w:after="0" w:line="257" w:lineRule="auto"/>
        <w:rPr>
          <w:sz w:val="20"/>
          <w:szCs w:val="20"/>
          <w:color w:val="auto"/>
        </w:rPr>
      </w:pPr>
      <w:r>
        <w:rPr>
          <w:rFonts w:ascii="Arial" w:cs="Arial" w:eastAsia="Arial" w:hAnsi="Arial"/>
          <w:sz w:val="18"/>
          <w:szCs w:val="18"/>
          <w:color w:val="auto"/>
        </w:rPr>
        <w:t>Our product candidates are subject to the risks of failure inherent in drug development. We will be required to demonstrate through well-controlled clinical trials that our product candidates are safe and effective for use in a diverse population for its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even at statistically significant levels.</w:t>
      </w:r>
    </w:p>
    <w:p>
      <w:pPr>
        <w:spacing w:after="0" w:line="188"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Companies frequently suffer significant setbacks in advanced clinical trials, even after earlier clinical trials have shown promising results. Any of our planned clinical trials for our product candidates may not be successful for a variety of reasons, including the clinical trial designs, the failure to enroll a sufficient number of patients, undesirable side effects and other safety concerns and the inability to demonstrate sufficient efficacy. If a product candidate fails to demonstrate sufficient safety or efficacy, we would experience potentially significant delays in, or be required to abandon, development of such product candidate.</w:t>
      </w:r>
    </w:p>
    <w:p>
      <w:pPr>
        <w:spacing w:after="0" w:line="29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attempts to develop MN-001 (tipelukast) in NASH and IPF may detract from our efforts to develop other product candidates and may limit the effectiveness of our product development efforts as a whole.</w:t>
      </w:r>
    </w:p>
    <w:p>
      <w:pPr>
        <w:spacing w:after="0" w:line="62"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We have decided to pursue development of MN-001 (tipelukast) in NASH and IPF. These activities will divert financial and management resources from our other product development activities and may limit our ability to complete or continue those other programs.</w:t>
      </w:r>
    </w:p>
    <w:p>
      <w:pPr>
        <w:spacing w:after="0" w:line="2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will rely on the joint venture company formed in China in 2011 to develop and commercialize our product candidates in China and there is no assurance that the joint venture will be successful in doing so.</w:t>
      </w:r>
    </w:p>
    <w:p>
      <w:pPr>
        <w:spacing w:after="0" w:line="62" w:lineRule="exact"/>
        <w:rPr>
          <w:sz w:val="20"/>
          <w:szCs w:val="20"/>
          <w:color w:val="auto"/>
        </w:rPr>
      </w:pPr>
    </w:p>
    <w:p>
      <w:pPr>
        <w:ind w:right="20" w:firstLine="598"/>
        <w:spacing w:after="0" w:line="287" w:lineRule="auto"/>
        <w:rPr>
          <w:sz w:val="20"/>
          <w:szCs w:val="20"/>
          <w:color w:val="auto"/>
        </w:rPr>
      </w:pPr>
      <w:r>
        <w:rPr>
          <w:rFonts w:ascii="Arial" w:cs="Arial" w:eastAsia="Arial" w:hAnsi="Arial"/>
          <w:sz w:val="16"/>
          <w:szCs w:val="16"/>
          <w:color w:val="auto"/>
        </w:rPr>
        <w:t>We entered into an agreement to form a joint venture company with Zhejiang Medicine Co., Ltd. and Beijing Medfron Technologies Co., Ltd. (formerly Beijing Make-Friend Medicine Technology Co., Ltd.) effective September 27, 2011. The joint venture agreement provides for the joint venture company, Zhejiang Sunmy Bio-Medical Co., Ltd. (“Zhejiang Sunmy”), to develop and commercialize MN-221 in China and search for additional compounds to develop. A sublicense would be required under which Zhejiang Sunmy would license MN-221 from us. In accordance with the joint venture agreement, in March 2012 we paid $680,000 for our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As of December 31, 2016, Beijing Medfron Medical Technologies Co., Ltd. and MediciNova each have a 50% interest in Zhejiang Sunmy. No additional capital was contributed by either remaining party. We have not entered into the sublicense of MN-221 with Zhejiang Sunmy as of the date of this report. There is no assurance the sublicense will be executed and there is no assurance that Zhejiang Sunmy will be able to proceed with the development of MN-221 in China.</w:t>
      </w:r>
    </w:p>
    <w:p>
      <w:pPr>
        <w:spacing w:after="0" w:line="281"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16"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obtained regulatory authorization to conduct clinical trials for our product development programs. INDs were approved by the FDA and are active for our product candidates.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6" w:name="page27"/>
    <w:bookmarkEnd w:id="26"/>
    <w:p>
      <w:pPr>
        <w:ind w:right="40" w:firstLine="598"/>
        <w:spacing w:after="0" w:line="254" w:lineRule="auto"/>
        <w:rPr>
          <w:sz w:val="20"/>
          <w:szCs w:val="20"/>
          <w:color w:val="auto"/>
        </w:rPr>
      </w:pPr>
      <w:r>
        <w:rPr>
          <w:rFonts w:ascii="Arial" w:cs="Arial" w:eastAsia="Arial" w:hAnsi="Arial"/>
          <w:sz w:val="18"/>
          <w:szCs w:val="18"/>
          <w:color w:val="auto"/>
        </w:rPr>
        <w:t>It may take years to complete the clinical development necessary to commercialize a drug, and delays or failure can occur at any stage, which may result in our inability to market and sell any of our product candidates that are ultimately approved by the FDA or foreign regulatory authorities. Our clinical trials may produce negative or inconclusive results, and we may decide, or regulators may require us, to conduct additional clinical and/or non-clinical testing.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obtaining promising results in earlier clinical trials. In addition, any delays in completing clinical trials or the rejection of data from a clinical trial by a regulatory authority will result in increased development costs and could have a material adverse effect on the development of the impacted product candidate.</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117" w:lineRule="exact"/>
        <w:rPr>
          <w:sz w:val="20"/>
          <w:szCs w:val="20"/>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trial participants and/or patients may experience serious adverse events or other undesirable drug-related side effects;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other regulatory authorities may not agree with our proposed development plans or accept the results of completed clinical trials; and</w:t>
      </w:r>
    </w:p>
    <w:p>
      <w:pPr>
        <w:spacing w:after="0" w:line="62" w:lineRule="exact"/>
        <w:rPr>
          <w:rFonts w:ascii="Arial" w:cs="Arial" w:eastAsia="Arial" w:hAnsi="Arial"/>
          <w:sz w:val="18"/>
          <w:szCs w:val="18"/>
          <w:color w:val="auto"/>
        </w:rPr>
      </w:pPr>
    </w:p>
    <w:p>
      <w:pPr>
        <w:ind w:left="1200" w:hanging="598"/>
        <w:spacing w:after="0" w:line="264"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81"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 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52"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We, our third-party manufacturers, service providers, suppliers and partners, if any, and our product candidates are subject to stringent regulation by the FDA and other regulatory agencies in the U.S. and by comparable authorities in other countries. None of our product candidates can be marketed in the U.S.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candidate or result in the incurrence of additional costs. Any delay or failure in obtaining required approvals could substantially reduce or negate our ability to generate revenues from the particular product candidate.</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7" w:name="page28"/>
    <w:bookmarkEnd w:id="27"/>
    <w:p>
      <w:pPr>
        <w:ind w:firstLine="598"/>
        <w:spacing w:after="0" w:line="291"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we cannot predict the likelihood, nature or extent of government regulation that may arise from future legislation or administrative action, either in the U.S. or abroad.</w:t>
      </w:r>
    </w:p>
    <w:p>
      <w:pPr>
        <w:spacing w:after="0" w:line="167" w:lineRule="exact"/>
        <w:rPr>
          <w:sz w:val="20"/>
          <w:szCs w:val="20"/>
          <w:color w:val="auto"/>
        </w:rPr>
      </w:pPr>
    </w:p>
    <w:p>
      <w:pPr>
        <w:ind w:right="80" w:firstLine="598"/>
        <w:spacing w:after="0" w:line="253" w:lineRule="auto"/>
        <w:rPr>
          <w:sz w:val="20"/>
          <w:szCs w:val="20"/>
          <w:color w:val="auto"/>
        </w:rPr>
      </w:pPr>
      <w:r>
        <w:rPr>
          <w:rFonts w:ascii="Arial" w:cs="Arial" w:eastAsia="Arial" w:hAnsi="Arial"/>
          <w:sz w:val="18"/>
          <w:szCs w:val="18"/>
          <w:color w:val="auto"/>
        </w:rPr>
        <w:t>In order to market any of our products outside of the U.S.,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U.S. Regulatory approval in one country, including FDA approval in the U.S.,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97"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If we fail to comply with applicable regulatory requirements in the U.S.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17" w:lineRule="exact"/>
        <w:rPr>
          <w:sz w:val="20"/>
          <w:szCs w:val="20"/>
          <w:color w:val="auto"/>
        </w:rPr>
      </w:pPr>
    </w:p>
    <w:p>
      <w:pPr>
        <w:jc w:val="both"/>
        <w:ind w:right="100" w:firstLine="598"/>
        <w:spacing w:after="0" w:line="257"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any of our other product candidates or any other product candidates that we may in-license or acquire, if any, may include a restriction on the terms of its use, or it may not include one or more of our intended indications.</w:t>
      </w:r>
    </w:p>
    <w:p>
      <w:pPr>
        <w:spacing w:after="0" w:line="188" w:lineRule="exact"/>
        <w:rPr>
          <w:sz w:val="20"/>
          <w:szCs w:val="20"/>
          <w:color w:val="auto"/>
        </w:rPr>
      </w:pPr>
    </w:p>
    <w:p>
      <w:pPr>
        <w:ind w:right="160" w:firstLine="598"/>
        <w:spacing w:after="0" w:line="273" w:lineRule="auto"/>
        <w:rPr>
          <w:sz w:val="20"/>
          <w:szCs w:val="20"/>
          <w:color w:val="auto"/>
        </w:rPr>
      </w:pPr>
      <w:r>
        <w:rPr>
          <w:rFonts w:ascii="Arial" w:cs="Arial" w:eastAsia="Arial" w:hAnsi="Arial"/>
          <w:sz w:val="17"/>
          <w:szCs w:val="17"/>
          <w:color w:val="auto"/>
        </w:rPr>
        <w:t>Our product candidates, if approved,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cGMPs, a regulatory agency may:</w:t>
      </w:r>
    </w:p>
    <w:p>
      <w:pPr>
        <w:spacing w:after="0" w:line="70" w:lineRule="exact"/>
        <w:rPr>
          <w:sz w:val="20"/>
          <w:szCs w:val="20"/>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200" w:right="28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3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Any of our product candidates that we advance into clinical trials may cause undesirable side effects or have other properties that could delay or prevent regulatory approval or commercialization or limit its commercial potential.</w:t>
      </w:r>
    </w:p>
    <w:p>
      <w:pPr>
        <w:spacing w:after="0" w:line="62" w:lineRule="exact"/>
        <w:rPr>
          <w:sz w:val="20"/>
          <w:szCs w:val="20"/>
          <w:color w:val="auto"/>
        </w:rPr>
      </w:pPr>
    </w:p>
    <w:p>
      <w:pPr>
        <w:ind w:right="260" w:firstLine="598"/>
        <w:spacing w:after="0" w:line="259" w:lineRule="auto"/>
        <w:rPr>
          <w:sz w:val="20"/>
          <w:szCs w:val="20"/>
          <w:color w:val="auto"/>
        </w:rPr>
      </w:pPr>
      <w:r>
        <w:rPr>
          <w:rFonts w:ascii="Arial" w:cs="Arial" w:eastAsia="Arial" w:hAnsi="Arial"/>
          <w:sz w:val="18"/>
          <w:szCs w:val="18"/>
          <w:color w:val="auto"/>
        </w:rPr>
        <w:t>Undesirable side effects caused by any of our product candidates that we advance into clinical trials could cause us or regulatory authorities to interrupt, delay or halt clinical trials and could result in the denial of regulatory approval by the FDA or other regulatory authorities for any or all targeted indications, or cause us to evaluate the future of our development programs. This, in turn, could prevent us from commercializing the affected product candidate and generating revenues from its sale.</w:t>
      </w:r>
    </w:p>
    <w:p>
      <w:pPr>
        <w:spacing w:after="0" w:line="187"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In addition, if any product candidates we may develop receives marketing approval and we or others later identify undesirable side effects caused by the product, a number of significant negative consequences could result, including:</w:t>
      </w:r>
    </w:p>
    <w:p>
      <w:pPr>
        <w:spacing w:after="0" w:line="62" w:lineRule="exact"/>
        <w:rPr>
          <w:sz w:val="20"/>
          <w:szCs w:val="20"/>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place restrictions on the way it is prescribed;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a larger clinical benefit for approval to offset the risk;</w:t>
      </w:r>
    </w:p>
    <w:p>
      <w:pPr>
        <w:spacing w:after="0" w:line="117" w:lineRule="exact"/>
        <w:rPr>
          <w:rFonts w:ascii="Arial" w:cs="Arial" w:eastAsia="Arial" w:hAnsi="Arial"/>
          <w:sz w:val="18"/>
          <w:szCs w:val="18"/>
          <w:color w:val="auto"/>
        </w:rPr>
      </w:pPr>
    </w:p>
    <w:p>
      <w:pPr>
        <w:ind w:left="1200" w:right="36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product;</w:t>
      </w:r>
    </w:p>
    <w:p>
      <w:pPr>
        <w:spacing w:after="0" w:line="62" w:lineRule="exact"/>
        <w:rPr>
          <w:rFonts w:ascii="Arial" w:cs="Arial" w:eastAsia="Arial" w:hAnsi="Arial"/>
          <w:sz w:val="18"/>
          <w:szCs w:val="18"/>
          <w:color w:val="auto"/>
        </w:rPr>
      </w:pPr>
    </w:p>
    <w:p>
      <w:pPr>
        <w:ind w:left="1200" w:right="8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clinical trials or change the labeling of the product or implement a risk evaluation and mitigation strategy;</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our business model;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3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62"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future clinical trials for our product candidates will be completed on time, or whether our additional planned and ongoing clinical trials for our product candidates will be completed on schedule, if at all.</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117" w:lineRule="exact"/>
        <w:rPr>
          <w:sz w:val="20"/>
          <w:szCs w:val="20"/>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regulatory approval to commence or amend a clinical trial;</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9" w:name="page30"/>
    <w:bookmarkEnd w:id="29"/>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117" w:lineRule="exact"/>
        <w:rPr>
          <w:rFonts w:ascii="Arial" w:cs="Arial" w:eastAsia="Arial" w:hAnsi="Arial"/>
          <w:sz w:val="18"/>
          <w:szCs w:val="18"/>
          <w:color w:val="auto"/>
        </w:rPr>
      </w:pPr>
    </w:p>
    <w:p>
      <w:pPr>
        <w:ind w:left="1200" w:right="580" w:hanging="598"/>
        <w:spacing w:after="0" w:line="277"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IRB approval or approval from foreign counterparts to conduct or amend a clinical trial at a prospective site.</w:t>
      </w:r>
    </w:p>
    <w:p>
      <w:pPr>
        <w:spacing w:after="0" w:line="225"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In addition, a clinical trial may be delayed, suspended or terminated by us, the FDA or other regulatory authorities due to a number of factors, including:</w:t>
      </w:r>
    </w:p>
    <w:p>
      <w:pPr>
        <w:spacing w:after="0" w:line="62" w:lineRule="exact"/>
        <w:rPr>
          <w:sz w:val="20"/>
          <w:szCs w:val="20"/>
          <w:color w:val="auto"/>
        </w:rPr>
      </w:pPr>
    </w:p>
    <w:p>
      <w:pPr>
        <w:ind w:left="1200" w:hanging="598"/>
        <w:spacing w:after="0" w:line="259"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78" w:lineRule="exact"/>
        <w:rPr>
          <w:rFonts w:ascii="Arial" w:cs="Arial" w:eastAsia="Arial" w:hAnsi="Arial"/>
          <w:sz w:val="18"/>
          <w:szCs w:val="18"/>
          <w:color w:val="auto"/>
        </w:rPr>
      </w:pPr>
    </w:p>
    <w:p>
      <w:pPr>
        <w:ind w:left="1200" w:right="260" w:hanging="598"/>
        <w:spacing w:after="0" w:line="264"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73"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117" w:lineRule="exact"/>
        <w:rPr>
          <w:rFonts w:ascii="Arial" w:cs="Arial" w:eastAsia="Arial" w:hAnsi="Arial"/>
          <w:sz w:val="18"/>
          <w:szCs w:val="18"/>
          <w:color w:val="auto"/>
        </w:rPr>
      </w:pPr>
    </w:p>
    <w:p>
      <w:pPr>
        <w:ind w:left="1200" w:right="54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clinical trial presents unacceptable health risks;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w:t>
      </w:r>
    </w:p>
    <w:p>
      <w:pPr>
        <w:spacing w:after="0" w:line="117" w:lineRule="exact"/>
        <w:rPr>
          <w:rFonts w:ascii="Arial" w:cs="Arial" w:eastAsia="Arial" w:hAnsi="Arial"/>
          <w:sz w:val="18"/>
          <w:szCs w:val="18"/>
          <w:color w:val="auto"/>
        </w:rPr>
      </w:pPr>
    </w:p>
    <w:p>
      <w:pPr>
        <w:ind w:left="1200" w:right="40" w:hanging="598"/>
        <w:spacing w:after="0" w:line="342" w:lineRule="auto"/>
        <w:tabs>
          <w:tab w:leader="none" w:pos="1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 and</w:t>
      </w:r>
    </w:p>
    <w:p>
      <w:pPr>
        <w:spacing w:after="0" w:line="15" w:lineRule="exact"/>
        <w:rPr>
          <w:rFonts w:ascii="Arial" w:cs="Arial" w:eastAsia="Arial" w:hAnsi="Arial"/>
          <w:sz w:val="16"/>
          <w:szCs w:val="16"/>
          <w:color w:val="auto"/>
        </w:rPr>
      </w:pPr>
    </w:p>
    <w:p>
      <w:pPr>
        <w:ind w:left="1200" w:right="46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formulation or dosing regimen of a product candidate may result, unintentionally, in patient non-compliance, leading to low patient retention rates, incomplete data to conduct an adequate analysis, and failure to complete the trial.</w:t>
      </w:r>
    </w:p>
    <w:p>
      <w:pPr>
        <w:spacing w:after="0" w:line="170"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license the rights to certain compounds to develop and market our product candidates.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0" w:name="page31"/>
    <w:bookmarkEnd w:id="30"/>
    <w:p>
      <w:pPr>
        <w:ind w:firstLine="598"/>
        <w:spacing w:after="0" w:line="259" w:lineRule="auto"/>
        <w:rPr>
          <w:sz w:val="20"/>
          <w:szCs w:val="20"/>
          <w:color w:val="auto"/>
        </w:rPr>
      </w:pPr>
      <w:r>
        <w:rPr>
          <w:rFonts w:ascii="Arial" w:cs="Arial" w:eastAsia="Arial" w:hAnsi="Arial"/>
          <w:sz w:val="18"/>
          <w:szCs w:val="18"/>
          <w:color w:val="auto"/>
        </w:rPr>
        <w:t>We are obligated to develop and commercialize certain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8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If any of our license agreements is terminated, we would have no further rights to develop and commercialize the product candidate that is the subject of the license. The termination of any of our license agreements could materially and adversely affect our business.</w:t>
      </w:r>
    </w:p>
    <w:p>
      <w:pPr>
        <w:spacing w:after="0" w:line="27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62" w:lineRule="exact"/>
        <w:rPr>
          <w:sz w:val="20"/>
          <w:szCs w:val="20"/>
          <w:color w:val="auto"/>
        </w:rPr>
      </w:pPr>
    </w:p>
    <w:p>
      <w:pPr>
        <w:ind w:right="140" w:firstLine="598"/>
        <w:spacing w:after="0" w:line="289" w:lineRule="auto"/>
        <w:rPr>
          <w:sz w:val="20"/>
          <w:szCs w:val="20"/>
          <w:color w:val="auto"/>
        </w:rPr>
      </w:pPr>
      <w:r>
        <w:rPr>
          <w:rFonts w:ascii="Arial" w:cs="Arial" w:eastAsia="Arial" w:hAnsi="Arial"/>
          <w:sz w:val="16"/>
          <w:szCs w:val="16"/>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 candidates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67"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88" w:lineRule="exact"/>
        <w:rPr>
          <w:sz w:val="20"/>
          <w:szCs w:val="20"/>
          <w:color w:val="auto"/>
        </w:rPr>
      </w:pPr>
    </w:p>
    <w:p>
      <w:pPr>
        <w:ind w:right="200" w:firstLine="598"/>
        <w:spacing w:after="0" w:line="279" w:lineRule="auto"/>
        <w:rPr>
          <w:sz w:val="20"/>
          <w:szCs w:val="20"/>
          <w:color w:val="auto"/>
        </w:rPr>
      </w:pPr>
      <w:r>
        <w:rPr>
          <w:rFonts w:ascii="Arial" w:cs="Arial" w:eastAsia="Arial" w:hAnsi="Arial"/>
          <w:sz w:val="17"/>
          <w:szCs w:val="17"/>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28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73" w:lineRule="exact"/>
        <w:rPr>
          <w:sz w:val="20"/>
          <w:szCs w:val="20"/>
          <w:color w:val="auto"/>
        </w:rPr>
      </w:pPr>
    </w:p>
    <w:p>
      <w:pPr>
        <w:ind w:right="60" w:firstLine="598"/>
        <w:spacing w:after="0" w:line="286" w:lineRule="auto"/>
        <w:rPr>
          <w:sz w:val="20"/>
          <w:szCs w:val="20"/>
          <w:color w:val="auto"/>
        </w:rPr>
      </w:pPr>
      <w:r>
        <w:rPr>
          <w:rFonts w:ascii="Arial" w:cs="Arial" w:eastAsia="Arial" w:hAnsi="Arial"/>
          <w:sz w:val="17"/>
          <w:szCs w:val="17"/>
          <w:color w:val="auto"/>
        </w:rPr>
        <w:t>A key aspect of our strategy is to seek collaborations with partners, such as large pharmaceutical companies, that are willing to conduct later-stage clinical trials and further develop and commercialize selected product candidates. To date, we have not entered into any such collaborative arrangements, and we may not be able to enter into any collaborations or otherwise monetize these product candidates on acceptable terms, if at 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 w:name="page32"/>
    <w:bookmarkEnd w:id="31"/>
    <w:p>
      <w:pPr>
        <w:ind w:right="400" w:firstLine="598"/>
        <w:spacing w:after="0" w:line="264"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73" w:lineRule="exact"/>
        <w:rPr>
          <w:sz w:val="20"/>
          <w:szCs w:val="20"/>
          <w:color w:val="auto"/>
        </w:rPr>
      </w:pPr>
    </w:p>
    <w:p>
      <w:pPr>
        <w:ind w:left="1200" w:right="160" w:hanging="598"/>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225" w:lineRule="exact"/>
        <w:rPr>
          <w:sz w:val="20"/>
          <w:szCs w:val="20"/>
          <w:color w:val="auto"/>
        </w:rPr>
      </w:pPr>
    </w:p>
    <w:p>
      <w:pPr>
        <w:jc w:val="both"/>
        <w:ind w:right="280" w:firstLine="598"/>
        <w:spacing w:after="0" w:line="264"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81" w:lineRule="exact"/>
        <w:rPr>
          <w:sz w:val="20"/>
          <w:szCs w:val="20"/>
          <w:color w:val="auto"/>
        </w:rPr>
      </w:pPr>
    </w:p>
    <w:p>
      <w:pPr>
        <w:ind w:right="440" w:firstLine="598"/>
        <w:spacing w:after="0" w:line="286" w:lineRule="auto"/>
        <w:rPr>
          <w:sz w:val="20"/>
          <w:szCs w:val="20"/>
          <w:color w:val="auto"/>
        </w:rPr>
      </w:pPr>
      <w:r>
        <w:rPr>
          <w:rFonts w:ascii="Arial" w:cs="Arial" w:eastAsia="Arial" w:hAnsi="Arial"/>
          <w:sz w:val="17"/>
          <w:szCs w:val="17"/>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27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The terms under which we enter collaborations or raise additional equity or debt financing may harm our business and may significantly dilute stockholders’ ownership interests.</w:t>
      </w:r>
    </w:p>
    <w:p>
      <w:pPr>
        <w:spacing w:after="0" w:line="62"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If we raise additional funds through collaborations or licensing arrangements with third parties, we may need to relinquish some rights to our product candidates, including commercialization rights, which may hinder our ability to generate revenues and achieve or sustain profitability. If we raise additional funds by issuing equity securities, including as part of a debt financing, stockholders may experience substantial dilution. Debt financing, 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2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5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rely extensively on CROs, medical institutions, clinical investigators, contract laboratories and other service providers to perform important functions related to the conduct of our clinical trials, the collection and analysis of data and the preparation of regulatory submissions. Although we design/or and manage our current clinical trials to ensure that each clinical trial is conducted in accordance with its investigational plan and protocol, we do not have the ability to conduct all aspects of our clinical trials directly for our product candidates.</w:t>
      </w:r>
    </w:p>
    <w:p>
      <w:pPr>
        <w:spacing w:after="0" w:line="187" w:lineRule="exact"/>
        <w:rPr>
          <w:sz w:val="20"/>
          <w:szCs w:val="20"/>
          <w:color w:val="auto"/>
        </w:rPr>
      </w:pPr>
    </w:p>
    <w:p>
      <w:pPr>
        <w:ind w:right="80" w:firstLine="598"/>
        <w:spacing w:after="0" w:line="271" w:lineRule="auto"/>
        <w:rPr>
          <w:sz w:val="20"/>
          <w:szCs w:val="20"/>
          <w:color w:val="auto"/>
        </w:rPr>
      </w:pPr>
      <w:r>
        <w:rPr>
          <w:rFonts w:ascii="Arial" w:cs="Arial" w:eastAsia="Arial" w:hAnsi="Arial"/>
          <w:sz w:val="17"/>
          <w:szCs w:val="17"/>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right="60"/>
        <w:spacing w:after="0" w:line="290" w:lineRule="auto"/>
        <w:rPr>
          <w:sz w:val="20"/>
          <w:szCs w:val="20"/>
          <w:color w:val="auto"/>
        </w:rPr>
      </w:pPr>
      <w:r>
        <w:rPr>
          <w:rFonts w:ascii="Arial" w:cs="Arial" w:eastAsia="Arial" w:hAnsi="Arial"/>
          <w:sz w:val="16"/>
          <w:szCs w:val="16"/>
          <w:color w:val="auto"/>
        </w:rPr>
        <w:t>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2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62" w:lineRule="exact"/>
        <w:rPr>
          <w:sz w:val="20"/>
          <w:szCs w:val="20"/>
          <w:color w:val="auto"/>
        </w:rPr>
      </w:pPr>
    </w:p>
    <w:p>
      <w:pPr>
        <w:ind w:right="260" w:firstLine="598"/>
        <w:spacing w:after="0" w:line="255"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that may be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93"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delayed regulatory approval and lost or delayed revenues.</w:t>
      </w:r>
    </w:p>
    <w:p>
      <w:pPr>
        <w:spacing w:after="0" w:line="166" w:lineRule="exact"/>
        <w:rPr>
          <w:sz w:val="20"/>
          <w:szCs w:val="20"/>
          <w:color w:val="auto"/>
        </w:rPr>
      </w:pPr>
    </w:p>
    <w:p>
      <w:pPr>
        <w:ind w:right="40" w:firstLine="598"/>
        <w:spacing w:after="0" w:line="290" w:lineRule="auto"/>
        <w:rPr>
          <w:sz w:val="20"/>
          <w:szCs w:val="20"/>
          <w:color w:val="auto"/>
        </w:rPr>
      </w:pPr>
      <w:r>
        <w:rPr>
          <w:rFonts w:ascii="Arial" w:cs="Arial" w:eastAsia="Arial" w:hAnsi="Arial"/>
          <w:sz w:val="16"/>
          <w:szCs w:val="16"/>
          <w:color w:val="auto"/>
        </w:rPr>
        <w:t>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 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66"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Our manufacturers are obligated to operate in accordance with FDA-mandated current good manufacturing practices, or cGMPs and, in some cases, International Convention on Harmonization, or ICH, standards. A failure of any of our third-party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third-party manufacturers is difficult. For example, a change in third-party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 w:name="page34"/>
    <w:bookmarkEnd w:id="33"/>
    <w:p>
      <w:pPr>
        <w:jc w:val="both"/>
        <w:ind w:right="240"/>
        <w:spacing w:after="0" w:line="312" w:lineRule="auto"/>
        <w:rPr>
          <w:sz w:val="20"/>
          <w:szCs w:val="20"/>
          <w:color w:val="auto"/>
        </w:rPr>
      </w:pPr>
      <w:r>
        <w:rPr>
          <w:rFonts w:ascii="Arial" w:cs="Arial" w:eastAsia="Arial" w:hAnsi="Arial"/>
          <w:sz w:val="16"/>
          <w:szCs w:val="16"/>
          <w:color w:val="auto"/>
        </w:rPr>
        <w:t>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25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not be able to manufacture our product candidates in commercial quantities, which would prevent us from commercializing our product candidates.</w:t>
      </w:r>
    </w:p>
    <w:p>
      <w:pPr>
        <w:spacing w:after="0" w:line="62"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29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62"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We rely on the third-party manufacturers of our product candidates to purchase from third-party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2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62"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If one of our product candidates is approved for commercial sale by the FDA or other regulatory authorities, the degree of market acceptance of any approved product by physicians, healthcare professionals and third-party payers and our profitability and growth will depend on a number of factors, including:</w:t>
      </w:r>
    </w:p>
    <w:p>
      <w:pPr>
        <w:spacing w:after="0" w:line="73" w:lineRule="exact"/>
        <w:rPr>
          <w:sz w:val="20"/>
          <w:szCs w:val="20"/>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4" w:name="page35"/>
    <w:bookmarkEnd w:id="34"/>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225"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 achieve an adequate level of acceptance by physicians, patients and third-party payers, our ability to generate revenues from that product would be substantially reduced. In addition, our efforts to educate the medical community and third-party payers on the benefits of our product candidates may require significant resources and may never be successful.</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payers, our revenues and profitability will suffer.</w:t>
      </w:r>
    </w:p>
    <w:p>
      <w:pPr>
        <w:spacing w:after="0" w:line="62" w:lineRule="exact"/>
        <w:rPr>
          <w:sz w:val="20"/>
          <w:szCs w:val="20"/>
          <w:color w:val="auto"/>
        </w:rPr>
      </w:pPr>
    </w:p>
    <w:p>
      <w:pPr>
        <w:ind w:right="300" w:firstLine="598"/>
        <w:spacing w:after="0" w:line="276" w:lineRule="auto"/>
        <w:rPr>
          <w:sz w:val="20"/>
          <w:szCs w:val="20"/>
          <w:color w:val="auto"/>
        </w:rPr>
      </w:pPr>
      <w:r>
        <w:rPr>
          <w:rFonts w:ascii="Arial" w:cs="Arial" w:eastAsia="Arial" w:hAnsi="Arial"/>
          <w:sz w:val="17"/>
          <w:szCs w:val="17"/>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from governmental authorities, private health insurers and other organizations, such as health maintenance organizations, or HMOs. Third-party payers are increasingly challenging the prices charged for medical products and services. We cannot provide any assurances that third-party payers will consider our products cost-effective or provide coverage of and reimbursement for our products, in whole or in part.</w:t>
      </w:r>
    </w:p>
    <w:p>
      <w:pPr>
        <w:spacing w:after="0" w:line="173"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payers may conclude that our products are less safe, less clinically effective or less cost-effective than existing products, and third-party payers may not approve our products for coverage and reimbursement. If we are unable to obtain adequate coverage of and reimbursement for our products from third-party payers, physicians may limit how much or under what circumstances they will prescribe or administer them. Such reduction or limitation in the use of our products could cause our sales to suffer. Even if third-party payers make reimbursement available, payment levels may not be sufficient to make the sale of our products profitable.</w:t>
      </w:r>
    </w:p>
    <w:p>
      <w:pPr>
        <w:spacing w:after="0" w:line="193"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Market acceptance and sales of our current or future product candidates will depend in large part on global reimbursement policies and may be affected by future healthcare reform measures, both in the U.S. and other key international markets. For example, continuing health care reform in the U.S. will control or significantly influence the purchase of medical services and products, and may result in inadequate coverage of and reimbursement for our products. Many third-party payers are pursuing various ways to reduce pharmaceutical costs, including the use of formularies. The market for our products depends on access to such formularies, which are lists of medications for which third-party payers provide reimbursement. These formularies are increasingly restricted, and pharmaceutical companies face significant competition in their efforts to place their products on formularies. This increased competition has led to a downward pricing pressure in the industry. The cost containment measures that third-party payers, including government payers, are instituting could have a material adverse effect on our ability to operate profitably.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jc w:val="both"/>
        <w:ind w:right="340"/>
        <w:spacing w:after="0" w:line="264" w:lineRule="auto"/>
        <w:rPr>
          <w:sz w:val="20"/>
          <w:szCs w:val="20"/>
          <w:color w:val="auto"/>
        </w:rPr>
      </w:pPr>
      <w:r>
        <w:rPr>
          <w:rFonts w:ascii="Arial" w:cs="Arial" w:eastAsia="Arial" w:hAnsi="Arial"/>
          <w:sz w:val="18"/>
          <w:szCs w:val="18"/>
          <w:b w:val="1"/>
          <w:bCs w:val="1"/>
          <w:i w:val="1"/>
          <w:iCs w:val="1"/>
          <w:color w:val="auto"/>
        </w:rPr>
        <w:t>We are dependent on our management team, Yuichi Iwaki, M.D., Ph.D., and experienced scientific staff, and if we are unable to retain, motivate and attract key personnel, our product development programs may be delayed and we may be unable to develop successfully or commercialize our product candidates.</w:t>
      </w:r>
    </w:p>
    <w:p>
      <w:pPr>
        <w:spacing w:after="0" w:line="73"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We are dependent upon the continued services of our executive officers and other key personnel, particularly Yuichi Iwaki, M.D., Ph.D., a founder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services with us, whether through employment, service on our board of directors or a consulting agreement. We are also substantially dependent on the continued services of clinical development personnel because of the highly technical nature of our product development programs. We are not presently aware of any plans of our executive officers or key personnel to retire or leave employment. Following termination of employment, these individuals may engage in other businesses that may compete with us.</w:t>
      </w:r>
    </w:p>
    <w:p>
      <w:pPr>
        <w:spacing w:after="0" w:line="192" w:lineRule="exact"/>
        <w:rPr>
          <w:sz w:val="20"/>
          <w:szCs w:val="20"/>
          <w:color w:val="auto"/>
        </w:rPr>
      </w:pPr>
    </w:p>
    <w:p>
      <w:pPr>
        <w:ind w:right="20" w:firstLine="598"/>
        <w:spacing w:after="0" w:line="253" w:lineRule="auto"/>
        <w:rPr>
          <w:sz w:val="20"/>
          <w:szCs w:val="20"/>
          <w:color w:val="auto"/>
        </w:rPr>
      </w:pPr>
      <w:r>
        <w:rPr>
          <w:rFonts w:ascii="Arial" w:cs="Arial" w:eastAsia="Arial" w:hAnsi="Arial"/>
          <w:sz w:val="18"/>
          <w:szCs w:val="18"/>
          <w:color w:val="auto"/>
        </w:rPr>
        <w:t>If we acquire or license new product candidates, our success may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personnel. However, we face competition for experienced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could impair our ability to attract and retain personnel and impede the achievement of our development and commercialization objectives.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97" w:lineRule="exact"/>
        <w:rPr>
          <w:sz w:val="20"/>
          <w:szCs w:val="20"/>
          <w:color w:val="auto"/>
        </w:rPr>
      </w:pPr>
    </w:p>
    <w:p>
      <w:pPr>
        <w:jc w:val="both"/>
        <w:ind w:right="300" w:firstLine="598"/>
        <w:spacing w:after="0" w:line="286" w:lineRule="auto"/>
        <w:rPr>
          <w:sz w:val="20"/>
          <w:szCs w:val="20"/>
          <w:color w:val="auto"/>
        </w:rPr>
      </w:pPr>
      <w:r>
        <w:rPr>
          <w:rFonts w:ascii="Arial" w:cs="Arial" w:eastAsia="Arial" w:hAnsi="Arial"/>
          <w:sz w:val="17"/>
          <w:szCs w:val="17"/>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274"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whether independently or with third parties, we will be unable to commercialize our product candidates successfully.</w:t>
      </w:r>
    </w:p>
    <w:p>
      <w:pPr>
        <w:spacing w:after="0" w:line="62" w:lineRule="exact"/>
        <w:rPr>
          <w:sz w:val="20"/>
          <w:szCs w:val="20"/>
          <w:color w:val="auto"/>
        </w:rPr>
      </w:pPr>
    </w:p>
    <w:p>
      <w:pPr>
        <w:ind w:right="100" w:firstLine="598"/>
        <w:spacing w:after="0" w:line="269" w:lineRule="auto"/>
        <w:rPr>
          <w:sz w:val="20"/>
          <w:szCs w:val="20"/>
          <w:color w:val="auto"/>
        </w:rPr>
      </w:pPr>
      <w:r>
        <w:rPr>
          <w:rFonts w:ascii="Arial" w:cs="Arial" w:eastAsia="Arial" w:hAnsi="Arial"/>
          <w:sz w:val="17"/>
          <w:szCs w:val="17"/>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marketing and distribution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U.S., we may be required to market our product candidates outside of the U.S. directly if we are unable to establish such collaborations. In that event, we may need to build a corresponding international sales and marketing capability with technical expertise and with supporting distribution capabilities.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117"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to continue to see proposals to implement similar controls in the U.S. to continue. Another example of proposed reform that could affect our business is drug reimportation into the U.S. Moreover, the pendency or approval of such proposals could result in a decrease in our stock price or our ability to raise capital or to obtain strategic partnerships or licenses. More recently, the Patient Protection and Affordable Care Act imposed numerous reforms that may impact the costs, legal requirements and potential success of our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40" w:lineRule="exact"/>
        <w:rPr>
          <w:sz w:val="20"/>
          <w:szCs w:val="20"/>
          <w:color w:val="auto"/>
        </w:rPr>
      </w:pPr>
    </w:p>
    <w:p>
      <w:pPr>
        <w:jc w:val="both"/>
        <w:ind w:right="20" w:firstLine="598"/>
        <w:spacing w:after="0" w:line="286" w:lineRule="auto"/>
        <w:rPr>
          <w:sz w:val="20"/>
          <w:szCs w:val="20"/>
          <w:color w:val="auto"/>
        </w:rPr>
      </w:pPr>
      <w:r>
        <w:rPr>
          <w:rFonts w:ascii="Arial" w:cs="Arial" w:eastAsia="Arial" w:hAnsi="Arial"/>
          <w:sz w:val="17"/>
          <w:szCs w:val="17"/>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57" w:lineRule="exact"/>
        <w:rPr>
          <w:sz w:val="20"/>
          <w:szCs w:val="20"/>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25" w:lineRule="exact"/>
        <w:rPr>
          <w:sz w:val="20"/>
          <w:szCs w:val="20"/>
          <w:color w:val="auto"/>
        </w:rPr>
      </w:pPr>
    </w:p>
    <w:p>
      <w:pPr>
        <w:ind w:right="80" w:firstLine="598"/>
        <w:spacing w:after="0" w:line="271" w:lineRule="auto"/>
        <w:rPr>
          <w:sz w:val="20"/>
          <w:szCs w:val="20"/>
          <w:color w:val="auto"/>
        </w:rPr>
      </w:pPr>
      <w:r>
        <w:rPr>
          <w:rFonts w:ascii="Arial" w:cs="Arial" w:eastAsia="Arial" w:hAnsi="Arial"/>
          <w:sz w:val="17"/>
          <w:szCs w:val="17"/>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i w:val="1"/>
          <w:iCs w:val="1"/>
          <w:color w:val="auto"/>
        </w:rPr>
        <w:t>We expect that our results of operations will fluctuate, which may make it difficult to predict our future performance from period to period.</w:t>
      </w:r>
    </w:p>
    <w:p>
      <w:pPr>
        <w:spacing w:after="0" w:line="129"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62" w:lineRule="exact"/>
        <w:rPr>
          <w:sz w:val="20"/>
          <w:szCs w:val="20"/>
          <w:color w:val="auto"/>
        </w:rPr>
      </w:pPr>
    </w:p>
    <w:p>
      <w:pPr>
        <w:ind w:left="1200" w:right="360" w:hanging="598"/>
        <w:spacing w:after="0" w:line="277"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62"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25"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27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As a public company, we are required to comply with the Sarbanes-Oxley Act of 2002, as well as rules and regulations implemented by the SEC, The NASDAQ Stock Market, or NASDAQ, and Japanese securities laws,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may result in imposition of reduced policy limits and coverage.</w:t>
      </w:r>
    </w:p>
    <w:p>
      <w:pPr>
        <w:spacing w:after="0" w:line="165"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The Sarbanes-Oxley Act requires that we maintain effective internal controls for financial reporting and disclosure controls and procedures. Our listing obligations under the JASDAQ Market of the Tokyo Stock Exchange, or TSE, also require that we comply either with Section 404 of the Sarbanes-Oxley Act or equivalent regulations in Japan and we elected to comply with Section 404. As a result, we are required to perform an evaluation of our internal control over financial reporting to allow management to report on the effectiveness of those controls, as required by Section 404. We are subject to attestation by our independent registered public accounting firm regarding our internal controls over financial reporting as of December 31, 2016 under Japanese securities laws. Our efforts to comply with Section 404 and related regulations have required, and continue to require, the commitment of significant financial and managerial resources. We cannot be certain that a material weakness will not be identified when we test the effectiveness of our controls in the future. If a material weakness is identified, we could be subject to sanctions or investigations by NASDAQ, the SEC, the TSE or other regulatory authorities, which would require additional financial and management resources, costly litigation or a loss of public confidence in our internal controls, which could have an adverse effect on the market price of our stock.</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8" w:name="page39"/>
    <w:bookmarkEnd w:id="38"/>
    <w:p>
      <w:pPr>
        <w:ind w:firstLine="598"/>
        <w:spacing w:after="0" w:line="276" w:lineRule="auto"/>
        <w:rPr>
          <w:sz w:val="20"/>
          <w:szCs w:val="20"/>
          <w:color w:val="auto"/>
        </w:rPr>
      </w:pPr>
      <w:r>
        <w:rPr>
          <w:rFonts w:ascii="Arial" w:cs="Arial" w:eastAsia="Arial" w:hAnsi="Arial"/>
          <w:sz w:val="17"/>
          <w:szCs w:val="17"/>
          <w:color w:val="auto"/>
        </w:rPr>
        <w:t>Additionally,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To maintain high standards of corporate governance and public disclosure, we intend to invest all reasonably necessary resources to comply with such compliance programs and rules and all other evolving standards. These investments may result in increased general and administrative costs and a diversion of our management’s time and attention from strategic revenue generating and cost management activities.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 and natural disasters.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including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variety of risks associated with operating our business and marketing our products internationally could materially adversely affect our business.</w:t>
      </w:r>
    </w:p>
    <w:p>
      <w:pPr>
        <w:spacing w:after="0" w:line="140"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A significant amount of our business activity is outside of the United States. We face risks associated with our international operations, including possible unfavorable regulatory, pricing and reimbursement, political, tax and labor conditions, which could harm our business. We are subject to numerous risks associated with international business activities, including, but not limited to:</w:t>
      </w:r>
    </w:p>
    <w:p>
      <w:pPr>
        <w:spacing w:after="0" w:line="73" w:lineRule="exact"/>
        <w:rPr>
          <w:sz w:val="20"/>
          <w:szCs w:val="20"/>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differing or unexpected regulatory requirements for our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1200" w:right="140" w:hanging="598"/>
        <w:spacing w:after="0" w:line="277"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certain circumstances, including with respect to the commercialization of our product candidates in Europe, increased dependence on the commercialization efforts of our distributors or strategic partners;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government taxes, regulations and permit requirements;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and foreign government tariffs, trade restrictions, price and exchange controls and other regulatory requirements;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economic weakness, including inflation, natural disasters, war, events of terrorism or political instability in particular foreign countries;</w:t>
      </w:r>
    </w:p>
    <w:p>
      <w:pPr>
        <w:spacing w:after="0" w:line="128" w:lineRule="exact"/>
        <w:rPr>
          <w:rFonts w:ascii="Arial" w:cs="Arial" w:eastAsia="Arial" w:hAnsi="Arial"/>
          <w:sz w:val="17"/>
          <w:szCs w:val="17"/>
          <w:color w:val="auto"/>
        </w:rPr>
      </w:pPr>
    </w:p>
    <w:p>
      <w:pPr>
        <w:ind w:left="1200" w:right="400" w:hanging="598"/>
        <w:spacing w:after="0" w:line="277"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result in increased operating expenses and reduced revenues, and other obligations related to doing business in another country;</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regulations and restrictions for employees living or traveling abroad;</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diplomatic and trade relationships; and</w:t>
      </w:r>
    </w:p>
    <w:p>
      <w:pPr>
        <w:spacing w:after="0" w:line="117" w:lineRule="exact"/>
        <w:rPr>
          <w:rFonts w:ascii="Arial" w:cs="Arial" w:eastAsia="Arial" w:hAnsi="Arial"/>
          <w:sz w:val="18"/>
          <w:szCs w:val="18"/>
          <w:color w:val="auto"/>
        </w:rPr>
      </w:pPr>
    </w:p>
    <w:p>
      <w:pPr>
        <w:ind w:left="1200" w:right="200" w:hanging="598"/>
        <w:spacing w:after="0" w:line="277"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U.S.</w:t>
      </w:r>
    </w:p>
    <w:p>
      <w:pPr>
        <w:spacing w:after="0" w:line="170"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business, financial condition and results of operations.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117" w:lineRule="exact"/>
        <w:rPr>
          <w:sz w:val="20"/>
          <w:szCs w:val="20"/>
          <w:color w:val="auto"/>
        </w:rPr>
      </w:pPr>
    </w:p>
    <w:p>
      <w:pPr>
        <w:ind w:right="100" w:firstLine="598"/>
        <w:spacing w:after="0" w:line="288" w:lineRule="auto"/>
        <w:rPr>
          <w:sz w:val="20"/>
          <w:szCs w:val="20"/>
          <w:color w:val="auto"/>
        </w:rPr>
      </w:pPr>
      <w:r>
        <w:rPr>
          <w:rFonts w:ascii="Arial" w:cs="Arial" w:eastAsia="Arial" w:hAnsi="Arial"/>
          <w:sz w:val="16"/>
          <w:szCs w:val="16"/>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 (ibudilast) and MN-001 (tipelukast) product candidates, although we do have patent protection for a particular crystalline polymorph of MN-001 (tipelukast) and we have composition of matter protection on an analog of ibudilast. As a result, competitors that obtain the requisite regulatory approval will be able to offer products with the same API as found in our MN-166 (ibudilast) and MN-001 (tipelukast) product candidates so long as such competitors do not infringe any methods of use, methods of manufacture, formulation or, in the case of MN-001 (tipelukast), specific polymorph patents that we hold or have exclusive rights to through our licensors. For example, we currently rely on method of use patents for MN-166 (ibudilast) and MN-001 (tipelukast) although we have compound patents for MN-029 and MN-221.</w:t>
      </w:r>
    </w:p>
    <w:p>
      <w:pPr>
        <w:spacing w:after="0" w:line="169"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We have limited control, if any, over the amount or timing of resources that each licensor devotes on our behalf. As a result of this lack of control,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will not become abandoned. For example, certain annuities were not paid in a timely manner with respect to foreign patents licensed under MN-002 (the active metabolite of MN-001) and, as a result, our patent rights may be impaired in those territories. In addition, our licensors may have selected a limited amount of foreign patent protection, and therefore applications have not been filed in, and foreign patents may not have been perfected in, all commercially significant countries.</w:t>
      </w:r>
    </w:p>
    <w:p>
      <w:pPr>
        <w:spacing w:after="0" w:line="183"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89"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62" w:lineRule="exact"/>
        <w:rPr>
          <w:sz w:val="20"/>
          <w:szCs w:val="20"/>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 and maintain any required or desirable licenses to use certain technologies of third parties, which may be protected by patents;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0" w:name="page41"/>
    <w:bookmarkEnd w:id="40"/>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117" w:lineRule="exact"/>
        <w:rPr>
          <w:sz w:val="20"/>
          <w:szCs w:val="20"/>
          <w:color w:val="auto"/>
        </w:rPr>
      </w:pPr>
    </w:p>
    <w:p>
      <w:pPr>
        <w:ind w:left="1200" w:hanging="598"/>
        <w:spacing w:after="0"/>
        <w:tabs>
          <w:tab w:leader="none" w:pos="12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117" w:lineRule="exact"/>
        <w:rPr>
          <w:rFonts w:ascii="Arial" w:cs="Arial" w:eastAsia="Arial" w:hAnsi="Arial"/>
          <w:sz w:val="18"/>
          <w:szCs w:val="18"/>
          <w:color w:val="auto"/>
        </w:rPr>
      </w:pPr>
    </w:p>
    <w:p>
      <w:pPr>
        <w:ind w:left="1200" w:right="20" w:hanging="598"/>
        <w:spacing w:after="0" w:line="264"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73" w:lineRule="exact"/>
        <w:rPr>
          <w:rFonts w:ascii="Arial" w:cs="Arial" w:eastAsia="Arial" w:hAnsi="Arial"/>
          <w:sz w:val="18"/>
          <w:szCs w:val="18"/>
          <w:color w:val="auto"/>
        </w:rPr>
      </w:pPr>
    </w:p>
    <w:p>
      <w:pPr>
        <w:ind w:left="1200" w:right="360" w:hanging="598"/>
        <w:spacing w:after="0" w:line="277"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62"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U.S. may be less willing to protect trade secrets or know-how. The failure to obtain or maintain trade secret protection could adversely affect our competitive position.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ind w:right="380"/>
        <w:spacing w:after="0" w:line="277"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62" w:lineRule="exact"/>
        <w:rPr>
          <w:sz w:val="20"/>
          <w:szCs w:val="20"/>
          <w:color w:val="auto"/>
        </w:rPr>
      </w:pPr>
    </w:p>
    <w:p>
      <w:pPr>
        <w:jc w:val="both"/>
        <w:ind w:right="20" w:firstLine="598"/>
        <w:spacing w:after="0" w:line="288"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w:t>
      </w:r>
    </w:p>
    <w:p>
      <w:pPr>
        <w:spacing w:after="0" w:line="267" w:lineRule="auto"/>
        <w:rPr>
          <w:sz w:val="20"/>
          <w:szCs w:val="20"/>
          <w:color w:val="auto"/>
        </w:rPr>
      </w:pPr>
      <w:r>
        <w:rPr>
          <w:rFonts w:ascii="Arial" w:cs="Arial" w:eastAsia="Arial" w:hAnsi="Arial"/>
          <w:sz w:val="17"/>
          <w:szCs w:val="17"/>
          <w:color w:val="auto"/>
        </w:rPr>
        <w:t>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third-party patents containing claims covering our product candidates, their methods of use or manufacture do not exist. Moreover, because some patent applications in the U.S. may be maintained in secrecy until the patents are issued, and because patent applications in the U.S.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74" w:lineRule="exact"/>
        <w:rPr>
          <w:sz w:val="20"/>
          <w:szCs w:val="20"/>
          <w:color w:val="auto"/>
        </w:rPr>
      </w:pPr>
    </w:p>
    <w:p>
      <w:pPr>
        <w:ind w:left="1200" w:right="400" w:hanging="598"/>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any infringement for which we are found liable is deemed willful, or a case against us is determined by a judge to be exceptional;</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117" w:lineRule="exact"/>
        <w:rPr>
          <w:sz w:val="20"/>
          <w:szCs w:val="20"/>
          <w:color w:val="auto"/>
        </w:rPr>
      </w:pPr>
    </w:p>
    <w:p>
      <w:pPr>
        <w:ind w:right="240" w:firstLine="598"/>
        <w:spacing w:after="0" w:line="257"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From time to time,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117" w:lineRule="exact"/>
        <w:rPr>
          <w:sz w:val="20"/>
          <w:szCs w:val="20"/>
          <w:color w:val="auto"/>
        </w:rPr>
      </w:pPr>
    </w:p>
    <w:p>
      <w:pPr>
        <w:ind w:right="180" w:firstLine="598"/>
        <w:spacing w:after="0" w:line="312" w:lineRule="auto"/>
        <w:rPr>
          <w:sz w:val="20"/>
          <w:szCs w:val="20"/>
          <w:color w:val="auto"/>
        </w:rPr>
      </w:pPr>
      <w:r>
        <w:rPr>
          <w:rFonts w:ascii="Arial" w:cs="Arial" w:eastAsia="Arial" w:hAnsi="Arial"/>
          <w:sz w:val="16"/>
          <w:szCs w:val="16"/>
          <w:color w:val="auto"/>
        </w:rPr>
        <w:t>Despite the listing of our common stock on The NASDAQ Global Market and the JASDAQ Market of the Tokyo Stock Exchange in Japan, trading volume in our securities has been light and an active trading market may not develop for our common stock. In 2016, our average trading volume was approximately 153,100 shares per day on The NASDAQ Global Market and approximately 306,300 shares per day on the JASDAQ Market.</w:t>
      </w:r>
    </w:p>
    <w:p>
      <w:pPr>
        <w:spacing w:after="0" w:line="14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8, 2005 through December 31, 2016, our common stock has traded as high as approximately $42.00 and as low as approximately $1.30. The following factors, in addition to other risk factors described in this section, may have a significant impact on the market price of our common stock:</w:t>
      </w:r>
    </w:p>
    <w:p>
      <w:pPr>
        <w:spacing w:after="0" w:line="80" w:lineRule="exact"/>
        <w:rPr>
          <w:sz w:val="20"/>
          <w:szCs w:val="20"/>
          <w:color w:val="auto"/>
        </w:rPr>
      </w:pPr>
    </w:p>
    <w:p>
      <w:pPr>
        <w:ind w:left="1200" w:right="140" w:hanging="598"/>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w:t>
      </w:r>
    </w:p>
    <w:p>
      <w:pPr>
        <w:spacing w:after="0" w:line="62" w:lineRule="exact"/>
        <w:rPr>
          <w:rFonts w:ascii="Arial" w:cs="Arial" w:eastAsia="Arial" w:hAnsi="Arial"/>
          <w:sz w:val="18"/>
          <w:szCs w:val="18"/>
          <w:color w:val="auto"/>
        </w:rPr>
      </w:pPr>
    </w:p>
    <w:p>
      <w:pPr>
        <w:ind w:left="1200" w:right="500" w:hanging="598"/>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initiation, termination, or reduction in the scope of any collaboration arrangements or any disputes or developments regarding such collaborations;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200" w:right="160" w:hanging="598"/>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17" w:lineRule="exact"/>
        <w:rPr>
          <w:rFonts w:ascii="Arial" w:cs="Arial" w:eastAsia="Arial" w:hAnsi="Arial"/>
          <w:sz w:val="18"/>
          <w:szCs w:val="18"/>
          <w:color w:val="auto"/>
        </w:rPr>
      </w:pPr>
    </w:p>
    <w:p>
      <w:pPr>
        <w:ind w:left="1200" w:right="220" w:hanging="598"/>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developments in the U.S. and in foreign countries.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Our common stock may be delisted on The NASDAQ Global Market or the JASDAQ Market of the Tokyo Stock Exchange.</w:t>
      </w:r>
    </w:p>
    <w:p>
      <w:pPr>
        <w:spacing w:after="0" w:line="117"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In addition to the risks identified immediately above, the market price of our common stock, and your ability to sell your shares at a profit, or at all, may be affected by the delisting of our shares for failure to meet applicable listing standards. For example, price per share minimums are maintained by The NASDAQ Global Market, and our share price has, in the past, fallen below the required minimum. In addition, JASDAQ Market listing requirements currently mandate that listed companies achieve a profit or positive cash flow from operations within a five-year period. Failure to meet these or other listing requirements for either of the stock exchanges on which our common stock is listed could adversely affect the market price for our common stock and your ability to sell your shares at a profit, or at all.</w:t>
      </w:r>
    </w:p>
    <w:p>
      <w:pPr>
        <w:spacing w:after="0" w:line="30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The sale of additional common stock under our existing at-the-market issuance sales agreement may cause substantial dilution to our existing stockholders and/or the price of our common stock to decline.</w:t>
      </w:r>
    </w:p>
    <w:p>
      <w:pPr>
        <w:spacing w:after="0" w:line="62"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On May 22, 2015, we entered into an at-the-market issuance sales agreement, or the ATM Agreement, with MLV &amp; Co. LLC, or MLV, pursuant to which we may sell common stock through MLV from time to time up to an aggregate offering price of $30.0 million. On September 16, 2016, we entered into an amendment to the ATM Agreement to also include FBR Capital Markets &amp; Co as a sales agent thereunder. From time to time, we may sell additional shares of our common stock under the ATM Agreement. Depending upon market liquidity at the time, sales of shares of our common stock under the ATM Agreement may cause the trading price of our common stock to decline and may result in substantial dilution to the interests of other holders of our common stock. The sale of a substantial number of shares of our common stock under the ATM Agreement, or anticipation of such sales, could make it more difficult for us to sell equity or equity-related securities in the future at a time and at a price that we might otherwise wish to effect sales.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in the past experienced significant stock price volatility. We may become involved in this type of litigation in the future. Litigation often is expensive and diverts management’s attention and resources, which could adversely affect our business.</w:t>
      </w:r>
    </w:p>
    <w:p>
      <w:pPr>
        <w:spacing w:after="0" w:line="30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for us to raise additional capital or for you to sell your shares.</w:t>
      </w:r>
    </w:p>
    <w:p>
      <w:pPr>
        <w:spacing w:after="0" w:line="62" w:lineRule="exact"/>
        <w:rPr>
          <w:sz w:val="20"/>
          <w:szCs w:val="20"/>
          <w:color w:val="auto"/>
        </w:rPr>
      </w:pPr>
    </w:p>
    <w:p>
      <w:pPr>
        <w:ind w:right="320" w:firstLine="598"/>
        <w:spacing w:after="0" w:line="286" w:lineRule="auto"/>
        <w:rPr>
          <w:sz w:val="20"/>
          <w:szCs w:val="20"/>
          <w:color w:val="auto"/>
        </w:rPr>
      </w:pPr>
      <w:r>
        <w:rPr>
          <w:rFonts w:ascii="Arial" w:cs="Arial" w:eastAsia="Arial" w:hAnsi="Arial"/>
          <w:sz w:val="17"/>
          <w:szCs w:val="17"/>
          <w:color w:val="auto"/>
        </w:rPr>
        <w:t>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if we should desire to do so. In addition, it may be difficult, or even impossible, to find a buyer for shares of our common stock.</w:t>
      </w:r>
    </w:p>
    <w:p>
      <w:pPr>
        <w:spacing w:after="0" w:line="166"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We have also registered all common stock that we may issue under our current employee benefits plans and upon exercise of warrants.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ind w:right="52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62"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79" w:lineRule="exact"/>
        <w:rPr>
          <w:sz w:val="20"/>
          <w:szCs w:val="20"/>
          <w:color w:val="auto"/>
        </w:rPr>
      </w:pPr>
    </w:p>
    <w:p>
      <w:pPr>
        <w:ind w:left="1200" w:right="160" w:hanging="598"/>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62" w:lineRule="exact"/>
        <w:rPr>
          <w:rFonts w:ascii="Arial" w:cs="Arial" w:eastAsia="Arial" w:hAnsi="Arial"/>
          <w:sz w:val="18"/>
          <w:szCs w:val="18"/>
          <w:color w:val="auto"/>
        </w:rPr>
      </w:pPr>
    </w:p>
    <w:p>
      <w:pPr>
        <w:ind w:left="1200" w:right="40" w:hanging="598"/>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62" w:lineRule="exact"/>
        <w:rPr>
          <w:rFonts w:ascii="Arial" w:cs="Arial" w:eastAsia="Arial" w:hAnsi="Arial"/>
          <w:sz w:val="18"/>
          <w:szCs w:val="18"/>
          <w:color w:val="auto"/>
        </w:rPr>
      </w:pPr>
    </w:p>
    <w:p>
      <w:pPr>
        <w:ind w:left="1200" w:right="320" w:hanging="598"/>
        <w:spacing w:after="0" w:line="277"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 our stockholders from making certain changes to our restated certificate of incorporation or amended and restated bylaws except with 66-2/3% stockholder approval;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225" w:lineRule="exact"/>
        <w:rPr>
          <w:sz w:val="20"/>
          <w:szCs w:val="20"/>
          <w:color w:val="auto"/>
        </w:rPr>
      </w:pPr>
    </w:p>
    <w:p>
      <w:pPr>
        <w:ind w:right="100" w:firstLine="598"/>
        <w:spacing w:after="0" w:line="297"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117"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We executed a sublease agreement for our headquarters effective March 1, 2013 (the “Sublease”) with Denali Advisors, LLC, the sublessor, to which Irvine Company, the master landlord, has provided its consent. The Sublease is for 5,219 square feet, and has a term of four years and nine months. In June 2005, we leased office space in Tokyo, Japan under a non-cancelable operating lease with an original expiration date of May 2013 and an auto-renewal two-year extension, which we have extended through May 2017, with the acceptance of the extensions for those given periods. We have no laboratory, research or manufacturing facilities, and we currently do not plan to purchase or lease any such facilities, as such services are provided to us by third-party service providers. We believe that our current facilities are adequate for our needs for the immediate future and that, should it be needed, suitable additional space will be available to accommodate expansion of our operations on commercially reasonable terms.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We are not involved in any material legal proceedings as of the date of this report. We may become involved in various disputes and legal proceedings which arise in the ordinary course of business. Our assessment of the likely impact of our pending litigation may change over time. An adverse result in any of these matters may occur which could harm our business and result in a material liability.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10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80" w:firstLine="598"/>
        <w:spacing w:after="0" w:line="312" w:lineRule="auto"/>
        <w:rPr>
          <w:sz w:val="20"/>
          <w:szCs w:val="20"/>
          <w:color w:val="auto"/>
        </w:rPr>
      </w:pPr>
      <w:r>
        <w:rPr>
          <w:rFonts w:ascii="Arial" w:cs="Arial" w:eastAsia="Arial" w:hAnsi="Arial"/>
          <w:sz w:val="16"/>
          <w:szCs w:val="16"/>
          <w:color w:val="auto"/>
        </w:rPr>
        <w:t>Our common stock is listed on the JASDAQ Market of the Tokyo Stock Exchange and trades under the code “4875,” and is listed on The NASDAQ Global Market and trades under the symbol “MNOV.” Our stock had been traded on the Hercules Market since February 8, 2005 (through the Hercules Market’s closure in 2010) and now is currently traded on the JASDAQ Market and on The NASDAQ Global Market since December 7, 2006.</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high and low sale prices per share of our common stock as reported on The NASDAQ Global Market.</w:t>
      </w:r>
    </w:p>
    <w:p>
      <w:pPr>
        <w:spacing w:after="0" w:line="230"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Common</w:t>
      </w:r>
    </w:p>
    <w:p>
      <w:pPr>
        <w:jc w:val="center"/>
        <w:ind w:left="5380"/>
        <w:spacing w:after="0" w:line="236" w:lineRule="auto"/>
        <w:rPr>
          <w:sz w:val="20"/>
          <w:szCs w:val="20"/>
          <w:color w:val="auto"/>
        </w:rPr>
      </w:pPr>
      <w:r>
        <w:rPr>
          <w:rFonts w:ascii="Arial" w:cs="Arial" w:eastAsia="Arial" w:hAnsi="Arial"/>
          <w:sz w:val="14"/>
          <w:szCs w:val="14"/>
          <w:b w:val="1"/>
          <w:bCs w:val="1"/>
          <w:color w:val="auto"/>
        </w:rPr>
        <w:t>Stock Price</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High</w:t>
            </w: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Low</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Fiscal year ended December 31, 2015</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First quarter</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Third quarter</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Fiscal year ended December 31, 2016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First quarter</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8.34</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Third quarter</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2016, there were approximately 13,041 holders of record of our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have never declared or paid any cash dividends on our capital stock, and we do not anticipate paying any cash dividends in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retain our future earnings, if any, to fund the growth and development of our business.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Information regarding the securities authorized for issuance under our equity compensation plans can be found under Item 12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Performance Measurement Comparison</w:t>
      </w:r>
    </w:p>
    <w:p>
      <w:pPr>
        <w:spacing w:after="0" w:line="121"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The following graph illustrates the total stockholder return of an investment of $100 in cash made on December 31, 2011 in each of our common stock and two indices: the Nasdaq Composite Index and the Nasdaq Biotechnology Index.</w:t>
      </w:r>
    </w:p>
    <w:p>
      <w:pPr>
        <w:spacing w:after="0" w:line="170"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The performance graph assumes an initial investment of $100 on December 31, 2011 and that all dividends were reinvested. No dividends have been declared nor paid on our common stock. The comparisons in the graph below are required by the SEC and are not intended to forecast or be indicative of possible future performance of our common stock.</w:t>
      </w:r>
    </w:p>
    <w:p>
      <w:pPr>
        <w:spacing w:after="0" w:line="18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i w:val="1"/>
          <w:iCs w:val="1"/>
          <w:color w:val="auto"/>
        </w:rPr>
        <w:t>This performance graph is furnished and shall not be deemed “filed” with the SEC for purposes of Section 18 of the Exchange Act, or incorporated by reference into any of our other filings under the Exchange Act or the Securities Act except to the extent we specifically incorporate it by reference into such filing.</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Comparison of Cumulative Total Return on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223520</wp:posOffset>
            </wp:positionV>
            <wp:extent cx="5342890" cy="24098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2890"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590" w:type="dxa"/>
        <w:tblCellMar>
          <w:top w:w="0" w:type="dxa"/>
          <w:left w:w="0" w:type="dxa"/>
          <w:bottom w:w="0" w:type="dxa"/>
          <w:right w:w="0" w:type="dxa"/>
        </w:tblCellMar>
      </w:tblPr>
      <w:tr>
        <w:trPr>
          <w:trHeight w:val="240"/>
        </w:trPr>
        <w:tc>
          <w:tcPr>
            <w:tcW w:w="28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940" w:type="dxa"/>
            <w:vAlign w:val="bottom"/>
            <w:tcBorders>
              <w:top w:val="single" w:sz="8" w:color="auto"/>
              <w:bottom w:val="single" w:sz="8" w:color="auto"/>
              <w:right w:val="single" w:sz="8" w:color="auto"/>
            </w:tcBorders>
            <w:gridSpan w:val="2"/>
          </w:tcPr>
          <w:p>
            <w:pPr>
              <w:jc w:val="right"/>
              <w:ind w:right="39"/>
              <w:spacing w:after="0"/>
              <w:rPr>
                <w:sz w:val="20"/>
                <w:szCs w:val="20"/>
                <w:color w:val="auto"/>
              </w:rPr>
            </w:pPr>
            <w:r>
              <w:rPr>
                <w:rFonts w:ascii="Arial" w:cs="Arial" w:eastAsia="Arial" w:hAnsi="Arial"/>
                <w:sz w:val="16"/>
                <w:szCs w:val="16"/>
                <w:color w:val="auto"/>
                <w:w w:val="99"/>
              </w:rPr>
              <w:t>12/31/2011</w:t>
            </w:r>
          </w:p>
        </w:tc>
        <w:tc>
          <w:tcPr>
            <w:tcW w:w="940" w:type="dxa"/>
            <w:vAlign w:val="bottom"/>
            <w:tcBorders>
              <w:top w:val="single" w:sz="8" w:color="auto"/>
              <w:bottom w:val="single" w:sz="8" w:color="auto"/>
              <w:right w:val="single" w:sz="8" w:color="auto"/>
            </w:tcBorders>
            <w:gridSpan w:val="2"/>
          </w:tcPr>
          <w:p>
            <w:pPr>
              <w:jc w:val="right"/>
              <w:ind w:right="39"/>
              <w:spacing w:after="0"/>
              <w:rPr>
                <w:sz w:val="20"/>
                <w:szCs w:val="20"/>
                <w:color w:val="auto"/>
              </w:rPr>
            </w:pPr>
            <w:r>
              <w:rPr>
                <w:rFonts w:ascii="Arial" w:cs="Arial" w:eastAsia="Arial" w:hAnsi="Arial"/>
                <w:sz w:val="16"/>
                <w:szCs w:val="16"/>
                <w:color w:val="auto"/>
                <w:w w:val="99"/>
              </w:rPr>
              <w:t>12/31/2012</w:t>
            </w:r>
          </w:p>
        </w:tc>
        <w:tc>
          <w:tcPr>
            <w:tcW w:w="940" w:type="dxa"/>
            <w:vAlign w:val="bottom"/>
            <w:tcBorders>
              <w:top w:val="single" w:sz="8" w:color="auto"/>
              <w:bottom w:val="single" w:sz="8" w:color="auto"/>
              <w:right w:val="single" w:sz="8" w:color="auto"/>
            </w:tcBorders>
            <w:gridSpan w:val="2"/>
          </w:tcPr>
          <w:p>
            <w:pPr>
              <w:jc w:val="right"/>
              <w:ind w:right="39"/>
              <w:spacing w:after="0"/>
              <w:rPr>
                <w:sz w:val="20"/>
                <w:szCs w:val="20"/>
                <w:color w:val="auto"/>
              </w:rPr>
            </w:pPr>
            <w:r>
              <w:rPr>
                <w:rFonts w:ascii="Arial" w:cs="Arial" w:eastAsia="Arial" w:hAnsi="Arial"/>
                <w:sz w:val="16"/>
                <w:szCs w:val="16"/>
                <w:color w:val="auto"/>
                <w:w w:val="99"/>
              </w:rPr>
              <w:t>12/31/2013</w:t>
            </w:r>
          </w:p>
        </w:tc>
        <w:tc>
          <w:tcPr>
            <w:tcW w:w="960" w:type="dxa"/>
            <w:vAlign w:val="bottom"/>
            <w:tcBorders>
              <w:top w:val="single" w:sz="8" w:color="auto"/>
              <w:bottom w:val="single" w:sz="8" w:color="auto"/>
              <w:right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12/31/2014</w:t>
            </w:r>
          </w:p>
        </w:tc>
        <w:tc>
          <w:tcPr>
            <w:tcW w:w="920" w:type="dxa"/>
            <w:vAlign w:val="bottom"/>
            <w:tcBorders>
              <w:top w:val="single" w:sz="8" w:color="auto"/>
              <w:bottom w:val="single" w:sz="8" w:color="auto"/>
              <w:right w:val="single" w:sz="8" w:color="auto"/>
            </w:tcBorders>
            <w:gridSpan w:val="2"/>
          </w:tcPr>
          <w:p>
            <w:pPr>
              <w:jc w:val="right"/>
              <w:ind w:right="19"/>
              <w:spacing w:after="0"/>
              <w:rPr>
                <w:sz w:val="20"/>
                <w:szCs w:val="20"/>
                <w:color w:val="auto"/>
              </w:rPr>
            </w:pPr>
            <w:r>
              <w:rPr>
                <w:rFonts w:ascii="Arial" w:cs="Arial" w:eastAsia="Arial" w:hAnsi="Arial"/>
                <w:sz w:val="16"/>
                <w:szCs w:val="16"/>
                <w:color w:val="auto"/>
                <w:w w:val="99"/>
              </w:rPr>
              <w:t>12/31/2015</w:t>
            </w:r>
          </w:p>
        </w:tc>
        <w:tc>
          <w:tcPr>
            <w:tcW w:w="760" w:type="dxa"/>
            <w:vAlign w:val="bottom"/>
            <w:tcBorders>
              <w:top w:val="single" w:sz="8" w:color="auto"/>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color w:val="auto"/>
                <w:w w:val="89"/>
              </w:rPr>
              <w:t>12/31/2016</w:t>
            </w:r>
          </w:p>
        </w:tc>
      </w:tr>
      <w:tr>
        <w:trPr>
          <w:trHeight w:val="237"/>
        </w:trPr>
        <w:tc>
          <w:tcPr>
            <w:tcW w:w="28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MediciNova, Inc. - MNOV</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96.47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125.88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178.82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208.82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354.71</w:t>
            </w:r>
          </w:p>
        </w:tc>
      </w:tr>
      <w:tr>
        <w:trPr>
          <w:trHeight w:val="223"/>
        </w:trPr>
        <w:tc>
          <w:tcPr>
            <w:tcW w:w="28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Nasdaq Composite Index - IXIC</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8"/>
              </w:rPr>
              <w:t>115.91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160.32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181.80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192.21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206.63</w:t>
            </w:r>
          </w:p>
        </w:tc>
      </w:tr>
      <w:tr>
        <w:trPr>
          <w:trHeight w:val="223"/>
        </w:trPr>
        <w:tc>
          <w:tcPr>
            <w:tcW w:w="28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Nasdaq Biotechnology Index - NBI</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w w:val="98"/>
              </w:rPr>
              <w:t>131.91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218.45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292.93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326.39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255.62</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The selected financial data set forth below is derived from our audited consolidated financial statements and may not be indicative of future operating results. The following selected financial data should be read in conjunction with the Consolidated Financial Statements and notes thereto and Item 7, “Management’s Discussion and Analysis of Financial Condition and Results of Operations” included elsewhere in this Annual Report on Form 10-K. Amounts are in thousands, except per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center"/>
              <w:ind w:left="632"/>
              <w:spacing w:after="0"/>
              <w:rPr>
                <w:sz w:val="20"/>
                <w:szCs w:val="20"/>
                <w:color w:val="auto"/>
              </w:rPr>
            </w:pPr>
            <w:r>
              <w:rPr>
                <w:rFonts w:ascii="Arial" w:cs="Arial" w:eastAsia="Arial" w:hAnsi="Arial"/>
                <w:sz w:val="14"/>
                <w:szCs w:val="14"/>
                <w:b w:val="1"/>
                <w:bCs w:val="1"/>
                <w:color w:val="auto"/>
                <w:w w:val="90"/>
              </w:rPr>
              <w:t>Years ended December 31,</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2"/>
              <w:spacing w:after="0" w:line="155" w:lineRule="exact"/>
              <w:rPr>
                <w:sz w:val="20"/>
                <w:szCs w:val="20"/>
                <w:color w:val="auto"/>
              </w:rPr>
            </w:pPr>
            <w:r>
              <w:rPr>
                <w:rFonts w:ascii="Arial" w:cs="Arial" w:eastAsia="Arial" w:hAnsi="Arial"/>
                <w:sz w:val="14"/>
                <w:szCs w:val="14"/>
                <w:b w:val="1"/>
                <w:bCs w:val="1"/>
                <w:color w:val="auto"/>
                <w:w w:val="89"/>
              </w:rPr>
              <w:t>2014</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6,003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Research, development and patent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5,963</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6,658</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8,822</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10,024</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(8,845)</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applicable to common stockholders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(10,866)</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(8,845)</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(9,195)</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(10,961)</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net loss per share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Shares used to compute basic and diluted net</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loss per share</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32,986,740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26,578,770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24,067,781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20,697,440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16,522,929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0"/>
              </w:rPr>
              <w:t>As of December 31,</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72"/>
              <w:spacing w:after="0" w:line="155" w:lineRule="exact"/>
              <w:rPr>
                <w:sz w:val="20"/>
                <w:szCs w:val="20"/>
                <w:color w:val="auto"/>
              </w:rPr>
            </w:pPr>
            <w:r>
              <w:rPr>
                <w:rFonts w:ascii="Arial" w:cs="Arial" w:eastAsia="Arial" w:hAnsi="Arial"/>
                <w:sz w:val="14"/>
                <w:szCs w:val="14"/>
                <w:b w:val="1"/>
                <w:bCs w:val="1"/>
                <w:color w:val="auto"/>
                <w:w w:val="89"/>
              </w:rPr>
              <w:t>2014</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24,118</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22,077</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11,669</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37,906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(330,293)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(319,427)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(310,582)</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(301,387)</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(297,320)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32,753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25,426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14,880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6"/>
        </w:trPr>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“Item 6. Selected Financial Data” and the consolidated financial statements and related notes included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220" w:firstLine="598"/>
        <w:spacing w:after="0" w:line="308" w:lineRule="auto"/>
        <w:rPr>
          <w:sz w:val="20"/>
          <w:szCs w:val="20"/>
          <w:color w:val="auto"/>
        </w:rPr>
      </w:pPr>
      <w:r>
        <w:rPr>
          <w:rFonts w:ascii="Arial" w:cs="Arial" w:eastAsia="Arial" w:hAnsi="Arial"/>
          <w:sz w:val="17"/>
          <w:szCs w:val="17"/>
          <w:color w:val="auto"/>
        </w:rPr>
        <w:t>We are a biopharmaceutical company focused on acquiring and developing novel, small molecule therapeutics for the treatment of serious diseases with unmet medical needs and a commercial focus on the U.S. market. We were incorporated in Delaware in September 2000.</w:t>
      </w:r>
    </w:p>
    <w:p>
      <w:pPr>
        <w:spacing w:after="0" w:line="147"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We have incurred significant net losses since our inception. For the year ended December 31, 2016, we had a net loss of $10.9 million. At December 31, 2016, from inception, our accumulated deficit was $330.3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87" w:lineRule="exact"/>
        <w:rPr>
          <w:sz w:val="20"/>
          <w:szCs w:val="20"/>
          <w:color w:val="auto"/>
        </w:rPr>
      </w:pPr>
    </w:p>
    <w:p>
      <w:pPr>
        <w:ind w:right="80" w:firstLine="598"/>
        <w:spacing w:after="0" w:line="302" w:lineRule="auto"/>
        <w:rPr>
          <w:sz w:val="20"/>
          <w:szCs w:val="20"/>
          <w:color w:val="auto"/>
        </w:rPr>
      </w:pPr>
      <w:r>
        <w:rPr>
          <w:rFonts w:ascii="Arial" w:cs="Arial" w:eastAsia="Arial" w:hAnsi="Arial"/>
          <w:sz w:val="16"/>
          <w:szCs w:val="16"/>
          <w:color w:val="auto"/>
        </w:rPr>
        <w:t>Our current strategy is to focus our development activities on MN-166 (ibudilast) for neurological disorders such as progressive multiple sclerosis (MS), amyotrophic lateral sclerosis (ALS) and substance dependence and addiction (</w:t>
      </w:r>
      <w:r>
        <w:rPr>
          <w:rFonts w:ascii="Arial" w:cs="Arial" w:eastAsia="Arial" w:hAnsi="Arial"/>
          <w:sz w:val="16"/>
          <w:szCs w:val="16"/>
          <w:i w:val="1"/>
          <w:iCs w:val="1"/>
          <w:color w:val="auto"/>
        </w:rPr>
        <w:t>e.g.,</w:t>
      </w:r>
      <w:r>
        <w:rPr>
          <w:rFonts w:ascii="Arial" w:cs="Arial" w:eastAsia="Arial" w:hAnsi="Arial"/>
          <w:sz w:val="16"/>
          <w:szCs w:val="16"/>
          <w:color w:val="auto"/>
        </w:rPr>
        <w:t xml:space="preserve"> methamphetamine dependence, opioid dependence, and alcohol dependence), and MN-001 (tipelukast) for nonalcoholic steatohepatitis (NASH), idiopathic pulmonary fibrosis (IPF) and other fibrotic diseases. Our pipeline also includes MN-221 (bedoradrine) for the treatment of acute exacerbation of asthma and MN-029 (denibulin) for solid tumor cancers.</w:t>
      </w:r>
    </w:p>
    <w:p>
      <w:pPr>
        <w:spacing w:after="0" w:line="154"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We entered into an agreement to form a joint venture company with Zhejiang Medicine Co., Ltd. and Beijing Medfron Medical Technologies Co. Ltd., (formerly Beijing Make-Friend Medicine Technology Co., Ltd.) effective September 27, 2011. The joint venture agreement provides for the joint venture company, Zhejiang Sunmy Bio-Medical Co., Ltd. (Zhejiang Sunmy), to develop and commercialize MN-221 in China and search for additional compounds to develop. A sublicense would be required under which Zhejiang Sunmy would license MN-221 from us. In accordance with Zhejiang Sunmy, in March 2012 we paid $680,000 for our 30% interest in Zhejiang Sunmy. The other parties to the joint venture agreement provided funding for their combined 70% interest. In December 2013, the Board of Directors of the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As of December 31, 2016, Beijing Medfron Medical Technologies Co., Ltd. and MediciNova each have a 50% interest in Zhejiang Sunmy. No additional capital was contributed by either remaining party. We have not entered into the sublicense of MN-221 with Zhejiang Sunmy to date. There is no assurance the sublicense will be executed and there is no assurance that Zhejiang Sunmy will be able to proceed with the development of MN-221 in China.</w:t>
      </w:r>
    </w:p>
    <w:p>
      <w:pPr>
        <w:spacing w:after="0" w:line="183"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Zhejiang Sunmy is a variable interest entity for which we are not the primary beneficiary as we do not have a majority of the board seats and we will not have power to direct or significantly influence the actions of the entity. We therefore account for the activities of Zhejiang Sunmy under the equity method whereby we absorb any loss or income generated by Zhejiang Sunmy according to our percentage ownership. At December 31, 2016, we reflect a long-term asset on our consolidated balance sheet which represents our investment in Zhejiang Sunmy, net of our portion of any generated loss or income.</w:t>
      </w:r>
    </w:p>
    <w:p>
      <w:pPr>
        <w:spacing w:after="0" w:line="154"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Upon completion of proof-of-concept Phase 2 clinical trials, we intend to enter into strategic alliances with leading pharmaceutical or biotechnology companies who seek late stage product candidates to support further clinical development and product commercialization. Depending on decisions we may make as to further clinical development, we may seek to raise additional capital. We may also pursue potential partnerships and potential acquirers of license rights to our programs in markets outside the 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recognize any revenue for the years ended December 31, 2016, 2015 or 2014.</w:t>
      </w:r>
    </w:p>
    <w:p>
      <w:pPr>
        <w:spacing w:after="0" w:line="225" w:lineRule="exact"/>
        <w:rPr>
          <w:sz w:val="20"/>
          <w:szCs w:val="20"/>
          <w:color w:val="auto"/>
        </w:rPr>
      </w:pPr>
    </w:p>
    <w:p>
      <w:pPr>
        <w:ind w:right="80" w:firstLine="598"/>
        <w:spacing w:after="0" w:line="273" w:lineRule="auto"/>
        <w:rPr>
          <w:sz w:val="20"/>
          <w:szCs w:val="20"/>
          <w:color w:val="auto"/>
        </w:rPr>
      </w:pPr>
      <w:r>
        <w:rPr>
          <w:rFonts w:ascii="Arial" w:cs="Arial" w:eastAsia="Arial" w:hAnsi="Arial"/>
          <w:sz w:val="17"/>
          <w:szCs w:val="17"/>
          <w:color w:val="auto"/>
        </w:rPr>
        <w:t>In October 2011, we entered into an agreement with Kissei to perform research and development services relating to MN-221 in exchange for a non-refundable upfront payment of $2.5 million. Under the terms of the agreement, we are responsible for all costs incurred and to be incurred in the performance of these services. Certain of the development services were completed in 2013 and 2012, and the remaining services are expected to be delivered and completed at a future date. We assessed the deliverables in accordance with the authoritative guidance and concluded the existence of one deliverable, which was research and development services. The $2.5 million was initially recorded as deferred revenue of which $0.8 million was recognized through 2013. No revenue was recorded in 2016, 2015 and 2014 associated with the Kissei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140" w:firstLine="598"/>
        <w:spacing w:after="0" w:line="270" w:lineRule="auto"/>
        <w:rPr>
          <w:sz w:val="20"/>
          <w:szCs w:val="20"/>
          <w:color w:val="auto"/>
        </w:rPr>
      </w:pPr>
      <w:r>
        <w:rPr>
          <w:rFonts w:ascii="Arial" w:cs="Arial" w:eastAsia="Arial" w:hAnsi="Arial"/>
          <w:sz w:val="17"/>
          <w:szCs w:val="17"/>
          <w:color w:val="auto"/>
        </w:rPr>
        <w:t>Our research, development and patent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 costs are expensed as incurred, and we expect to increase such costs in 2017 as our development programs progress.</w:t>
      </w:r>
    </w:p>
    <w:p>
      <w:pPr>
        <w:spacing w:after="0" w:line="182"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The following table summarizes our research, development and patent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105"/>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940" w:type="dxa"/>
            <w:vAlign w:val="bottom"/>
            <w:tcBorders>
              <w:bottom w:val="single" w:sz="8" w:color="CFF0FC"/>
            </w:tcBorders>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MN-221</w:t>
            </w:r>
          </w:p>
        </w:tc>
        <w:tc>
          <w:tcPr>
            <w:tcW w:w="16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MN-166</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MN-001</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MN-029</w:t>
            </w:r>
          </w:p>
        </w:tc>
        <w:tc>
          <w:tcPr>
            <w:tcW w:w="14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ind w:left="1140"/>
              <w:spacing w:after="0"/>
              <w:rPr>
                <w:sz w:val="20"/>
                <w:szCs w:val="20"/>
                <w:color w:val="auto"/>
              </w:rPr>
            </w:pPr>
            <w:r>
              <w:rPr>
                <w:rFonts w:ascii="Arial" w:cs="Arial" w:eastAsia="Arial" w:hAnsi="Arial"/>
                <w:sz w:val="18"/>
                <w:szCs w:val="18"/>
                <w:color w:val="auto"/>
              </w:rPr>
              <w:t>Total external development expense</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R&amp;D facility expense</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Patent expense</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14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development and patent expense</w:t>
            </w:r>
          </w:p>
        </w:tc>
        <w:tc>
          <w:tcPr>
            <w:tcW w:w="14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3,260</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40" w:type="dxa"/>
            <w:vAlign w:val="bottom"/>
            <w:vMerge w:val="restart"/>
          </w:tcPr>
          <w:p>
            <w:pPr>
              <w:jc w:val="right"/>
              <w:ind w:right="650"/>
              <w:spacing w:after="0"/>
              <w:rPr>
                <w:sz w:val="20"/>
                <w:szCs w:val="20"/>
                <w:color w:val="auto"/>
              </w:rPr>
            </w:pPr>
            <w:r>
              <w:rPr>
                <w:rFonts w:ascii="Arial" w:cs="Arial" w:eastAsia="Arial" w:hAnsi="Arial"/>
                <w:sz w:val="18"/>
                <w:szCs w:val="18"/>
                <w:color w:val="auto"/>
              </w:rPr>
              <w:t>49</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51" w:name="page52"/>
    <w:bookmarkEnd w:id="51"/>
    <w:p>
      <w:pPr>
        <w:jc w:val="both"/>
        <w:ind w:right="380" w:firstLine="598"/>
        <w:spacing w:after="0" w:line="342" w:lineRule="auto"/>
        <w:rPr>
          <w:sz w:val="20"/>
          <w:szCs w:val="20"/>
          <w:color w:val="auto"/>
        </w:rPr>
      </w:pPr>
      <w:r>
        <w:rPr>
          <w:rFonts w:ascii="Arial" w:cs="Arial" w:eastAsia="Arial" w:hAnsi="Arial"/>
          <w:sz w:val="16"/>
          <w:szCs w:val="16"/>
          <w:color w:val="auto"/>
        </w:rPr>
        <w:t>Our goal is to build a sustainable biopharmaceutical business through the successful development of differentiated products for the treatment of serious diseases with unmet medical needs in high-value therapeutic areas. Our focus is on the U.S. market. Key elements of our strategy are as follows:</w:t>
      </w:r>
    </w:p>
    <w:p>
      <w:pPr>
        <w:spacing w:after="0" w:line="16" w:lineRule="exact"/>
        <w:rPr>
          <w:sz w:val="20"/>
          <w:szCs w:val="20"/>
          <w:color w:val="auto"/>
        </w:rPr>
      </w:pPr>
    </w:p>
    <w:p>
      <w:pPr>
        <w:ind w:left="1200" w:hanging="59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117" w:lineRule="exact"/>
        <w:rPr>
          <w:rFonts w:ascii="Arial" w:cs="Arial" w:eastAsia="Arial" w:hAnsi="Arial"/>
          <w:sz w:val="18"/>
          <w:szCs w:val="18"/>
          <w:color w:val="auto"/>
        </w:rPr>
      </w:pPr>
    </w:p>
    <w:p>
      <w:pPr>
        <w:ind w:left="1200" w:right="20"/>
        <w:spacing w:after="0" w:line="272" w:lineRule="auto"/>
        <w:rPr>
          <w:rFonts w:ascii="Arial" w:cs="Arial" w:eastAsia="Arial" w:hAnsi="Arial"/>
          <w:sz w:val="18"/>
          <w:szCs w:val="18"/>
          <w:color w:val="auto"/>
        </w:rPr>
      </w:pPr>
      <w:r>
        <w:rPr>
          <w:rFonts w:ascii="Arial" w:cs="Arial" w:eastAsia="Arial" w:hAnsi="Arial"/>
          <w:sz w:val="17"/>
          <w:szCs w:val="17"/>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are funding portions of the consortium-sponsored trials. For example, we have contributed financially to the Secondary and Primary Progressive Ibudilast NeuroNEXT Trial in Multiple Sclerosis (SPRINT-MS) Phase 2 clinical trial of MN-166 (ibudilast) for the treatment of progressive MS, which is primarily funded by the National Institutes of Health (NIH). In addition, we are contributing financially to the ongoing clinical trial of MN-166 (ibudilast) for the treatment of ALS as well as the ongoing ALS/Biomarker study. We intend to pursue additional strategic alliances to help further clinical development of MN-166 (ibudilast).</w:t>
      </w:r>
    </w:p>
    <w:p>
      <w:pPr>
        <w:spacing w:after="0" w:line="69" w:lineRule="exact"/>
        <w:rPr>
          <w:rFonts w:ascii="Arial" w:cs="Arial" w:eastAsia="Arial" w:hAnsi="Arial"/>
          <w:sz w:val="18"/>
          <w:szCs w:val="18"/>
          <w:color w:val="auto"/>
        </w:rPr>
      </w:pPr>
    </w:p>
    <w:p>
      <w:pPr>
        <w:ind w:left="1200" w:hanging="59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diseases such as NASH and IPF.</w:t>
      </w:r>
    </w:p>
    <w:p>
      <w:pPr>
        <w:spacing w:after="0" w:line="117" w:lineRule="exact"/>
        <w:rPr>
          <w:rFonts w:ascii="Arial" w:cs="Arial" w:eastAsia="Arial" w:hAnsi="Arial"/>
          <w:sz w:val="18"/>
          <w:szCs w:val="18"/>
          <w:color w:val="auto"/>
        </w:rPr>
      </w:pPr>
    </w:p>
    <w:p>
      <w:pPr>
        <w:ind w:left="1200" w:right="2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62" w:lineRule="exact"/>
        <w:rPr>
          <w:rFonts w:ascii="Arial" w:cs="Arial" w:eastAsia="Arial" w:hAnsi="Arial"/>
          <w:sz w:val="18"/>
          <w:szCs w:val="18"/>
          <w:color w:val="auto"/>
        </w:rPr>
      </w:pPr>
    </w:p>
    <w:p>
      <w:pPr>
        <w:ind w:left="1200" w:right="400" w:hanging="598"/>
        <w:spacing w:after="0" w:line="277" w:lineRule="auto"/>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Strategically partner with one or more leading pharmaceutical companies to complete late-stage product development and successfully commercialize our products.</w:t>
      </w:r>
    </w:p>
    <w:p>
      <w:pPr>
        <w:spacing w:after="0" w:line="62" w:lineRule="exact"/>
        <w:rPr>
          <w:rFonts w:ascii="Arial" w:cs="Arial" w:eastAsia="Arial" w:hAnsi="Arial"/>
          <w:sz w:val="18"/>
          <w:szCs w:val="18"/>
          <w:color w:val="auto"/>
        </w:rPr>
      </w:pPr>
    </w:p>
    <w:p>
      <w:pPr>
        <w:ind w:left="1200" w:right="40"/>
        <w:spacing w:after="0" w:line="312" w:lineRule="auto"/>
        <w:rPr>
          <w:rFonts w:ascii="Arial" w:cs="Arial" w:eastAsia="Arial" w:hAnsi="Arial"/>
          <w:sz w:val="18"/>
          <w:szCs w:val="18"/>
          <w:color w:val="auto"/>
        </w:rPr>
      </w:pPr>
      <w:r>
        <w:rPr>
          <w:rFonts w:ascii="Arial" w:cs="Arial" w:eastAsia="Arial" w:hAnsi="Arial"/>
          <w:sz w:val="16"/>
          <w:szCs w:val="16"/>
          <w:color w:val="auto"/>
        </w:rPr>
        <w:t>We develop and maintain relationships with pharmaceutical companies that are therapeutic category leaders. Upon completion of proof-of-concept Phase 2 clinical trials, we intend to enter into strategic alliances with leading pharmaceutical companies who seek late-stage product candidates, such as MN-166, MN-001, MN-221, and MN-029, to support further clinical development and product commercialization.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81"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7" w:lineRule="exact"/>
        <w:rPr>
          <w:sz w:val="20"/>
          <w:szCs w:val="20"/>
          <w:color w:val="auto"/>
        </w:rPr>
      </w:pPr>
    </w:p>
    <w:p>
      <w:pPr>
        <w:ind w:right="320" w:firstLine="598"/>
        <w:spacing w:after="0" w:line="308" w:lineRule="auto"/>
        <w:rPr>
          <w:sz w:val="20"/>
          <w:szCs w:val="20"/>
          <w:color w:val="auto"/>
        </w:rPr>
      </w:pPr>
      <w:r>
        <w:rPr>
          <w:rFonts w:ascii="Arial" w:cs="Arial" w:eastAsia="Arial" w:hAnsi="Arial"/>
          <w:sz w:val="17"/>
          <w:szCs w:val="17"/>
          <w:color w:val="auto"/>
        </w:rPr>
        <w:t>Other income primarily consists of interest earned on our cash and cash equivalents. In 2016, 2015 and 2014, other expense primarily consists of losses from the joint venture and net foreign exchange losses related to vendor invoices denominated in foreign currencies.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80" w:firstLine="598"/>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accounting principles generally accepted in the U.S.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are reasonable under the circumstances, the results of which form the basis for making judgments about the carrying values of assets and liabilities. Actual results may differ from these estimates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2" w:name="page53"/>
    <w:bookmarkEnd w:id="52"/>
    <w:p>
      <w:pPr>
        <w:ind w:right="100" w:firstLine="598"/>
        <w:spacing w:after="0" w:line="276" w:lineRule="auto"/>
        <w:rPr>
          <w:sz w:val="20"/>
          <w:szCs w:val="20"/>
          <w:color w:val="auto"/>
        </w:rPr>
      </w:pPr>
      <w:r>
        <w:rPr>
          <w:rFonts w:ascii="Arial" w:cs="Arial" w:eastAsia="Arial" w:hAnsi="Arial"/>
          <w:sz w:val="17"/>
          <w:szCs w:val="17"/>
          <w:color w:val="auto"/>
        </w:rPr>
        <w:t>Our significant accounting policies are more fully described in Note 1 to our consolidated financial statements included elsewhere in this Annual Report on Form 10-K. Our most critical accounting estimates include research, development and patent expenses which impacts operating expenses and accrued liabilities, share-based compensation which impacts operating expenses and goodwill and purchased intangibles. We review our estimates and assumptions periodically and reflect the effects of revisions in the period in which they are deemed to be necessary. We believe that the following accounting policies are critical to the judgments and estimates used in preparation of our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360" w:firstLine="598"/>
        <w:spacing w:after="0" w:line="286" w:lineRule="auto"/>
        <w:rPr>
          <w:sz w:val="20"/>
          <w:szCs w:val="20"/>
          <w:color w:val="auto"/>
        </w:rPr>
      </w:pPr>
      <w:r>
        <w:rPr>
          <w:rFonts w:ascii="Arial" w:cs="Arial" w:eastAsia="Arial" w:hAnsi="Arial"/>
          <w:sz w:val="17"/>
          <w:szCs w:val="17"/>
          <w:color w:val="auto"/>
        </w:rPr>
        <w:t>Research, development and patent costs are expensed as incurred based on certain contractual factors such as estimates of work performed, milestones achieved, patient enrollment and experience with similar contracts. As actual costs become known, accruals are adjusted. To date, our accrued research, development and patent expenses have not differed significantly from the actual expenses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40" w:firstLine="598"/>
        <w:spacing w:after="0" w:line="288" w:lineRule="auto"/>
        <w:rPr>
          <w:sz w:val="20"/>
          <w:szCs w:val="20"/>
          <w:color w:val="auto"/>
        </w:rPr>
      </w:pPr>
      <w:r>
        <w:rPr>
          <w:rFonts w:ascii="Arial" w:cs="Arial" w:eastAsia="Arial" w:hAnsi="Arial"/>
          <w:sz w:val="16"/>
          <w:szCs w:val="16"/>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 purchase common stock through payroll deduction at the lower of 85% of fair market value at the beginning of the offering period or the end of each six-month offering period. The benefits provided under all of these plans requires share-based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subsequently based on a determination made by our board of directors as to the achievement of certain corporate objectives. The grant date of such awards is the date on which our board of directors makes its determination. For periods preceding the grant date, the cost of these awards is measured according to their fair value at each reporting date.</w:t>
      </w:r>
    </w:p>
    <w:p>
      <w:pPr>
        <w:spacing w:after="0" w:line="169"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Valuation of our stock option grants requires us to estimate certain variables, such as estimated volatility and expected life. If any of our estimations change, such changes could have a significant impact on the share-based compensation amount we recognize.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7"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Goodwill is recorded when the consideration paid for an acquisition exceeds the fair value of the identified net tangible and intangible assets of acquired businesses. The allocation of purchase price for acquisitions require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judgment. These judgments can significantly affect our net operating results. Goodwill and In-Process Research and Development, or IPR&amp;D are considered to have indefinite lives and are carried at cost. As of December 31, 2016 and 2015, we have goodwill and IPR&amp;D, of $9.6 million and $4.8 million, respectively.</w:t>
      </w:r>
    </w:p>
    <w:p>
      <w:pPr>
        <w:spacing w:after="0" w:line="274"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 xml:space="preserve">At least annually in the fourth quarter, or more frequently if indicators of impairment exist, we complete an impairment test for goodwill and purchased indefinite life intangibles. </w:t>
      </w:r>
      <w:r>
        <w:rPr>
          <w:rFonts w:ascii="Arial" w:cs="Arial" w:eastAsia="Arial" w:hAnsi="Arial"/>
          <w:sz w:val="14"/>
          <w:szCs w:val="14"/>
          <w:color w:val="auto"/>
        </w:rPr>
        <w:t>The</w:t>
      </w:r>
      <w:r>
        <w:rPr>
          <w:rFonts w:ascii="Arial" w:cs="Arial" w:eastAsia="Arial" w:hAnsi="Arial"/>
          <w:sz w:val="18"/>
          <w:szCs w:val="18"/>
          <w:color w:val="auto"/>
        </w:rPr>
        <w:t xml:space="preserve"> impairment evaluation is performed assuming that the Company operates in a single operating segment and reporting unit. When impaired, the carrying value of goodwill is written down to fair value. The goodwill impairment test involves consideration of qualitative information to determine if it is more likely than not, that the fair value of a reporting unit is less than its carrying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ind w:right="200"/>
        <w:spacing w:after="0" w:line="255" w:lineRule="auto"/>
        <w:rPr>
          <w:sz w:val="20"/>
          <w:szCs w:val="20"/>
          <w:color w:val="auto"/>
        </w:rPr>
      </w:pPr>
      <w:r>
        <w:rPr>
          <w:rFonts w:ascii="Arial" w:cs="Arial" w:eastAsia="Arial" w:hAnsi="Arial"/>
          <w:sz w:val="18"/>
          <w:szCs w:val="18"/>
          <w:color w:val="auto"/>
        </w:rPr>
        <w:t>value. If such a determination is made, then the traditional two-step goodwill impairment test is applied.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 There was no impairment of goodwill for all periods presented.</w:t>
      </w:r>
    </w:p>
    <w:p>
      <w:pPr>
        <w:spacing w:after="0" w:line="193"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The impact of recent accounting pronouncements is more fully described in Note 1 of our consolidated financial statements included elsewhere in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recognize any revenue for the years ended December 31, 2016 and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jc w:val="both"/>
        <w:ind w:right="20" w:firstLine="598"/>
        <w:spacing w:after="0" w:line="308" w:lineRule="auto"/>
        <w:rPr>
          <w:sz w:val="20"/>
          <w:szCs w:val="20"/>
          <w:color w:val="auto"/>
        </w:rPr>
      </w:pPr>
      <w:r>
        <w:rPr>
          <w:rFonts w:ascii="Arial" w:cs="Arial" w:eastAsia="Arial" w:hAnsi="Arial"/>
          <w:sz w:val="17"/>
          <w:szCs w:val="17"/>
          <w:color w:val="auto"/>
        </w:rPr>
        <w:t>Research, development and patent expenses for the year ended December 31, 2016 increased by $0.5 million as compared to the same period in 2015, primarily due to higher stock compensation expense for performance-based stock options due in part to an increase in our stock price.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General and administrative expenses for the year ended December 31, 2016 increased by $1.6 million compared to the same period in 2015, primarily due to higher stock compensation expense for performance-based stock options due to an increase in our stock price as well as an increase in legal fees related to corporate matters.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Other expense for the years ended 2016 and 2015 was approximately $47,000 and $54,000, respectively. Other expense consisted of losses from the joint venture accounted for under the equity method according to our percentage ownership, and net transaction losses related to vendor invoices denominated in foreign currencies. The decrease in other expense is primarily due to the fluctuation of the exchange rate for the Chinese Yuan Renminbi resulting in additional loss in the joint venture translation for 2016 and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income for the year ended December 31, 2016 was approximately $67,000, as compared to approximately $39,000 for the same period in 2015.</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Other income consisted of interest income on our cash and cash equivalents in 2016 and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recognize any revenue for the years ended December 31, 2015 and 2014.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jc w:val="both"/>
        <w:ind w:right="160" w:firstLine="598"/>
        <w:spacing w:after="0" w:line="264" w:lineRule="auto"/>
        <w:rPr>
          <w:sz w:val="20"/>
          <w:szCs w:val="20"/>
          <w:color w:val="auto"/>
        </w:rPr>
      </w:pPr>
      <w:r>
        <w:rPr>
          <w:rFonts w:ascii="Arial" w:cs="Arial" w:eastAsia="Arial" w:hAnsi="Arial"/>
          <w:sz w:val="18"/>
          <w:szCs w:val="18"/>
          <w:color w:val="auto"/>
        </w:rPr>
        <w:t>Research, development and patent expenses for the year ended December 31, 2015 decreased by $0.3 million compared to the same period in 2014. The decrease is primarily due to a decrease in costs associated with MN-166 and MN-001, offset partially by an increase in stock compensation expense for performance-based stock options in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General and administrative expenses for the year ended December 31, 2015 decreased by $0.2 million compared to the same period in 2014, primarily due to a decrease in professional fees of $0.1 million along with a $100,000 payment received from a vendor to offset the cost of manufactured drug product that was inadvertently destroyed by the vendor, which was offset against general and administrative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Other expense for the years ended 2015 and 2014 was approximately $54,000 and $13,000, respectively. Other expense consisted of losses from the joint venture accounted for under the equity method according to our percentage ownership, and net transaction losses related to vendor invoices denominated in foreign currencies. The increase in other expense is primarily due to the fluctuation of the exchange rate for the Chinese Yuan Renminbi resulting in additional loss in the joint venture translation for 2015 and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income for the year ended December 31, 2015 was approximately $39,000, as compared to approximately $37,000 for the same period in 2014.</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Other income consisted of interest income on our cash and cash equivalents in 2015 and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We incurred losses of $10.9 million, $8.8 million, and $9.2 million for the years ended December 31, 2016, 2015, and 2014, respectively. At December 31, 2016, our accumulated deficit was $330.3 million. Our operating losses to date have been funded primarily through the private placement of our equity securities, the public sale of our common stock, long-term debt, development agreements with partners and the exercise of founder’s warrants, net of treasury stock repurchases.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shows a summary of our cash flows for the years ended December 31:</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Borders>
              <w:bottom w:val="single" w:sz="8" w:color="CFF0FC"/>
            </w:tcBorders>
          </w:tcPr>
          <w:p>
            <w:pPr>
              <w:spacing w:after="0"/>
              <w:rPr>
                <w:sz w:val="14"/>
                <w:szCs w:val="14"/>
                <w:color w:val="auto"/>
              </w:rPr>
            </w:pPr>
          </w:p>
        </w:tc>
        <w:tc>
          <w:tcPr>
            <w:tcW w:w="15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Operating activities</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(6,546)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(7,152)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Financing</w:t>
      </w:r>
    </w:p>
    <w:p>
      <w:pPr>
        <w:spacing w:after="0" w:line="117"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On May 22, 2015, we entered into an at-the-market issuance sales agreement (the “ATM Agreement”) with MLV &amp; Co. LLC, or MLV, pursuant to which we may sell common stock through MLV from time to time up to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5" w:name="page56"/>
    <w:bookmarkEnd w:id="55"/>
    <w:p>
      <w:pPr>
        <w:spacing w:after="0" w:line="255" w:lineRule="auto"/>
        <w:rPr>
          <w:sz w:val="20"/>
          <w:szCs w:val="20"/>
          <w:color w:val="auto"/>
        </w:rPr>
      </w:pPr>
      <w:r>
        <w:rPr>
          <w:rFonts w:ascii="Arial" w:cs="Arial" w:eastAsia="Arial" w:hAnsi="Arial"/>
          <w:sz w:val="18"/>
          <w:szCs w:val="18"/>
          <w:color w:val="auto"/>
        </w:rPr>
        <w:t>aggregate offering price of $30.0 million. Sales of our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our prior approval. We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We are not obligated to make any sales of common stock under the sales agreement and may terminate the sales agreement at any time upon written notice.</w:t>
      </w:r>
    </w:p>
    <w:p>
      <w:pPr>
        <w:spacing w:after="0" w:line="189" w:lineRule="exact"/>
        <w:rPr>
          <w:sz w:val="20"/>
          <w:szCs w:val="20"/>
          <w:color w:val="auto"/>
        </w:rPr>
      </w:pPr>
    </w:p>
    <w:p>
      <w:pPr>
        <w:ind w:right="380" w:firstLine="598"/>
        <w:spacing w:after="0" w:line="264" w:lineRule="auto"/>
        <w:rPr>
          <w:sz w:val="20"/>
          <w:szCs w:val="20"/>
          <w:color w:val="auto"/>
        </w:rPr>
      </w:pPr>
      <w:r>
        <w:rPr>
          <w:rFonts w:ascii="Arial" w:cs="Arial" w:eastAsia="Arial" w:hAnsi="Arial"/>
          <w:sz w:val="18"/>
          <w:szCs w:val="18"/>
          <w:color w:val="auto"/>
        </w:rPr>
        <w:t>On August 24, 2015, we completed a firm-commitment underwritten public offering of 5,000,000 shares of common stock at a purchase price of $3.50 per share for gross proceeds of $17.5 million, and received net proceeds of approximately $16.0 million, net of underwriting discounts and commissions and offering expenses.</w:t>
      </w:r>
    </w:p>
    <w:p>
      <w:pPr>
        <w:spacing w:after="0" w:line="181" w:lineRule="exact"/>
        <w:rPr>
          <w:sz w:val="20"/>
          <w:szCs w:val="20"/>
          <w:color w:val="auto"/>
        </w:rPr>
      </w:pPr>
    </w:p>
    <w:p>
      <w:pPr>
        <w:ind w:right="40" w:firstLine="598"/>
        <w:spacing w:after="0" w:line="258" w:lineRule="auto"/>
        <w:rPr>
          <w:sz w:val="20"/>
          <w:szCs w:val="20"/>
          <w:color w:val="auto"/>
        </w:rPr>
      </w:pPr>
      <w:r>
        <w:rPr>
          <w:rFonts w:ascii="Arial" w:cs="Arial" w:eastAsia="Arial" w:hAnsi="Arial"/>
          <w:sz w:val="18"/>
          <w:szCs w:val="18"/>
          <w:color w:val="auto"/>
        </w:rPr>
        <w:t>On September 16, 2016, we entered into an amendment No. 1 to the ATM Agreement with MLV to also include FBR Capital Markets &amp; Co (“FBR”) as a sales agent.</w:t>
      </w:r>
    </w:p>
    <w:p>
      <w:pPr>
        <w:spacing w:after="0" w:line="1" w:lineRule="exact"/>
        <w:rPr>
          <w:sz w:val="20"/>
          <w:szCs w:val="20"/>
          <w:color w:val="auto"/>
        </w:rPr>
      </w:pPr>
    </w:p>
    <w:p>
      <w:pPr>
        <w:ind w:right="80" w:firstLine="598"/>
        <w:spacing w:after="0" w:line="254" w:lineRule="auto"/>
        <w:rPr>
          <w:sz w:val="20"/>
          <w:szCs w:val="20"/>
          <w:color w:val="auto"/>
        </w:rPr>
      </w:pPr>
      <w:r>
        <w:rPr>
          <w:rFonts w:ascii="Arial" w:cs="Arial" w:eastAsia="Arial" w:hAnsi="Arial"/>
          <w:sz w:val="18"/>
          <w:szCs w:val="18"/>
          <w:color w:val="auto"/>
        </w:rPr>
        <w:t>For the year ended December 31, 2016, we generated gross proceeds of $264,000 from sales of our common stock under the ATM Agreement and incurred issuance costs of $95,000 on sales of 36,248 shares of our common stock at prices ranging from $6.90 to $7.54 per share. For the year ended December 31, 2015, we generated gross proceeds of $32,700 and incurred issuance costs of $121,500 on sales of 7,800 shares of our common stock at prices ranging from $4.16 to $4.23 per share.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right="340" w:firstLine="598"/>
        <w:spacing w:after="0" w:line="308" w:lineRule="auto"/>
        <w:rPr>
          <w:sz w:val="20"/>
          <w:szCs w:val="20"/>
          <w:color w:val="auto"/>
        </w:rPr>
      </w:pPr>
      <w:r>
        <w:rPr>
          <w:rFonts w:ascii="Arial" w:cs="Arial" w:eastAsia="Arial" w:hAnsi="Arial"/>
          <w:sz w:val="17"/>
          <w:szCs w:val="17"/>
          <w:color w:val="auto"/>
        </w:rPr>
        <w:t>During the year ended December 31, 2016, 2,131,700 warrants were exercised for gross proceeds of $7.6 million with 207,600 warrants expiring unexercised. During the year ended December 31, 2015, 252,200 warrants were exercised for gross proceeds of $0.9 million.</w:t>
      </w:r>
    </w:p>
    <w:p>
      <w:pPr>
        <w:spacing w:after="0" w:line="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2016, we have the following warrants outstanding:</w:t>
      </w:r>
    </w:p>
    <w:p>
      <w:pPr>
        <w:spacing w:after="0" w:line="117" w:lineRule="exact"/>
        <w:rPr>
          <w:sz w:val="20"/>
          <w:szCs w:val="20"/>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198,020 common stock warrants at an exercise price of $6.06 per share, which expire on May 10, 2017;</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750,000 common stock warrants at an exercise price of $3.15 per share, which expire on May 9, 2018;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119,047 common stock warrants at an exercise price of $3.38 per share, which expire on May 9,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Financial Condition and Liquidity</w:t>
      </w:r>
    </w:p>
    <w:p>
      <w:pPr>
        <w:spacing w:after="0" w:line="121"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As of December 31, 2016, we had available cash and cash equivalents of $24.1 million and working capital of $23.1 million. As of the date of this report, we believe we have working capital sufficient to fund operations through the end of 2018.</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17" w:lineRule="exact"/>
        <w:rPr>
          <w:sz w:val="20"/>
          <w:szCs w:val="20"/>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117" w:lineRule="exact"/>
        <w:rPr>
          <w:rFonts w:ascii="Arial" w:cs="Arial" w:eastAsia="Arial" w:hAnsi="Arial"/>
          <w:sz w:val="18"/>
          <w:szCs w:val="18"/>
          <w:color w:val="auto"/>
        </w:rPr>
      </w:pPr>
    </w:p>
    <w:p>
      <w:pPr>
        <w:ind w:left="1200" w:right="880" w:hanging="598"/>
        <w:spacing w:after="0" w:line="277" w:lineRule="auto"/>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62" w:lineRule="exact"/>
        <w:rPr>
          <w:rFonts w:ascii="Arial" w:cs="Arial" w:eastAsia="Arial" w:hAnsi="Arial"/>
          <w:sz w:val="18"/>
          <w:szCs w:val="18"/>
          <w:color w:val="auto"/>
        </w:rPr>
      </w:pPr>
    </w:p>
    <w:p>
      <w:pPr>
        <w:ind w:left="1200" w:right="360" w:hanging="598"/>
        <w:spacing w:after="0" w:line="277" w:lineRule="auto"/>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6" w:name="page57"/>
    <w:bookmarkEnd w:id="56"/>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associated with any expansion of our management, personnel, systems and facilities;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117"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Significant Contractual Obligations</w:t>
      </w:r>
    </w:p>
    <w:p>
      <w:pPr>
        <w:spacing w:after="0" w:line="117"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color w:val="auto"/>
        </w:rPr>
        <w:t>The following summarizes our scheduled long-term contractual obligations that may affect our future liquidity as of December 31, 2016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2"/>
            <w:vMerge w:val="restart"/>
          </w:tcPr>
          <w:p>
            <w:pPr>
              <w:ind w:left="1840"/>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4"/>
                <w:szCs w:val="14"/>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Less than 1</w:t>
            </w:r>
          </w:p>
        </w:tc>
        <w:tc>
          <w:tcPr>
            <w:tcW w:w="200" w:type="dxa"/>
            <w:vAlign w:val="bottom"/>
          </w:tcPr>
          <w:p>
            <w:pPr>
              <w:spacing w:after="0"/>
              <w:rPr>
                <w:sz w:val="14"/>
                <w:szCs w:val="14"/>
                <w:color w:val="auto"/>
              </w:rPr>
            </w:pPr>
          </w:p>
        </w:tc>
        <w:tc>
          <w:tcPr>
            <w:tcW w:w="820" w:type="dxa"/>
            <w:vAlign w:val="bottom"/>
          </w:tcPr>
          <w:p>
            <w:pPr>
              <w:jc w:val="right"/>
              <w:ind w:right="337"/>
              <w:spacing w:after="0"/>
              <w:rPr>
                <w:sz w:val="20"/>
                <w:szCs w:val="20"/>
                <w:color w:val="auto"/>
              </w:rPr>
            </w:pPr>
            <w:r>
              <w:rPr>
                <w:rFonts w:ascii="Arial" w:cs="Arial" w:eastAsia="Arial" w:hAnsi="Arial"/>
                <w:sz w:val="14"/>
                <w:szCs w:val="14"/>
                <w:b w:val="1"/>
                <w:bCs w:val="1"/>
                <w:color w:val="auto"/>
              </w:rPr>
              <w:t>1-3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37"/>
              <w:spacing w:after="0"/>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Year</w:t>
            </w:r>
          </w:p>
        </w:tc>
        <w:tc>
          <w:tcPr>
            <w:tcW w:w="2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Research and development services(1)</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Total(2)</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right="100" w:hanging="592"/>
        <w:spacing w:after="0" w:line="256"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October 2011, we entered into an agreement with Kissei to perform research and development services relating to MN-221 in exchange for a non-refundable upfront payment of $2.5 million. We are responsible for all costs to be incurred in the performance of these services. The estimated remaining costs to be incurred in the performance of all such remaining services are included above.</w:t>
      </w:r>
    </w:p>
    <w:p>
      <w:pPr>
        <w:ind w:left="600" w:right="140" w:hanging="592"/>
        <w:spacing w:after="0" w:line="302" w:lineRule="auto"/>
        <w:tabs>
          <w:tab w:leader="none" w:pos="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also enter into agreements with third parties to conduct our clinical trials, manufacture our product candidates, and perform data collection, analysis and other services in connection with our product development programs. As our payment obligations under these agreements depend upon the progress of our product development programs, we are unable at this time to estimate the future costs we might incur under these agreements.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At December 31, 2016,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or other contractually narrow or limited purposes.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4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24" w:right="1440"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 Jolla, California</w:t>
      </w:r>
    </w:p>
    <w:p>
      <w:pPr>
        <w:spacing w:after="0" w:line="10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consolidated balance sheets of MediciNova, Inc. (“Company”) as of December 31, 2016 and 2015 and the related consolidated statements of operations and comprehensive loss, stockholders’ equity, and cash flows for the years then ended. These financial statements are the responsibility of the Company’s management. Our responsibility is to express an opinion on these financial statements based on our audits.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MediciNova, Inc. at December 31, 2016 and 2015, and the results of its operations and its cash flows for the years then ended, in conformity with accounting principles generally accepted in the United States of America.</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MediciNova, Inc.’s internal control over financial reporting as of December 31, 2016,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February 14, 2017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2017</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ind w:left="346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MediciNova, Inc.</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have audited the accompanying consolidated statement of operations and comprehensive loss, stockholders’ equity, and cash flows of MediciNova, Inc. for the year ended December 31, 2014. These financial statements are the responsibility of the Company’s management. Our responsibility is to express an opinion on these financial statements based on our audit.</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results of operations and cash flows of MediciNova, Inc. for the year ended December 31, 2014, in conformity with U.S. generally accepted accounting principles.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2015</w:t>
      </w: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6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24,118,037</w:t>
            </w: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22,076,749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 and other current assets</w:t>
            </w:r>
          </w:p>
        </w:tc>
        <w:tc>
          <w:tcPr>
            <w:tcW w:w="1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585,810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649,457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24,703,847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22,726,206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Goodwill</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9,600,240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9,600,240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618,330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Other long-term assets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108,977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39,813,134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37,906,323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367,275</w:t>
            </w:r>
          </w:p>
        </w:tc>
        <w:tc>
          <w:tcPr>
            <w:tcW w:w="160" w:type="dxa"/>
            <w:vAlign w:val="bottom"/>
          </w:tcPr>
          <w:p>
            <w:pPr>
              <w:spacing w:after="0"/>
              <w:rPr>
                <w:sz w:val="19"/>
                <w:szCs w:val="19"/>
                <w:color w:val="auto"/>
              </w:rPr>
            </w:pPr>
          </w:p>
        </w:tc>
        <w:tc>
          <w:tcPr>
            <w:tcW w:w="56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170,786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1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1,262,800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1,319,720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1,630,075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1,490,506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Long-term deferred rent and lease liability</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1,956,000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1,956,000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Long-term deferred revenue</w:t>
            </w:r>
          </w:p>
        </w:tc>
        <w:tc>
          <w:tcPr>
            <w:tcW w:w="1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Total liabilities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5,281,205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5,153,349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Stockholders’ equity:</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$0.01 par value; 3,000,000 shares authorized at</w:t>
            </w: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2016 and December 31, 2015; 0 shares and</w:t>
            </w: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220,000 shares outstanding at December 31, 2016 and</w:t>
            </w: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2015, respectively</w:t>
            </w:r>
          </w:p>
        </w:tc>
        <w:tc>
          <w:tcPr>
            <w:tcW w:w="1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760" w:type="dxa"/>
            <w:vAlign w:val="bottom"/>
          </w:tcPr>
          <w:p>
            <w:pPr>
              <w:ind w:left="260"/>
              <w:spacing w:after="0"/>
              <w:rPr>
                <w:sz w:val="20"/>
                <w:szCs w:val="20"/>
                <w:color w:val="auto"/>
              </w:rPr>
            </w:pPr>
            <w:r>
              <w:rPr>
                <w:rFonts w:ascii="Arial" w:cs="Arial" w:eastAsia="Arial" w:hAnsi="Arial"/>
                <w:sz w:val="18"/>
                <w:szCs w:val="18"/>
                <w:color w:val="auto"/>
              </w:rPr>
              <w:t>Common stock, $0.001 par value; 100,000,000 shares authorized at</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80"/>
              <w:spacing w:after="0"/>
              <w:rPr>
                <w:sz w:val="20"/>
                <w:szCs w:val="20"/>
                <w:color w:val="auto"/>
              </w:rPr>
            </w:pPr>
            <w:r>
              <w:rPr>
                <w:rFonts w:ascii="Arial" w:cs="Arial" w:eastAsia="Arial" w:hAnsi="Arial"/>
                <w:sz w:val="18"/>
                <w:szCs w:val="18"/>
                <w:color w:val="auto"/>
              </w:rPr>
              <w:t>December 31, 2016 and December 31, 2015; 34,523,678 and 29,956,495</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80"/>
              <w:spacing w:after="0"/>
              <w:rPr>
                <w:sz w:val="20"/>
                <w:szCs w:val="20"/>
                <w:color w:val="auto"/>
              </w:rPr>
            </w:pPr>
            <w:r>
              <w:rPr>
                <w:rFonts w:ascii="Arial" w:cs="Arial" w:eastAsia="Arial" w:hAnsi="Arial"/>
                <w:sz w:val="18"/>
                <w:szCs w:val="18"/>
                <w:color w:val="auto"/>
              </w:rPr>
              <w:t>shares issued and outstanding at December 31, 2016 and</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380"/>
              <w:spacing w:after="0"/>
              <w:rPr>
                <w:sz w:val="20"/>
                <w:szCs w:val="20"/>
                <w:color w:val="auto"/>
              </w:rPr>
            </w:pPr>
            <w:r>
              <w:rPr>
                <w:rFonts w:ascii="Arial" w:cs="Arial" w:eastAsia="Arial" w:hAnsi="Arial"/>
                <w:sz w:val="18"/>
                <w:szCs w:val="18"/>
                <w:color w:val="auto"/>
              </w:rPr>
              <w:t>December 31, 2015, respectively</w:t>
            </w: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34,525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364,886,468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352,250,667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(96,000)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(102,765)</w:t>
            </w: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(330,293,064)</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(319,427,085)</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1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34,531,929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32,752,974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39,813,134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37,906,323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Years ended December 31,</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20" w:type="dxa"/>
            <w:vAlign w:val="bottom"/>
            <w:tcBorders>
              <w:bottom w:val="single" w:sz="8" w:color="CFF0FC"/>
            </w:tcBorders>
          </w:tcPr>
          <w:p>
            <w:pPr>
              <w:spacing w:after="0"/>
              <w:rPr>
                <w:sz w:val="13"/>
                <w:szCs w:val="13"/>
                <w:color w:val="auto"/>
              </w:rPr>
            </w:pPr>
          </w:p>
        </w:tc>
        <w:tc>
          <w:tcPr>
            <w:tcW w:w="1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500"/>
              <w:spacing w:after="0"/>
              <w:rPr>
                <w:sz w:val="20"/>
                <w:szCs w:val="20"/>
                <w:color w:val="auto"/>
              </w:rPr>
            </w:pPr>
            <w:r>
              <w:rPr>
                <w:rFonts w:ascii="Arial" w:cs="Arial" w:eastAsia="Arial" w:hAnsi="Arial"/>
                <w:sz w:val="18"/>
                <w:szCs w:val="18"/>
                <w:color w:val="auto"/>
              </w:rPr>
              <w:t>Research, development and patent</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3,519,172</w:t>
            </w:r>
          </w:p>
        </w:tc>
        <w:tc>
          <w:tcPr>
            <w:tcW w:w="80" w:type="dxa"/>
            <w:vAlign w:val="bottom"/>
          </w:tcPr>
          <w:p>
            <w:pPr>
              <w:spacing w:after="0"/>
              <w:rPr>
                <w:sz w:val="19"/>
                <w:szCs w:val="19"/>
                <w:color w:val="auto"/>
              </w:rPr>
            </w:pP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3,017,169</w:t>
            </w:r>
          </w:p>
        </w:tc>
        <w:tc>
          <w:tcPr>
            <w:tcW w:w="200" w:type="dxa"/>
            <w:vAlign w:val="bottom"/>
          </w:tcPr>
          <w:p>
            <w:pPr>
              <w:spacing w:after="0"/>
              <w:rPr>
                <w:sz w:val="19"/>
                <w:szCs w:val="19"/>
                <w:color w:val="auto"/>
              </w:rPr>
            </w:pP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3,259,694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General and administrative</w:t>
            </w:r>
          </w:p>
        </w:tc>
        <w:tc>
          <w:tcPr>
            <w:tcW w:w="1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7,362,662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5,805,217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5,963,317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10,881,834</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8,822,386</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9,223,011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(10,881,834)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(8,822,386)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(9,223,011)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Other expense</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(46,584)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(54,206)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(12,518)</w:t>
            </w: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(514)</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1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66,647</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39,386</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(10,862,225)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(8,837,720)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(9,199,264)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(3,754)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(7,359)</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(10,865,979)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(8,845,079)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(9,195,292)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5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32,986,740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26,578,770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24,067,781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(10,865,979)</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(8,845,079)</w:t>
            </w: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(9,195,292)</w:t>
            </w: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(1,788)</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(20,174)</w:t>
            </w: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(10,859,214)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(8,846,867)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(9,215,466)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80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rPr>
              <w:t>Preferred stock</w:t>
            </w:r>
          </w:p>
        </w:tc>
        <w:tc>
          <w:tcPr>
            <w:tcW w:w="1660" w:type="dxa"/>
            <w:vAlign w:val="bottom"/>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other</w:t>
            </w:r>
          </w:p>
        </w:tc>
        <w:tc>
          <w:tcPr>
            <w:tcW w:w="100" w:type="dxa"/>
            <w:vAlign w:val="bottom"/>
          </w:tcPr>
          <w:p>
            <w:pPr>
              <w:spacing w:after="0"/>
              <w:rPr>
                <w:sz w:val="12"/>
                <w:szCs w:val="12"/>
                <w:color w:val="auto"/>
              </w:rPr>
            </w:pPr>
          </w:p>
        </w:tc>
        <w:tc>
          <w:tcPr>
            <w:tcW w:w="118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800" w:type="dxa"/>
            <w:vAlign w:val="bottom"/>
            <w:gridSpan w:val="5"/>
            <w:vMerge w:val="continue"/>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paid-in</w:t>
            </w: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312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3"/>
                <w:szCs w:val="13"/>
                <w:color w:val="auto"/>
              </w:rPr>
            </w:pPr>
          </w:p>
        </w:tc>
        <w:tc>
          <w:tcPr>
            <w:tcW w:w="74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3"/>
                <w:szCs w:val="13"/>
                <w:color w:val="auto"/>
              </w:rPr>
            </w:pPr>
          </w:p>
        </w:tc>
        <w:tc>
          <w:tcPr>
            <w:tcW w:w="92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78"/>
              </w:rPr>
              <w:t>loss</w:t>
            </w:r>
          </w:p>
        </w:tc>
        <w:tc>
          <w:tcPr>
            <w:tcW w:w="100" w:type="dxa"/>
            <w:vAlign w:val="bottom"/>
          </w:tcPr>
          <w:p>
            <w:pPr>
              <w:spacing w:after="0"/>
              <w:rPr>
                <w:sz w:val="13"/>
                <w:szCs w:val="13"/>
                <w:color w:val="auto"/>
              </w:rPr>
            </w:pPr>
          </w:p>
        </w:tc>
        <w:tc>
          <w:tcPr>
            <w:tcW w:w="1180" w:type="dxa"/>
            <w:vAlign w:val="bottom"/>
            <w:gridSpan w:val="2"/>
          </w:tcPr>
          <w:p>
            <w:pPr>
              <w:jc w:val="right"/>
              <w:ind w:right="488"/>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6"/>
        </w:trPr>
        <w:tc>
          <w:tcPr>
            <w:tcW w:w="312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2013</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220,000</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2,200.00</w:t>
            </w: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22,495,443</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22,495.00</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2"/>
              </w:rPr>
              <w:t>326,868,578.00</w:t>
            </w:r>
          </w:p>
        </w:tc>
        <w:tc>
          <w:tcPr>
            <w:tcW w:w="2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5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(80,803.00)</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9"/>
              </w:rPr>
              <w:t>(301,386,714.00)</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3"/>
              </w:rPr>
              <w:t>25,425,756.00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1,638,038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1,638,038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for option exercises</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51,330</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51,350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20" w:type="dxa"/>
            <w:vAlign w:val="bottom"/>
          </w:tcPr>
          <w:p>
            <w:pPr>
              <w:spacing w:after="0" w:line="143" w:lineRule="exact"/>
              <w:rPr>
                <w:sz w:val="20"/>
                <w:szCs w:val="20"/>
                <w:color w:val="auto"/>
              </w:rPr>
            </w:pPr>
            <w:r>
              <w:rPr>
                <w:rFonts w:ascii="Arial" w:cs="Arial" w:eastAsia="Arial" w:hAnsi="Arial"/>
                <w:sz w:val="14"/>
                <w:szCs w:val="14"/>
                <w:color w:val="auto"/>
              </w:rPr>
              <w:t>Issuance of shares under an employee stock</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tcPr>
          <w:p>
            <w:pPr>
              <w:spacing w:after="0"/>
              <w:rPr>
                <w:sz w:val="20"/>
                <w:szCs w:val="20"/>
                <w:color w:val="auto"/>
              </w:rPr>
            </w:pPr>
            <w:r>
              <w:rPr>
                <w:rFonts w:ascii="Arial" w:cs="Arial" w:eastAsia="Arial" w:hAnsi="Arial"/>
                <w:sz w:val="14"/>
                <w:szCs w:val="14"/>
                <w:color w:val="auto"/>
              </w:rPr>
              <w:t>purchase plan</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33,374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60,422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60,456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under at-the-market</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equity distribution</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and sales agreements</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1,785,000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3,683,770</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3,685,555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Exercise of warrants</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102,500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364,797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364,900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(9,195,292)</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(9,195,292)</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(20,174)</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(20,174)</w:t>
            </w:r>
          </w:p>
        </w:tc>
        <w:tc>
          <w:tcPr>
            <w:tcW w:w="0" w:type="dxa"/>
            <w:vAlign w:val="bottom"/>
          </w:tcPr>
          <w:p>
            <w:pPr>
              <w:spacing w:after="0"/>
              <w:rPr>
                <w:sz w:val="1"/>
                <w:szCs w:val="1"/>
                <w:color w:val="auto"/>
              </w:rPr>
            </w:pPr>
          </w:p>
        </w:tc>
      </w:tr>
      <w:tr>
        <w:trPr>
          <w:trHeight w:val="156"/>
        </w:trPr>
        <w:tc>
          <w:tcPr>
            <w:tcW w:w="312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2014</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220,000</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2,200</w:t>
            </w: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24,436,317</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24,437</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332,666,935</w:t>
            </w:r>
          </w:p>
        </w:tc>
        <w:tc>
          <w:tcPr>
            <w:tcW w:w="2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(100,977)</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(310,582,006)</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22,010,589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2,025,500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2,025,500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shares under an employee stock</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purchase plan</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35,178</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89,874</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89,909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2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at-the-market</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equity distribution</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20"/>
              <w:spacing w:after="0"/>
              <w:rPr>
                <w:sz w:val="20"/>
                <w:szCs w:val="20"/>
                <w:color w:val="auto"/>
              </w:rPr>
            </w:pPr>
            <w:r>
              <w:rPr>
                <w:rFonts w:ascii="Arial" w:cs="Arial" w:eastAsia="Arial" w:hAnsi="Arial"/>
                <w:sz w:val="14"/>
                <w:szCs w:val="14"/>
                <w:color w:val="auto"/>
              </w:rPr>
              <w:t>and sales agreements</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232,800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607,295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607,528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net of offering costs</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5,000,000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15,988,683</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15,993,683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Exercise of warrants</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252,200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872,380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872,632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(8,845,079)</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(8,845,079)</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(1,788)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(1,788)</w:t>
            </w:r>
          </w:p>
        </w:tc>
        <w:tc>
          <w:tcPr>
            <w:tcW w:w="0" w:type="dxa"/>
            <w:vAlign w:val="bottom"/>
          </w:tcPr>
          <w:p>
            <w:pPr>
              <w:spacing w:after="0"/>
              <w:rPr>
                <w:sz w:val="1"/>
                <w:szCs w:val="1"/>
                <w:color w:val="auto"/>
              </w:rPr>
            </w:pPr>
          </w:p>
        </w:tc>
      </w:tr>
      <w:tr>
        <w:trPr>
          <w:trHeight w:val="156"/>
        </w:trPr>
        <w:tc>
          <w:tcPr>
            <w:tcW w:w="312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2015</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220,000</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2,200</w:t>
            </w:r>
          </w:p>
        </w:tc>
        <w:tc>
          <w:tcPr>
            <w:tcW w:w="20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29,956,495</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29,957</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352,250,667</w:t>
            </w:r>
          </w:p>
        </w:tc>
        <w:tc>
          <w:tcPr>
            <w:tcW w:w="2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(102,765)</w:t>
            </w:r>
          </w:p>
        </w:tc>
        <w:tc>
          <w:tcPr>
            <w:tcW w:w="1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(319,427,085)</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32,752,974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3,972,533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3,972,533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shares under an employee stock</w:t>
            </w: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purchase plan</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26,650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87,702</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12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at-the-market</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equity distribution</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120"/>
              <w:spacing w:after="0"/>
              <w:rPr>
                <w:sz w:val="20"/>
                <w:szCs w:val="20"/>
                <w:color w:val="auto"/>
              </w:rPr>
            </w:pPr>
            <w:r>
              <w:rPr>
                <w:rFonts w:ascii="Arial" w:cs="Arial" w:eastAsia="Arial" w:hAnsi="Arial"/>
                <w:sz w:val="14"/>
                <w:szCs w:val="14"/>
                <w:color w:val="auto"/>
              </w:rPr>
              <w:t>and sales agreements, net of offering costs</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36,248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159,493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159,529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Conversion of preferred stock to common stock</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(220,000)</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(2,200)</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2,200,000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Issuance of common stock for option exercises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172,585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829,353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829,526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Exercise of warrants</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2,131,700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2,132</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7,586,720</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7,588,852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Net loss</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68"/>
              <w:spacing w:after="0"/>
              <w:rPr>
                <w:sz w:val="20"/>
                <w:szCs w:val="20"/>
                <w:color w:val="auto"/>
              </w:rPr>
            </w:pPr>
            <w:r>
              <w:rPr>
                <w:rFonts w:ascii="Arial" w:cs="Arial" w:eastAsia="Arial" w:hAnsi="Arial"/>
                <w:sz w:val="14"/>
                <w:szCs w:val="14"/>
                <w:color w:val="auto"/>
              </w:rPr>
              <w:t>(10,865,979)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(10,865,979)</w:t>
            </w:r>
          </w:p>
        </w:tc>
        <w:tc>
          <w:tcPr>
            <w:tcW w:w="0" w:type="dxa"/>
            <w:vAlign w:val="bottom"/>
          </w:tcPr>
          <w:p>
            <w:pPr>
              <w:spacing w:after="0"/>
              <w:rPr>
                <w:sz w:val="1"/>
                <w:szCs w:val="1"/>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6,765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6,765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20" w:type="dxa"/>
            <w:vAlign w:val="bottom"/>
          </w:tcPr>
          <w:p>
            <w:pPr>
              <w:ind w:left="260"/>
              <w:spacing w:after="0" w:line="155" w:lineRule="exact"/>
              <w:rPr>
                <w:sz w:val="20"/>
                <w:szCs w:val="20"/>
                <w:color w:val="auto"/>
              </w:rPr>
            </w:pPr>
            <w:r>
              <w:rPr>
                <w:rFonts w:ascii="Arial" w:cs="Arial" w:eastAsia="Arial" w:hAnsi="Arial"/>
                <w:sz w:val="14"/>
                <w:szCs w:val="14"/>
                <w:color w:val="auto"/>
              </w:rPr>
              <w:t>Balance at December 31, 2016</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34,523,678</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34,525</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364,886,468</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(96,000)</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(330,293,064</w:t>
            </w:r>
          </w:p>
        </w:tc>
        <w:tc>
          <w:tcPr>
            <w:tcW w:w="200" w:type="dxa"/>
            <w:vAlign w:val="bottom"/>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34,531,929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Years ended December 31,</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(10,865,979)</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(8,845,079)</w:t>
            </w: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(9,195,292)</w:t>
            </w:r>
          </w:p>
        </w:tc>
        <w:tc>
          <w:tcPr>
            <w:tcW w:w="0" w:type="dxa"/>
            <w:vAlign w:val="bottom"/>
          </w:tcPr>
          <w:p>
            <w:pPr>
              <w:spacing w:after="0"/>
              <w:rPr>
                <w:sz w:val="1"/>
                <w:szCs w:val="1"/>
                <w:color w:val="auto"/>
              </w:rPr>
            </w:pPr>
          </w:p>
        </w:tc>
      </w:tr>
      <w:tr>
        <w:trPr>
          <w:trHeight w:val="215"/>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provided by</w:t>
            </w: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activities:</w:t>
            </w: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Non-cash share-based compensation</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3,972,533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2,025,500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1,638,038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Tax benefit from fluctuations in other comprehensive income</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(1,901)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(9,557)</w:t>
            </w: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equity method investment</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32,139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175,495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(284,538)</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1,186,352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Receivables</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6,008,553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accrued liabilities and other current</w:t>
            </w: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liabilities</w:t>
            </w: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127,373</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(109,276)</w:t>
            </w: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1,152,056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provided by operating activities</w:t>
            </w:r>
          </w:p>
        </w:tc>
        <w:tc>
          <w:tcPr>
            <w:tcW w:w="9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(6,546,213)</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(7,152,370)</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816,529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Acquisitions of property and equipment</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(84,483)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(2,320)</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(84,483)</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(2,320)</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Financing activities:</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exercise of common</w:t>
            </w: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options and warrants, net of issuance costs</w:t>
            </w: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8,577,907</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17,473,843</w:t>
            </w: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4,101,805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issuance of equity under ESPP</w:t>
            </w:r>
          </w:p>
        </w:tc>
        <w:tc>
          <w:tcPr>
            <w:tcW w:w="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87,729</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89,909</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8,665,636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17,563,752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4,162,261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Effects of foreign exchange rates on cash</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2,041,288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10,407,314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4,968,942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9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22,076,749</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11,669,435</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6,700,493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9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24,118,037</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22,076,749</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11,669,435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paid</w:t>
            </w:r>
          </w:p>
        </w:tc>
        <w:tc>
          <w:tcPr>
            <w:tcW w:w="12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6,035</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7,443</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The Company was incorporated in the state of Delaware in September 2000 and is a public company. The Company’s common stock is listed in both the U.S. and Japan and trades on The NASDAQ Global Market and the JASDAQ Market of the Tokyo Stock Exchange. The Company is a biopharmaceutical company focused on acquiring and developing novel, small molecule therapeutics for the treatment of serious diseases with unmet medical needs with a commercial focus on the U.S. market. The Company’s current strategy is to focus its development activities on MN-166 (ibudilast) for neurological disorders such as progressive multiple sclerosis (MS), amyotrophic lateral sclerosis (ALS) and substance dependence and addiction (</w:t>
      </w:r>
      <w:r>
        <w:rPr>
          <w:rFonts w:ascii="Arial" w:cs="Arial" w:eastAsia="Arial" w:hAnsi="Arial"/>
          <w:sz w:val="18"/>
          <w:szCs w:val="18"/>
          <w:i w:val="1"/>
          <w:iCs w:val="1"/>
          <w:color w:val="auto"/>
        </w:rPr>
        <w:t>e.g.,</w:t>
      </w:r>
      <w:r>
        <w:rPr>
          <w:rFonts w:ascii="Arial" w:cs="Arial" w:eastAsia="Arial" w:hAnsi="Arial"/>
          <w:sz w:val="18"/>
          <w:szCs w:val="18"/>
          <w:color w:val="auto"/>
        </w:rPr>
        <w:t xml:space="preserve"> methamphetamine dependence, opioid dependence, and alcohol dependence), and MN-001 (tipelukast) for fibrotic diseases such as nonalcoholic steatohepatitis (NASH) and idiopathic pulmonary fibrosis (IPF). The Company’s pipeline also includes MN-221 (bedoradrine) for the treatment of acute exacerbation of asthma and MN-029 (denibulin) for solid tumor cancers.</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2016, the Company had available cash and cash equivalents of $24.1 million and working capital of $23.1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80" w:firstLine="598"/>
        <w:spacing w:after="0" w:line="259"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(Europe) Limited, MediciNova Japan, Inc. and Avigen, Inc. All intercompany transactions and balances are eliminated in consolidation. MediciNova (Europe) Limited was incorporated under the laws of England in 2006. As of December 31, 2016, there have been no significant transactions related to MediciNova (Europe) Limited. MediciNova Japan, Inc. was incorporated in Japan in 2007.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Company operates in a single operating segment – the acquisition and development of small molecule therapeutics for the treatment of serious diseases with unmet medical needs.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firstLine="598"/>
        <w:spacing w:after="0" w:line="279"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(“GAAP”). 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580" w:firstLine="598"/>
        <w:spacing w:after="0" w:line="277" w:lineRule="auto"/>
        <w:rPr>
          <w:sz w:val="20"/>
          <w:szCs w:val="20"/>
          <w:color w:val="auto"/>
        </w:rPr>
      </w:pPr>
      <w:r>
        <w:rPr>
          <w:rFonts w:ascii="Arial" w:cs="Arial" w:eastAsia="Arial" w:hAnsi="Arial"/>
          <w:sz w:val="18"/>
          <w:szCs w:val="18"/>
          <w:color w:val="auto"/>
        </w:rPr>
        <w:t>Cash and cash equivalents consist of cash and other highly liquid investments with original maturities of three months or less from the date of purchase. Cash equivalents at December 31, 2016 consisted of money market funds.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and Credit Risk</w:t>
      </w:r>
    </w:p>
    <w:p>
      <w:pPr>
        <w:spacing w:after="0" w:line="117"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color w:val="auto"/>
        </w:rPr>
        <w:t>The Company maintains cash balances at various financial institutions and such balances commonly exceed the $250,000 amount insured by the Federal Deposit Insurance Corporation. The Company also maintains money market funds at various financial institutions which are not federally insured although are invested primarily in U.S. government securities. The Company has not experienced any losses in such accounts and management believes that the Company does not have significant credit risk with respect to such cash and cash equivalents.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0" w:firstLine="598"/>
        <w:spacing w:after="0" w:line="308" w:lineRule="auto"/>
        <w:rPr>
          <w:sz w:val="20"/>
          <w:szCs w:val="20"/>
          <w:color w:val="auto"/>
        </w:rPr>
      </w:pPr>
      <w:r>
        <w:rPr>
          <w:rFonts w:ascii="Arial" w:cs="Arial" w:eastAsia="Arial" w:hAnsi="Arial"/>
          <w:sz w:val="17"/>
          <w:szCs w:val="17"/>
          <w:color w:val="auto"/>
        </w:rPr>
        <w:t>Financial instruments, including cash and cash equivalents, prepaid expenses and other current assets, accounts payable and accrued liabilities, are carried at cost, which management believes approximates fair value because of the short-term maturity of these instruments.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7"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The Company records goodwill and other intangible assets based on the fair value of the assets acquired. In determining the fair value of the assets acquired, the Company utilizes extensive accounting estimates and judgments to allocate the purchase price to the fair value of the net tangible and intangible assets acquired. The Company uses the discounted cash flow method to estimate the value of intangible assets acquired.</w:t>
      </w:r>
    </w:p>
    <w:p>
      <w:pPr>
        <w:spacing w:after="0" w:line="166"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The Company assesses goodwill and indefinite lived intangible assets for impairment using fair value measurement techniques on an annual basis during the fourth quarter of the year, or more frequently if indicators of impairment exist. The impairment evaluation is performed assuming that the Company operates in a single operating segment and reporting unit. When impaired, the carrying value of goodwill is written down to fair value. The goodwill impairment test involves consideration of qualitative information to determine if it is more likely than not that the fair value of a reporting unit is less than its carrying value. If such a determination is made, then the traditional two-step goodwill impairment test is applied.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 There was no impairment of goodwill for all periods presented.</w:t>
      </w:r>
    </w:p>
    <w:p>
      <w:pPr>
        <w:spacing w:after="0" w:line="178" w:lineRule="exact"/>
        <w:rPr>
          <w:sz w:val="20"/>
          <w:szCs w:val="20"/>
          <w:color w:val="auto"/>
        </w:rPr>
      </w:pPr>
    </w:p>
    <w:p>
      <w:pPr>
        <w:ind w:right="100" w:firstLine="598"/>
        <w:spacing w:after="0" w:line="302" w:lineRule="auto"/>
        <w:rPr>
          <w:sz w:val="20"/>
          <w:szCs w:val="20"/>
          <w:color w:val="auto"/>
        </w:rPr>
      </w:pPr>
      <w:r>
        <w:rPr>
          <w:rFonts w:ascii="Arial" w:cs="Arial" w:eastAsia="Arial" w:hAnsi="Arial"/>
          <w:sz w:val="16"/>
          <w:szCs w:val="16"/>
          <w:color w:val="auto"/>
        </w:rPr>
        <w:t>The Company periodically re-evaluates the original assumptions and rationale utilized in the establishment of the carrying value and estimated lives of its long-lived assets. The criteria used for these evaluations include management’s estimate of the asset’s continuing ability to generate income from operations and positive cash flows in future periods as well as the strategic significance of any intangible assets in the Company’s business objectives. If assets are considered to be impaired, the impairment recognized is the amount by which the carrying value of the assets exceeds the fair value of the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220" w:firstLine="598"/>
        <w:spacing w:after="0" w:line="286" w:lineRule="auto"/>
        <w:rPr>
          <w:sz w:val="20"/>
          <w:szCs w:val="20"/>
          <w:color w:val="auto"/>
        </w:rPr>
      </w:pPr>
      <w:r>
        <w:rPr>
          <w:rFonts w:ascii="Arial" w:cs="Arial" w:eastAsia="Arial" w:hAnsi="Arial"/>
          <w:sz w:val="17"/>
          <w:szCs w:val="17"/>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$3.1 million, $2.7 million and $2.9 million for the years ended December 31, 2016, 2015 and 2014, respectively.</w:t>
      </w:r>
    </w:p>
    <w:p>
      <w:pPr>
        <w:spacing w:after="0" w:line="166" w:lineRule="exact"/>
        <w:rPr>
          <w:sz w:val="20"/>
          <w:szCs w:val="20"/>
          <w:color w:val="auto"/>
        </w:rPr>
      </w:pPr>
    </w:p>
    <w:p>
      <w:pPr>
        <w:ind w:right="180" w:firstLine="598"/>
        <w:spacing w:after="0" w:line="286" w:lineRule="auto"/>
        <w:rPr>
          <w:sz w:val="20"/>
          <w:szCs w:val="20"/>
          <w:color w:val="auto"/>
        </w:rPr>
      </w:pPr>
      <w:r>
        <w:rPr>
          <w:rFonts w:ascii="Arial" w:cs="Arial" w:eastAsia="Arial" w:hAnsi="Arial"/>
          <w:sz w:val="17"/>
          <w:szCs w:val="17"/>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$0.4 million, $0.3 million and $0.4 million for the years ended December 31, 2016, 2015, and 2014,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right="180" w:firstLine="598"/>
        <w:spacing w:after="0" w:line="312" w:lineRule="auto"/>
        <w:rPr>
          <w:sz w:val="20"/>
          <w:szCs w:val="20"/>
          <w:color w:val="auto"/>
        </w:rPr>
      </w:pPr>
      <w:r>
        <w:rPr>
          <w:rFonts w:ascii="Arial" w:cs="Arial" w:eastAsia="Arial" w:hAnsi="Arial"/>
          <w:sz w:val="16"/>
          <w:szCs w:val="16"/>
          <w:color w:val="auto"/>
        </w:rPr>
        <w:t>The Company estimates the fair value of stock options using the Black-Scholes option pricing model on the date of grant. The fair value of equity instruments expected to vest are recognized and amortized on a straight-line basis over the requisite service period of the award, which is generally three to four years; however, the Company’s equity compensation plans provide for any vesting schedule as the board may deem appropriate.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were excluded from the diluted net loss per share calculation because of their anti-dilutive effect for all periods presented.</w:t>
      </w:r>
    </w:p>
    <w:p>
      <w:pPr>
        <w:spacing w:after="0" w:line="188" w:lineRule="exact"/>
        <w:rPr>
          <w:sz w:val="20"/>
          <w:szCs w:val="20"/>
          <w:color w:val="auto"/>
        </w:rPr>
      </w:pPr>
    </w:p>
    <w:p>
      <w:pPr>
        <w:ind w:right="500" w:firstLine="598"/>
        <w:spacing w:after="0" w:line="277" w:lineRule="auto"/>
        <w:rPr>
          <w:sz w:val="20"/>
          <w:szCs w:val="20"/>
          <w:color w:val="auto"/>
        </w:rPr>
      </w:pPr>
      <w:r>
        <w:rPr>
          <w:rFonts w:ascii="Arial" w:cs="Arial" w:eastAsia="Arial" w:hAnsi="Arial"/>
          <w:sz w:val="18"/>
          <w:szCs w:val="18"/>
          <w:color w:val="auto"/>
        </w:rPr>
        <w:t>Potentially dilutive outstanding securities excluded from diluted net loss per common share because of their anti-dilutive effect for the periods presented are as follows:</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78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FF0FC"/>
            </w:tcBorders>
          </w:tcPr>
          <w:p>
            <w:pPr>
              <w:spacing w:after="0"/>
              <w:rPr>
                <w:sz w:val="13"/>
                <w:szCs w:val="13"/>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as converted</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2,200,000</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2,200,000</w:t>
            </w:r>
          </w:p>
        </w:tc>
        <w:tc>
          <w:tcPr>
            <w:tcW w:w="6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4,432,017</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4,133,969</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3,447,969</w:t>
            </w:r>
          </w:p>
        </w:tc>
        <w:tc>
          <w:tcPr>
            <w:tcW w:w="6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1,067,067</w:t>
            </w:r>
          </w:p>
        </w:tc>
        <w:tc>
          <w:tcPr>
            <w:tcW w:w="1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3,406,367</w:t>
            </w:r>
          </w:p>
        </w:tc>
        <w:tc>
          <w:tcPr>
            <w:tcW w:w="1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3,658,567</w:t>
            </w:r>
          </w:p>
        </w:tc>
        <w:tc>
          <w:tcPr>
            <w:tcW w:w="60" w:type="dxa"/>
            <w:vAlign w:val="bottom"/>
            <w:shd w:val="clear" w:color="auto" w:fill="CFF0FC"/>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5,499,084</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9,740,336</w:t>
            </w:r>
          </w:p>
        </w:tc>
        <w:tc>
          <w:tcPr>
            <w:tcW w:w="1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9,306,536</w:t>
            </w:r>
          </w:p>
        </w:tc>
        <w:tc>
          <w:tcPr>
            <w:tcW w:w="6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Certain reclassifications have been made to the consolidated financial statements to conform to the current year’s presentation.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In May 2014, the Financial Accounting Standards Board (“FASB”) amended the existing accounting standards for revenue recognition. The amendments are based on the principle that revenue should be recognized to depict the transfer of promised goods or services to customers in an amount that reflects the consideration to which the entity expects to be entitled in exchange for said goods or services. The Company is required to adopt the amendments beginning January 1, 2018. Early adoption is permitted as of January 1, 2017. The amendments may be applied retrospectively to each prior period presented or retrospectively with the cumulative effect recognized as of the date of initial application. The adoption of this statement is not expected to have a material impact on the Company’s consolidated financial statements.</w:t>
      </w:r>
    </w:p>
    <w:p>
      <w:pPr>
        <w:spacing w:after="0" w:line="178"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In February 2016, the FASB issued Accounting Standards Update (“ASU”) 2016-02, Leases, which introduces the recognition of lease assets and lease liabilities by lessees for those leases classified as operating leases under previous guidance. The new standard establishes a right-of-use ("ROU") model that requires a lessee to record an ROU asset and a lease liability on the balance sheet for all leases with terms longer than 12 months. The new standard is effective for fiscal years beginning after December 15, 2018 and interim periods within those fiscal years with early adoption permitted. Management is evaluating the impact that the adoption of this standard will have on the Company’s financial statements.</w:t>
      </w:r>
    </w:p>
    <w:p>
      <w:pPr>
        <w:spacing w:after="0" w:line="173"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In March 2016, the FASB issued ASU 2016-09, Improvements to Employee Share-Based Payment Accounting, which simplifies several aspects of accounting for share-based payment transactions including the income tax consequences, classification of awards as either equity or liabilities, and classification on the statement of cash flows. The new standard is effective for fiscal years beginning after December 15, 2016 and interim periods within those fiscal years with early adoption permitted. The adoption of this statement is not expected to have a material impact on the Company’s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67" w:name="page68"/>
    <w:bookmarkEnd w:id="67"/>
    <w:p>
      <w:pPr>
        <w:ind w:right="80" w:firstLine="598"/>
        <w:spacing w:after="0" w:line="293" w:lineRule="auto"/>
        <w:rPr>
          <w:sz w:val="20"/>
          <w:szCs w:val="20"/>
          <w:color w:val="auto"/>
        </w:rPr>
      </w:pPr>
      <w:r>
        <w:rPr>
          <w:rFonts w:ascii="Arial" w:cs="Arial" w:eastAsia="Arial" w:hAnsi="Arial"/>
          <w:sz w:val="16"/>
          <w:szCs w:val="16"/>
          <w:color w:val="auto"/>
        </w:rPr>
        <w:t>In August 2014, the FASB issued ASU 2014-15, Presentation of Financial Statements – Going Concern, which is new guidance requiring management to evaluate whether there are conditions and events that raise substantial doubt about the entity’s ability to continue as a going concern within one year after the financial statements are issued (or available to be issued when applicable). Management is required to make this evaluation for both annual and interim reporting periods and make certain disclosures if it concludes that substantial doubt exists or when its plans alleviate substantial doubt about the entity’s ability to continue as a going concern. The standard is effective for annual periods ending after December 15, 2016. Early adoption is permitted. The Company adopted this guidance at December 31, 2016. The adoption did not have a material impact on the Company’s financial statements.</w:t>
      </w:r>
    </w:p>
    <w:p>
      <w:pPr>
        <w:spacing w:after="0" w:line="165"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which simplified the subsequent measurement of goodwill by eliminating Step 2 from the goodwill impairment test. The new standard is effective for annual and interim periods in fiscal years beginning after December 15, 2019. Early adoption is permitted after January 1, 2017. The adoption of this statement is not expected to have a material impact on the Company’s consolidated financial statements.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Revenues consist of milestone payments and research and development services. Milestone payments are recognized as revenue upon achievement of pre-defined scientific events, which require substantive effort, and for which achievement of the milestone was not readily assured at the inception of the agreement. Milestones that do not meet the criteria for accounting under the milestone method because the payments are solely contingent upon the performance of a third party are accounted for as contingent revenue. Research and development services are recognized as research costs are incurred over the period the services are performed. For all other revenue the Company recognizes revenues when all four of the following criteria are met: (1) persuasive evidence that an arrangement exists; (2) delivery of the products and/or services has occurred; (3) the selling price is fixed or determinable; and (4) collectability is reasonably assured.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Genzyme Corporation</w:t>
      </w:r>
    </w:p>
    <w:p>
      <w:pPr>
        <w:spacing w:after="0" w:line="117" w:lineRule="exact"/>
        <w:rPr>
          <w:sz w:val="20"/>
          <w:szCs w:val="20"/>
          <w:color w:val="auto"/>
        </w:rPr>
      </w:pPr>
    </w:p>
    <w:p>
      <w:pPr>
        <w:ind w:right="120" w:firstLine="598"/>
        <w:spacing w:after="0" w:line="293" w:lineRule="auto"/>
        <w:rPr>
          <w:sz w:val="20"/>
          <w:szCs w:val="20"/>
          <w:color w:val="auto"/>
        </w:rPr>
      </w:pPr>
      <w:r>
        <w:rPr>
          <w:rFonts w:ascii="Arial" w:cs="Arial" w:eastAsia="Arial" w:hAnsi="Arial"/>
          <w:sz w:val="16"/>
          <w:szCs w:val="16"/>
          <w:color w:val="auto"/>
        </w:rPr>
        <w:t>In December 2005, Avigen and Genzyme entered into an Assignment Agreement (Genzyme Agreement) in which Genzyme acquired certain gene therapy intellectual property, programs and other related assets from Avigen in exchange for an initial $12.0 million payment, and Avigen could receive additional development milestone payments, sublicensing fees and royalty payments based on the successful development of products by Genzyme utilizing technologies previously developed by the Company. Avigen was subsequently acquired by the Company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w:t>
      </w:r>
    </w:p>
    <w:p>
      <w:pPr>
        <w:spacing w:after="0" w:line="165"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 development milestones outlined in the Genzyme Agreement do not meet the definition of a substantive milestone obligation under authoritative guidance on revenue recognition for milestone payments, as Genzyme is responsible for the development of the product and there is no further substantive service effort required by the Company. The Company determined that a non-substantive milestone of $6.0 million in the Genzyme Agreement had been earned in 2013. No other milestones were earned in the periods presented.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In October 2011, the Company entered into an agreement with Kissei Pharmaceutical Co., Ltd., or Kissei, to perform research and development services relating to MN-221 in exchange for a non-refundable upfront payment of $2.5 million. Under the terms of the agreement the Company is responsible for all costs to be incurred in the performance of these services. Certain of these research and development services were completed in 2013 and 2012, and the remaining services are expected to be delivered and completed after 2016. The Company assessed the deliverables in accordance with the authoritative guidance and concluded the existence of one deliverable, research and development services. As such, revenue is being recognizing as the research and development services are performed. The amount received from Kissei, net of the amount recorded as revenue, is included on the balance sheet as long-term deferred revenue and will be recognized as revenue as the remaining services are performed. No revenue was recorded in 2016, 2015 or 2014 in connection with the agreement with Kissei.</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20"/>
        <w:spacing w:after="0"/>
        <w:tabs>
          <w:tab w:leader="none" w:pos="15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w:t>
      </w:r>
    </w:p>
    <w:p>
      <w:pPr>
        <w:spacing w:after="0" w:line="131" w:lineRule="exact"/>
        <w:rPr>
          <w:sz w:val="20"/>
          <w:szCs w:val="20"/>
          <w:color w:val="auto"/>
        </w:rPr>
      </w:pPr>
    </w:p>
    <w:p>
      <w:pPr>
        <w:ind w:left="1560" w:right="760" w:hanging="1039"/>
        <w:spacing w:after="0" w:line="277" w:lineRule="auto"/>
        <w:tabs>
          <w:tab w:leader="none" w:pos="15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 near the measurement date; and</w:t>
      </w:r>
    </w:p>
    <w:p>
      <w:pPr>
        <w:spacing w:after="0" w:line="76" w:lineRule="exact"/>
        <w:rPr>
          <w:sz w:val="20"/>
          <w:szCs w:val="20"/>
          <w:color w:val="auto"/>
        </w:rPr>
      </w:pPr>
    </w:p>
    <w:p>
      <w:pPr>
        <w:ind w:left="520"/>
        <w:spacing w:after="0"/>
        <w:tabs>
          <w:tab w:leader="none" w:pos="15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due to little or no market data, which require the reporting entity to develop its own assumptions</w:t>
      </w:r>
    </w:p>
    <w:p>
      <w:pPr>
        <w:spacing w:after="0" w:line="225" w:lineRule="exact"/>
        <w:rPr>
          <w:sz w:val="20"/>
          <w:szCs w:val="20"/>
          <w:color w:val="auto"/>
        </w:rPr>
      </w:pPr>
    </w:p>
    <w:p>
      <w:pPr>
        <w:ind w:right="920" w:firstLine="598"/>
        <w:spacing w:after="0" w:line="277" w:lineRule="auto"/>
        <w:rPr>
          <w:sz w:val="20"/>
          <w:szCs w:val="20"/>
          <w:color w:val="auto"/>
        </w:rPr>
      </w:pPr>
      <w:r>
        <w:rPr>
          <w:rFonts w:ascii="Arial" w:cs="Arial" w:eastAsia="Arial" w:hAnsi="Arial"/>
          <w:sz w:val="18"/>
          <w:szCs w:val="18"/>
          <w:color w:val="auto"/>
        </w:rPr>
        <w:t>Cash equivalents including money market accounts of $661,287 and $659,755 measured at fair value as of December 31, 2016 and 2015, respectively, are classified within Level 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Details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net, consist of the following:</w:t>
      </w:r>
    </w:p>
    <w:p>
      <w:pPr>
        <w:spacing w:after="0" w:line="21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48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20,157</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14,735</w:t>
            </w:r>
          </w:p>
        </w:tc>
        <w:tc>
          <w:tcPr>
            <w:tcW w:w="8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284,585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250,286</w:t>
            </w:r>
          </w:p>
        </w:tc>
        <w:tc>
          <w:tcPr>
            <w:tcW w:w="8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285,375</w:t>
            </w:r>
          </w:p>
        </w:tc>
        <w:tc>
          <w:tcPr>
            <w:tcW w:w="1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238,651</w:t>
            </w:r>
          </w:p>
        </w:tc>
        <w:tc>
          <w:tcPr>
            <w:tcW w:w="80" w:type="dxa"/>
            <w:vAlign w:val="bottom"/>
            <w:shd w:val="clear" w:color="auto" w:fill="CFF0FC"/>
          </w:tcPr>
          <w:p>
            <w:pPr>
              <w:spacing w:after="0"/>
              <w:rPr>
                <w:sz w:val="19"/>
                <w:szCs w:val="19"/>
                <w:color w:val="auto"/>
              </w:rPr>
            </w:pPr>
          </w:p>
        </w:tc>
      </w:tr>
      <w:tr>
        <w:trPr>
          <w:trHeight w:val="223"/>
        </w:trPr>
        <w:tc>
          <w:tcPr>
            <w:tcW w:w="4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590,117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503,672</w:t>
            </w:r>
          </w:p>
        </w:tc>
        <w:tc>
          <w:tcPr>
            <w:tcW w:w="8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(499,400)</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(483,242)</w:t>
            </w:r>
          </w:p>
        </w:tc>
      </w:tr>
      <w:tr>
        <w:trPr>
          <w:trHeight w:val="263"/>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Property and equipment, net</w:t>
            </w:r>
          </w:p>
        </w:tc>
        <w:tc>
          <w:tcPr>
            <w:tcW w:w="10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90,717</w:t>
            </w:r>
          </w:p>
        </w:tc>
        <w:tc>
          <w:tcPr>
            <w:tcW w:w="1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20,430</w:t>
            </w:r>
          </w:p>
        </w:tc>
        <w:tc>
          <w:tcPr>
            <w:tcW w:w="80" w:type="dxa"/>
            <w:vAlign w:val="bottom"/>
            <w:tcBorders>
              <w:bottom w:val="single" w:sz="8" w:color="CFF0FC"/>
            </w:tcBorders>
          </w:tcPr>
          <w:p>
            <w:pPr>
              <w:spacing w:after="0"/>
              <w:rPr>
                <w:sz w:val="22"/>
                <w:szCs w:val="22"/>
                <w:color w:val="auto"/>
              </w:rPr>
            </w:pPr>
          </w:p>
        </w:tc>
      </w:tr>
      <w:tr>
        <w:trPr>
          <w:trHeight w:val="210"/>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10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14,127</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26,704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98"/>
        <w:spacing w:after="0" w:line="342" w:lineRule="auto"/>
        <w:rPr>
          <w:sz w:val="20"/>
          <w:szCs w:val="20"/>
          <w:color w:val="auto"/>
        </w:rPr>
      </w:pPr>
      <w:r>
        <w:rPr>
          <w:rFonts w:ascii="Arial" w:cs="Arial" w:eastAsia="Arial" w:hAnsi="Arial"/>
          <w:sz w:val="16"/>
          <w:szCs w:val="16"/>
          <w:color w:val="auto"/>
        </w:rPr>
        <w:t>The Company uses the straight-line method to record depreciation expense with useful lives of three to five years. Depreciation and amortization of property and equipment of $14,127, $26,704, $40,186, was recorded for the years ended December 31, 2016, 2015 and 2014, respectively.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liabilities consist of the following:</w:t>
      </w:r>
    </w:p>
    <w:p>
      <w:pPr>
        <w:spacing w:after="0" w:line="21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92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882,090</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859,151</w:t>
            </w:r>
          </w:p>
        </w:tc>
        <w:tc>
          <w:tcPr>
            <w:tcW w:w="8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191,343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218,096</w:t>
            </w:r>
          </w:p>
        </w:tc>
        <w:tc>
          <w:tcPr>
            <w:tcW w:w="8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fees</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43,767</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83,914</w:t>
            </w:r>
          </w:p>
        </w:tc>
        <w:tc>
          <w:tcPr>
            <w:tcW w:w="80" w:type="dxa"/>
            <w:vAlign w:val="bottom"/>
            <w:shd w:val="clear" w:color="auto" w:fill="CFF0FC"/>
          </w:tcPr>
          <w:p>
            <w:pPr>
              <w:spacing w:after="0"/>
              <w:rPr>
                <w:sz w:val="19"/>
                <w:szCs w:val="19"/>
                <w:color w:val="auto"/>
              </w:rPr>
            </w:pPr>
          </w:p>
        </w:tc>
      </w:tr>
      <w:tr>
        <w:trPr>
          <w:trHeight w:val="230"/>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145,600</w:t>
            </w:r>
          </w:p>
        </w:tc>
        <w:tc>
          <w:tcPr>
            <w:tcW w:w="1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158,559</w:t>
            </w:r>
          </w:p>
        </w:tc>
        <w:tc>
          <w:tcPr>
            <w:tcW w:w="80" w:type="dxa"/>
            <w:vAlign w:val="bottom"/>
            <w:tcBorders>
              <w:bottom w:val="single" w:sz="8" w:color="CFF0FC"/>
            </w:tcBorders>
          </w:tcPr>
          <w:p>
            <w:pPr>
              <w:spacing w:after="0"/>
              <w:rPr>
                <w:sz w:val="19"/>
                <w:szCs w:val="19"/>
                <w:color w:val="auto"/>
              </w:rPr>
            </w:pPr>
          </w:p>
        </w:tc>
      </w:tr>
      <w:tr>
        <w:trPr>
          <w:trHeight w:val="223"/>
        </w:trPr>
        <w:tc>
          <w:tcPr>
            <w:tcW w:w="392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1,262,800</w:t>
            </w: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1,319,720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121"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On October 13, 2011, the Company entered into a services agreement with Kissei to perform two separate studies relating to MN-221 in exchange for $2.5 million paid to the Company in October 2011. The Company is responsible for all costs to be incurred in the performance of these studies. The amount received from Kissei, net of the amount recorded as revenue through December 31, 2016, is included on the balance sheet at December 31, 2016 and 2015 as deferred revenue and will be recognized as revenue in future periods as the Company performs the remaining services. On September 26, 2011, the Company issued and sold to Kissei 220,000 shares of Series B Convertible Preferred Stock. Each share of the Series B Preferred stock was convertible into shares of common stock at a conversion rate of 1:10 at the option of the holder. On June 15, 2016, Kissei elected to convert all 220,000 preferred shares into 2,200,000 shares of common stock. As of December 31, 2016, Kissei is no longer considered a related party.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Company subleases its office space under an operating lease with an initial term of four years and nine months, expiring in November 2017. Rent expense for the years ended December 31, 2016, 2015 and 2014 was $256,314, $240,419 and $231,143, respectively. The difference between the minimum lease payments and the straight-line amount of total rent expense is recorded as deferred rent. Deferred rent at December 31, 2016 and 2015 was $11,042 and $16,921, respectively.</w:t>
      </w:r>
    </w:p>
    <w:p>
      <w:pPr>
        <w:spacing w:after="0" w:line="18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As of December 31, 2016, the total estimated future annual minimum lease payments under the Company’s non-cancelable building and copier leases for the years ending after December 31, 2016 are as follows:</w:t>
      </w:r>
    </w:p>
    <w:p>
      <w:pPr>
        <w:spacing w:after="0" w:line="185"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Years ending December 31:</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2017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179,705</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minimum payments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180,849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117"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License and Research Agreements</w:t>
      </w:r>
    </w:p>
    <w:p>
      <w:pPr>
        <w:spacing w:after="0" w:line="117"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The Company has entered into in-licensing agreements with various pharmaceutical companies. Under the terms of these agreements, the Company has received licenses to research, know-how and technology claimed, in certain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spacing w:after="0" w:line="188" w:lineRule="exact"/>
        <w:rPr>
          <w:sz w:val="20"/>
          <w:szCs w:val="20"/>
          <w:color w:val="auto"/>
        </w:rPr>
      </w:pPr>
    </w:p>
    <w:p>
      <w:pPr>
        <w:ind w:right="100" w:firstLine="598"/>
        <w:spacing w:after="0" w:line="297" w:lineRule="auto"/>
        <w:rPr>
          <w:sz w:val="20"/>
          <w:szCs w:val="20"/>
          <w:color w:val="auto"/>
        </w:rPr>
      </w:pPr>
      <w:r>
        <w:rPr>
          <w:rFonts w:ascii="Arial" w:cs="Arial" w:eastAsia="Arial" w:hAnsi="Arial"/>
          <w:sz w:val="16"/>
          <w:szCs w:val="16"/>
          <w:color w:val="auto"/>
        </w:rPr>
        <w:t>No amounts have been expended under these agreements during the years ended December 31, 2016, 2015 or 2014. For products currently in development, future potential milestone payments based on product development are $10.0 million as of December 31, 2016. For all other products, future potential milestone payments related to development milestones and commercialization milestones totaled $33.5 million as of December 31, 2016.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Joint Venture</w:t>
      </w:r>
    </w:p>
    <w:p>
      <w:pPr>
        <w:spacing w:after="0" w:line="121"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The Company entered into an agreement to form a joint venture company with Zhejiang Medicine Co., Ltd. and Beijing Medfron Medical Technologies Co., Ltd. (formerly Beijing Make-Friend Medicine Technology Co., Ltd.) effective September 27, 2011. The joint venture agreement provides for the joint venture company, Zhejiang Sunmy Bio-Medical Co., Ltd. (Zhejiang Sunmy), to develop and commercialize MN-221 in China and pursue additional compounds to develop. A sublicense agreement would be required under which Zhejiang Sunmy would license MN-221 from the Company and, as of the date of this filing, no such sublicense agreement has been entered into. In accordance with the joint venture agreement, in March 2012 the Company paid $680,000 for a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As of December 31, 2016, Beijing Medfron Medical Technologies Co., Ltd. and the Company each have a 50% interest in Zhejiang Sunmy. No additional capital was contributed by either remaining party and the Company has no future funding obligations.</w:t>
      </w:r>
    </w:p>
    <w:p>
      <w:pPr>
        <w:spacing w:after="0" w:line="183"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Zhejiang Sunmy is a variable interest entity for which the Company is not the primary beneficiary as the Company does not have a majority of the board seats and does not have power to direct or significantly influence the actions of the entity. The activities of Zhejiang Sunmy are accounted for under the equity method whereby the Company absorbs any loss or income generated by Zhejiang Sunmy according to the Company’s percentage ownership. At December 31, 2016 and 2015, the investment is reflected as a long-term asset on the Company’s consolidated balance sheets which represents the investment and maximum loss exposure in Zhejiang Sunmy, net of the Company’s portion of any generated loss or income.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100" w:firstLine="598"/>
        <w:spacing w:after="0" w:line="270" w:lineRule="auto"/>
        <w:rPr>
          <w:sz w:val="20"/>
          <w:szCs w:val="20"/>
          <w:color w:val="auto"/>
        </w:rPr>
      </w:pPr>
      <w:r>
        <w:rPr>
          <w:rFonts w:ascii="Arial" w:cs="Arial" w:eastAsia="Arial" w:hAnsi="Arial"/>
          <w:sz w:val="17"/>
          <w:szCs w:val="17"/>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2,500,000 shares of common stock were initially reserved for issuance under the 2013 Plan, plus “returning shares” that may become available from time to time.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December 31, 2016, 1,203,192 options remain available for future grant under the 2013 Plan.</w:t>
      </w:r>
    </w:p>
    <w:p>
      <w:pPr>
        <w:spacing w:after="0" w:line="74"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We occasionally issue employee performance-based stock options, the vesting of which is based on a determination made by our board of directors as to the achievement of certain corporate objectives at the end of the performance period. The grant date of such awards is the date on which our board of directors makes its determination. For periods preceding the grant date, the expense related to these awards is measured based on their fair value at each reporting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Options granted under the 2013 Plan and 2004 Plan have terms of ten years from the date of grant unless earlier terminated and generally vest over a three or four-year period.</w:t>
      </w:r>
    </w:p>
    <w:p>
      <w:pPr>
        <w:spacing w:after="0" w:line="170"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The exercise price of all options granted during the years ended December 31, 2016, 2015 and 2014 was equal to the market value of the Company’s common stock on the date of grant.</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stock option activity and related information for the years ended December 31, 2016 and 2015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4"/>
                <w:szCs w:val="14"/>
                <w:color w:val="auto"/>
              </w:rPr>
            </w:pPr>
          </w:p>
        </w:tc>
        <w:tc>
          <w:tcPr>
            <w:tcW w:w="1360" w:type="dxa"/>
            <w:vAlign w:val="bottom"/>
            <w:gridSpan w:val="2"/>
          </w:tcPr>
          <w:p>
            <w:pPr>
              <w:jc w:val="right"/>
              <w:ind w:right="71"/>
              <w:spacing w:after="0"/>
              <w:rPr>
                <w:sz w:val="20"/>
                <w:szCs w:val="20"/>
                <w:color w:val="auto"/>
              </w:rPr>
            </w:pPr>
            <w:r>
              <w:rPr>
                <w:rFonts w:ascii="Arial" w:cs="Arial" w:eastAsia="Arial" w:hAnsi="Arial"/>
                <w:sz w:val="14"/>
                <w:szCs w:val="14"/>
                <w:b w:val="1"/>
                <w:bCs w:val="1"/>
                <w:color w:val="auto"/>
                <w:w w:val="96"/>
              </w:rPr>
              <w:t>Weighted Average</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Option Shares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Exercise Price</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2013</w:t>
            </w:r>
          </w:p>
        </w:tc>
        <w:tc>
          <w:tcPr>
            <w:tcW w:w="154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3,217,043</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3.90</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31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(20,000)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Cancelled</w:t>
            </w:r>
          </w:p>
        </w:tc>
        <w:tc>
          <w:tcPr>
            <w:tcW w:w="3180" w:type="dxa"/>
            <w:vAlign w:val="bottom"/>
            <w:gridSpan w:val="3"/>
          </w:tcPr>
          <w:p>
            <w:pPr>
              <w:jc w:val="right"/>
              <w:ind w:right="60"/>
              <w:spacing w:after="0"/>
              <w:rPr>
                <w:sz w:val="20"/>
                <w:szCs w:val="20"/>
                <w:color w:val="auto"/>
              </w:rPr>
            </w:pPr>
            <w:r>
              <w:rPr>
                <w:rFonts w:ascii="Arial" w:cs="Arial" w:eastAsia="Arial" w:hAnsi="Arial"/>
                <w:sz w:val="18"/>
                <w:szCs w:val="18"/>
                <w:color w:val="auto"/>
              </w:rPr>
              <w:t>(49,074)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2014</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3,447,969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ind w:left="1480"/>
              <w:spacing w:after="0"/>
              <w:rPr>
                <w:sz w:val="20"/>
                <w:szCs w:val="20"/>
                <w:color w:val="auto"/>
              </w:rPr>
            </w:pPr>
            <w:r>
              <w:rPr>
                <w:rFonts w:ascii="Arial" w:cs="Arial" w:eastAsia="Arial" w:hAnsi="Arial"/>
                <w:sz w:val="18"/>
                <w:szCs w:val="18"/>
                <w:color w:val="auto"/>
              </w:rPr>
              <w:t>Granted</w:t>
            </w: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Cancelled</w:t>
            </w:r>
          </w:p>
        </w:tc>
        <w:tc>
          <w:tcPr>
            <w:tcW w:w="3180" w:type="dxa"/>
            <w:vAlign w:val="bottom"/>
            <w:gridSpan w:val="3"/>
          </w:tcPr>
          <w:p>
            <w:pPr>
              <w:jc w:val="right"/>
              <w:ind w:right="60"/>
              <w:spacing w:after="0"/>
              <w:rPr>
                <w:sz w:val="20"/>
                <w:szCs w:val="20"/>
                <w:color w:val="auto"/>
              </w:rPr>
            </w:pPr>
            <w:r>
              <w:rPr>
                <w:rFonts w:ascii="Arial" w:cs="Arial" w:eastAsia="Arial" w:hAnsi="Arial"/>
                <w:sz w:val="18"/>
                <w:szCs w:val="18"/>
                <w:color w:val="auto"/>
              </w:rPr>
              <w:t>(3,000)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9.27</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4,133,969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ind w:left="1480"/>
              <w:spacing w:after="0"/>
              <w:rPr>
                <w:sz w:val="20"/>
                <w:szCs w:val="20"/>
                <w:color w:val="auto"/>
              </w:rPr>
            </w:pPr>
            <w:r>
              <w:rPr>
                <w:rFonts w:ascii="Arial" w:cs="Arial" w:eastAsia="Arial" w:hAnsi="Arial"/>
                <w:sz w:val="18"/>
                <w:szCs w:val="18"/>
                <w:color w:val="auto"/>
              </w:rPr>
              <w:t>Granted</w:t>
            </w: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vMerge w:val="continue"/>
          </w:tcPr>
          <w:p>
            <w:pPr>
              <w:spacing w:after="0"/>
              <w:rPr>
                <w:sz w:val="18"/>
                <w:szCs w:val="18"/>
                <w:color w:val="auto"/>
              </w:rPr>
            </w:pPr>
          </w:p>
        </w:tc>
        <w:tc>
          <w:tcPr>
            <w:tcW w:w="154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1,158,000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31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(172,585)</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Cancelled</w:t>
            </w:r>
          </w:p>
        </w:tc>
        <w:tc>
          <w:tcPr>
            <w:tcW w:w="3180" w:type="dxa"/>
            <w:vAlign w:val="bottom"/>
            <w:gridSpan w:val="3"/>
          </w:tcPr>
          <w:p>
            <w:pPr>
              <w:jc w:val="right"/>
              <w:ind w:right="60"/>
              <w:spacing w:after="0"/>
              <w:rPr>
                <w:sz w:val="20"/>
                <w:szCs w:val="20"/>
                <w:color w:val="auto"/>
              </w:rPr>
            </w:pPr>
            <w:r>
              <w:rPr>
                <w:rFonts w:ascii="Arial" w:cs="Arial" w:eastAsia="Arial" w:hAnsi="Arial"/>
                <w:sz w:val="18"/>
                <w:szCs w:val="18"/>
                <w:color w:val="auto"/>
              </w:rPr>
              <w:t>(687,367)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11.27</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4,432,017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ind w:left="1480"/>
              <w:spacing w:after="0"/>
              <w:rPr>
                <w:sz w:val="20"/>
                <w:szCs w:val="20"/>
                <w:color w:val="auto"/>
              </w:rPr>
            </w:pPr>
            <w:r>
              <w:rPr>
                <w:rFonts w:ascii="Arial" w:cs="Arial" w:eastAsia="Arial" w:hAnsi="Arial"/>
                <w:sz w:val="18"/>
                <w:szCs w:val="18"/>
                <w:color w:val="auto"/>
              </w:rPr>
              <w:t>Exercisable at December 31, 2016</w:t>
            </w:r>
          </w:p>
        </w:tc>
        <w:tc>
          <w:tcPr>
            <w:tcW w:w="3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gridSpan w:val="2"/>
            <w:vMerge w:val="continue"/>
          </w:tcPr>
          <w:p>
            <w:pPr>
              <w:spacing w:after="0"/>
              <w:rPr>
                <w:sz w:val="21"/>
                <w:szCs w:val="21"/>
                <w:color w:val="auto"/>
              </w:rPr>
            </w:pPr>
          </w:p>
        </w:tc>
        <w:tc>
          <w:tcPr>
            <w:tcW w:w="1540" w:type="dxa"/>
            <w:vAlign w:val="bottom"/>
          </w:tcPr>
          <w:p>
            <w:pPr>
              <w:spacing w:after="0"/>
              <w:rPr>
                <w:sz w:val="21"/>
                <w:szCs w:val="21"/>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3,315,131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Vested and expected to vest at December 31, 2016</w:t>
            </w:r>
          </w:p>
        </w:tc>
        <w:tc>
          <w:tcPr>
            <w:tcW w:w="1540" w:type="dxa"/>
            <w:vAlign w:val="bottom"/>
            <w:tcBorders>
              <w:top w:val="single" w:sz="8" w:color="CFF0FC"/>
              <w:bottom w:val="single" w:sz="8" w:color="CFF0FC"/>
            </w:tcBorders>
            <w:shd w:val="clear" w:color="auto" w:fill="CFF0FC"/>
          </w:tcPr>
          <w:p>
            <w:pPr>
              <w:spacing w:after="0"/>
              <w:rPr>
                <w:sz w:val="18"/>
                <w:szCs w:val="18"/>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4,432,017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40" w:type="dxa"/>
            <w:vAlign w:val="bottom"/>
            <w:vMerge w:val="restart"/>
          </w:tcPr>
          <w:p>
            <w:pPr>
              <w:jc w:val="right"/>
              <w:ind w:right="1010"/>
              <w:spacing w:after="0"/>
              <w:rPr>
                <w:sz w:val="20"/>
                <w:szCs w:val="20"/>
                <w:color w:val="auto"/>
              </w:rPr>
            </w:pPr>
            <w:r>
              <w:rPr>
                <w:rFonts w:ascii="Arial" w:cs="Arial" w:eastAsia="Arial" w:hAnsi="Arial"/>
                <w:sz w:val="18"/>
                <w:szCs w:val="18"/>
                <w:color w:val="auto"/>
              </w:rPr>
              <w:t>70</w:t>
            </w: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5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0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2" w:name="page73"/>
    <w:bookmarkEnd w:id="72"/>
    <w:p>
      <w:pPr>
        <w:ind w:right="160" w:firstLine="598"/>
        <w:spacing w:after="0" w:line="312" w:lineRule="auto"/>
        <w:rPr>
          <w:sz w:val="20"/>
          <w:szCs w:val="20"/>
          <w:color w:val="auto"/>
        </w:rPr>
      </w:pPr>
      <w:r>
        <w:rPr>
          <w:rFonts w:ascii="Arial" w:cs="Arial" w:eastAsia="Arial" w:hAnsi="Arial"/>
          <w:sz w:val="16"/>
          <w:szCs w:val="16"/>
          <w:color w:val="auto"/>
        </w:rPr>
        <w:t>Cash received from stock option exercises for the years ended December 31, 2016, 2015 and 2014 was $829,526, $0 and $51,350, respectively. The aggregate intrinsic value of options exercised was $414,572, $0 and $8,485 for the years ended December 31, 2016, 2015 and 2014, respectively. Options outstanding and exercisable at December 31, 2016 had a weighted average contractual life of 6.79 and 6.06 years, respectively.</w:t>
      </w:r>
    </w:p>
    <w:p>
      <w:pPr>
        <w:spacing w:after="0" w:line="147"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As of December 31, 2016 and 2015, the total intrinsic value of options outstanding was $11.5 million and $1.9 million, respectively. Total intrinsic value of options exercisable was $9.2 million and $1.6 million as of December 31, 2016 and 2015,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0" w:firstLine="598"/>
        <w:spacing w:after="0" w:line="255" w:lineRule="auto"/>
        <w:rPr>
          <w:sz w:val="20"/>
          <w:szCs w:val="20"/>
          <w:color w:val="auto"/>
        </w:rPr>
      </w:pPr>
      <w:r>
        <w:rPr>
          <w:rFonts w:ascii="Arial" w:cs="Arial" w:eastAsia="Arial" w:hAnsi="Arial"/>
          <w:sz w:val="18"/>
          <w:szCs w:val="18"/>
          <w:color w:val="auto"/>
        </w:rPr>
        <w:t>Under the Company’s 2007 Employee Stock Purchase Plan, or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w:t>
      </w:r>
    </w:p>
    <w:p>
      <w:pPr>
        <w:spacing w:after="0" w:line="193" w:lineRule="exact"/>
        <w:rPr>
          <w:sz w:val="20"/>
          <w:szCs w:val="20"/>
          <w:color w:val="auto"/>
        </w:rPr>
      </w:pPr>
    </w:p>
    <w:p>
      <w:pPr>
        <w:ind w:right="560" w:firstLine="598"/>
        <w:spacing w:after="0" w:line="277" w:lineRule="auto"/>
        <w:rPr>
          <w:sz w:val="20"/>
          <w:szCs w:val="20"/>
          <w:color w:val="auto"/>
        </w:rPr>
      </w:pPr>
      <w:r>
        <w:rPr>
          <w:rFonts w:ascii="Arial" w:cs="Arial" w:eastAsia="Arial" w:hAnsi="Arial"/>
          <w:sz w:val="18"/>
          <w:szCs w:val="18"/>
          <w:color w:val="auto"/>
        </w:rPr>
        <w:t>For the year ended December 31, 2016, an aggregate of 26,650 shares were issued under the ESPP, leaving 184,125 shares available for future issuance.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The estimated fair value of each stock option award was determined on the date of grant using the Black-Scholes option valuation model with the following weighted-average assumptions for stock option grants:</w:t>
      </w:r>
    </w:p>
    <w:p>
      <w:pPr>
        <w:spacing w:after="0" w:line="176" w:lineRule="exact"/>
        <w:rPr>
          <w:sz w:val="20"/>
          <w:szCs w:val="20"/>
          <w:color w:val="auto"/>
        </w:rPr>
      </w:pPr>
    </w:p>
    <w:p>
      <w:pPr>
        <w:jc w:val="center"/>
        <w:ind w:left="4360"/>
        <w:spacing w:after="0"/>
        <w:rPr>
          <w:sz w:val="20"/>
          <w:szCs w:val="20"/>
          <w:color w:val="auto"/>
        </w:rPr>
      </w:pPr>
      <w:r>
        <w:rPr>
          <w:rFonts w:ascii="Arial" w:cs="Arial" w:eastAsia="Arial" w:hAnsi="Arial"/>
          <w:sz w:val="14"/>
          <w:szCs w:val="14"/>
          <w:b w:val="1"/>
          <w:bCs w:val="1"/>
          <w:color w:val="auto"/>
        </w:rPr>
        <w:t>Year Ended</w:t>
      </w:r>
    </w:p>
    <w:p>
      <w:pPr>
        <w:jc w:val="center"/>
        <w:ind w:left="43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45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78.30%</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79.28%</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76.42%</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Dividend yield</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term (in years)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The estimated fair value of employee stock purchase rights under the Company’s ESPP was determined on the date of grant using the Black-Scholes option valuation model with the following weighted-average assumptions for stock option grants:</w:t>
      </w:r>
    </w:p>
    <w:p>
      <w:pPr>
        <w:spacing w:after="0" w:line="176" w:lineRule="exact"/>
        <w:rPr>
          <w:sz w:val="20"/>
          <w:szCs w:val="20"/>
          <w:color w:val="auto"/>
        </w:rPr>
      </w:pPr>
    </w:p>
    <w:p>
      <w:pPr>
        <w:jc w:val="center"/>
        <w:ind w:left="4360"/>
        <w:spacing w:after="0"/>
        <w:rPr>
          <w:sz w:val="20"/>
          <w:szCs w:val="20"/>
          <w:color w:val="auto"/>
        </w:rPr>
      </w:pPr>
      <w:r>
        <w:rPr>
          <w:rFonts w:ascii="Arial" w:cs="Arial" w:eastAsia="Arial" w:hAnsi="Arial"/>
          <w:sz w:val="14"/>
          <w:szCs w:val="14"/>
          <w:b w:val="1"/>
          <w:bCs w:val="1"/>
          <w:color w:val="auto"/>
        </w:rPr>
        <w:t>Year Ended</w:t>
      </w:r>
    </w:p>
    <w:p>
      <w:pPr>
        <w:jc w:val="center"/>
        <w:ind w:left="43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45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Employee Stock Purchase Plan</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0.44%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51.65%</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76.52%</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62.65%</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Dividend yield</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term (in years)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firstLine="598"/>
        <w:spacing w:after="0" w:line="312" w:lineRule="auto"/>
        <w:rPr>
          <w:sz w:val="20"/>
          <w:szCs w:val="20"/>
          <w:color w:val="auto"/>
        </w:rPr>
      </w:pPr>
      <w:r>
        <w:rPr>
          <w:rFonts w:ascii="Arial" w:cs="Arial" w:eastAsia="Arial" w:hAnsi="Arial"/>
          <w:sz w:val="16"/>
          <w:szCs w:val="16"/>
          <w:color w:val="auto"/>
        </w:rPr>
        <w:t>The risk-free interest rate assumption is based upon observed interest rates appropriate for the expected term of employee stock options. The expected volatility is based on the historical volatility of the Company’s common stock. The Company has not paid nor does the Company anticipate paying dividends on its common stock in the foreseeable future. The expected term of employee stock options is based on the simplified method as provided by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ind w:right="560"/>
        <w:spacing w:after="0" w:line="277" w:lineRule="auto"/>
        <w:rPr>
          <w:sz w:val="20"/>
          <w:szCs w:val="20"/>
          <w:color w:val="auto"/>
        </w:rPr>
      </w:pPr>
      <w:r>
        <w:rPr>
          <w:rFonts w:ascii="Arial" w:cs="Arial" w:eastAsia="Arial" w:hAnsi="Arial"/>
          <w:sz w:val="18"/>
          <w:szCs w:val="18"/>
          <w:color w:val="auto"/>
        </w:rPr>
        <w:t>the authoritative guidance on stock compensation, as the historical stock option exercise experience does not provide a reasonable basis to estimate the expected term.</w:t>
      </w:r>
    </w:p>
    <w:p>
      <w:pPr>
        <w:spacing w:after="0" w:line="170" w:lineRule="exact"/>
        <w:rPr>
          <w:sz w:val="20"/>
          <w:szCs w:val="20"/>
          <w:color w:val="auto"/>
        </w:rPr>
      </w:pPr>
    </w:p>
    <w:p>
      <w:pPr>
        <w:ind w:right="240" w:firstLine="598"/>
        <w:spacing w:after="0" w:line="308" w:lineRule="auto"/>
        <w:rPr>
          <w:sz w:val="20"/>
          <w:szCs w:val="20"/>
          <w:color w:val="auto"/>
        </w:rPr>
      </w:pPr>
      <w:r>
        <w:rPr>
          <w:rFonts w:ascii="Arial" w:cs="Arial" w:eastAsia="Arial" w:hAnsi="Arial"/>
          <w:sz w:val="17"/>
          <w:szCs w:val="17"/>
          <w:color w:val="auto"/>
        </w:rPr>
        <w:t>The weighted-average fair value of each stock option granted during the years ended December 31, 2016, 2015 and 2014, estimated as of the grant date using the Black-Scholes option valuation model, was $2.64 per option, $2.08 per option and $1.58 per option, respectively.</w:t>
      </w:r>
    </w:p>
    <w:p>
      <w:pPr>
        <w:spacing w:after="0" w:line="147"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color w:val="auto"/>
        </w:rPr>
        <w:t>Share-based compensation expense for stock option awards and ESPP shares are reflected in total operating expense for each respective year. For the years ended December 31, 2016, 2015 and 2014, share-based compensation expense related to stock options and the ESPP was $4.0 million, $2.0 million and $1.6 million, respectively, of which $2.9 million, $1.5 million and $1.2 million was recorded as a component of general and administrative expense, respectively, and $1.1 million, $0.5 million and $0.4 million was recorded as a component of research, development and patents expense, respectively.</w:t>
      </w:r>
    </w:p>
    <w:p>
      <w:pPr>
        <w:spacing w:after="0" w:line="154"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As of December 31, 2016, there was $1.0 million of unamortized compensation cost related to unvested stock option awards which is expected to be recognized over a remaining weighted-average vesting period of 1.14 years, on a straight-line basis.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On October 16, 2013, the Company entered into an at-the-market equity distribution agreement with Macquarie Capital (USA) Inc., or MCUSA, pursuant to which the Company could sell common stock through MCUSA from time to time up to an aggregate offering price of $10.0 million. The at-the-market equity distribution agreement with MCUSA was terminated on May 22, 2015, and as of such date, the Company had completed sales to MCUSA totaling 2,127,500 shares of common stock at prices ranging from $2.01 to $4.45 per share, generating gross and net proceeds of $5.3 million and $4.5 million, respectively. For the year ended December 31, 2015, the Company generated gross and net proceeds of $0.9 million and $0.7 million, respectively, on the sale of 225,000 shares of common stock under this agreement.</w:t>
      </w:r>
    </w:p>
    <w:p>
      <w:pPr>
        <w:spacing w:after="0" w:line="193" w:lineRule="exact"/>
        <w:rPr>
          <w:sz w:val="20"/>
          <w:szCs w:val="20"/>
          <w:color w:val="auto"/>
        </w:rPr>
      </w:pPr>
    </w:p>
    <w:p>
      <w:pPr>
        <w:ind w:right="80" w:firstLine="598"/>
        <w:spacing w:after="0" w:line="270" w:lineRule="auto"/>
        <w:rPr>
          <w:sz w:val="20"/>
          <w:szCs w:val="20"/>
          <w:color w:val="auto"/>
        </w:rPr>
      </w:pPr>
      <w:r>
        <w:rPr>
          <w:rFonts w:ascii="Arial" w:cs="Arial" w:eastAsia="Arial" w:hAnsi="Arial"/>
          <w:sz w:val="17"/>
          <w:szCs w:val="17"/>
          <w:color w:val="auto"/>
        </w:rPr>
        <w:t>On May 22, 2015, the Company entered into an at-the-market issuance sales agreement (the “ATM Agreement”) with MLV &amp; Co. LLC, or MLV, pursuant to which the Company may sell common stock through MLV from time to time up to an aggregate offering price of $30.0 million. Sales of the Company’s common stock through MLV, if any, can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the Company’s prior approval. The Company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The Company is not obligated to make any sales of common stock under the sales agreement and may terminate the sales agreement at any time upon written notice. On September 16, 2016, the Company entered into an amendment No. 1 to the ATM Agreement to also include FBR Capital Markets &amp; Co as a sales agent.</w:t>
      </w:r>
    </w:p>
    <w:p>
      <w:pPr>
        <w:spacing w:after="0" w:line="178" w:lineRule="exact"/>
        <w:rPr>
          <w:sz w:val="20"/>
          <w:szCs w:val="20"/>
          <w:color w:val="auto"/>
        </w:rPr>
      </w:pPr>
    </w:p>
    <w:p>
      <w:pPr>
        <w:ind w:right="260" w:firstLine="598"/>
        <w:spacing w:after="0" w:line="269" w:lineRule="auto"/>
        <w:rPr>
          <w:sz w:val="20"/>
          <w:szCs w:val="20"/>
          <w:color w:val="auto"/>
        </w:rPr>
      </w:pPr>
      <w:r>
        <w:rPr>
          <w:rFonts w:ascii="Arial" w:cs="Arial" w:eastAsia="Arial" w:hAnsi="Arial"/>
          <w:sz w:val="17"/>
          <w:szCs w:val="17"/>
          <w:color w:val="auto"/>
        </w:rPr>
        <w:t>For the year ended December 31, 2016, the Company generated gross proceeds of $264,000 from sales of the Company’s common stock under the ATM Agreement and incurred issuance costs of $95,000 offset against proceeds on the statement of equity on sales of 36,248 shares of common stock at prices ranging from $6.90 to $7.54 per share. For the year ended December 31, 2015, the Company generated gross proceeds of $32,700 and incurred issuance costs of $121,500 on sales of 7,800 shares of common stock at prices ranging from $4.16 to $4.23 per share.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03"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On September 26, 2011, the Company issued and sold to Kissei 220,000 shares of Series B Convertible Preferred Stock. Each share of the Series B Preferred stock was convertible into shares of common stock at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74" w:name="page75"/>
    <w:bookmarkEnd w:id="74"/>
    <w:p>
      <w:pPr>
        <w:ind w:right="140"/>
        <w:spacing w:after="0" w:line="277" w:lineRule="auto"/>
        <w:rPr>
          <w:sz w:val="20"/>
          <w:szCs w:val="20"/>
          <w:color w:val="auto"/>
        </w:rPr>
      </w:pPr>
      <w:r>
        <w:rPr>
          <w:rFonts w:ascii="Arial" w:cs="Arial" w:eastAsia="Arial" w:hAnsi="Arial"/>
          <w:sz w:val="18"/>
          <w:szCs w:val="18"/>
          <w:color w:val="auto"/>
        </w:rPr>
        <w:t>conversion rate of 1:10 at the option of the holder. On June 15, 2016, Kissei elected to convert all 220,000 preferred shares into 2,200,000 shares of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right="340" w:firstLine="598"/>
        <w:spacing w:after="0" w:line="308" w:lineRule="auto"/>
        <w:rPr>
          <w:sz w:val="20"/>
          <w:szCs w:val="20"/>
          <w:color w:val="auto"/>
        </w:rPr>
      </w:pPr>
      <w:r>
        <w:rPr>
          <w:rFonts w:ascii="Arial" w:cs="Arial" w:eastAsia="Arial" w:hAnsi="Arial"/>
          <w:sz w:val="17"/>
          <w:szCs w:val="17"/>
          <w:color w:val="auto"/>
        </w:rPr>
        <w:t>During the year ended December 31, 2016, 2,131,700 warrants were exercised for gross proceeds of $7.6 million with 207,600 warrants expiring unexercised. During the year ended December 31, 2015, 252,200 warrants were exercised for gross proceeds of $0.9 million.</w:t>
      </w:r>
    </w:p>
    <w:p>
      <w:pPr>
        <w:spacing w:after="0" w:line="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has the following warrants outstanding as of December 31, 2016:</w:t>
      </w:r>
    </w:p>
    <w:p>
      <w:pPr>
        <w:spacing w:after="0" w:line="117" w:lineRule="exact"/>
        <w:rPr>
          <w:sz w:val="20"/>
          <w:szCs w:val="20"/>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198,020 common stock warrants at an exercise price of $6.06 per share, which expire on May 10, 2017;</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750,000 common stock warrants at an exercise price of $3.15 per share, which expire on May 9, 2018; and</w:t>
      </w:r>
    </w:p>
    <w:p>
      <w:pPr>
        <w:spacing w:after="0" w:line="117" w:lineRule="exact"/>
        <w:rPr>
          <w:rFonts w:ascii="Arial" w:cs="Arial" w:eastAsia="Arial" w:hAnsi="Arial"/>
          <w:sz w:val="18"/>
          <w:szCs w:val="18"/>
          <w:color w:val="auto"/>
        </w:rPr>
      </w:pPr>
    </w:p>
    <w:p>
      <w:pPr>
        <w:ind w:right="2880" w:firstLine="602"/>
        <w:spacing w:after="0" w:line="402" w:lineRule="auto"/>
        <w:tabs>
          <w:tab w:leader="none" w:pos="11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119,047 common stock warrants at an exercise price of $3.38 per share, which expire on May 9, 2018. These warrants were accounted for as equity at issuance.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Reserved for Future Issuance</w:t>
      </w:r>
    </w:p>
    <w:p>
      <w:pPr>
        <w:spacing w:after="0" w:line="117"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w w:val="92"/>
              </w:rPr>
              <w:t>The following table summarizes common stock reserved for future issuance at December 31, 2016:</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vMerge w:val="continue"/>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Common Stock reserved for issuance under the ESPP</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184,125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Common stock reserved for issuance upon exercise of</w:t>
            </w: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warrants outstanding</w:t>
            </w:r>
          </w:p>
        </w:tc>
        <w:tc>
          <w:tcPr>
            <w:tcW w:w="1160" w:type="dxa"/>
            <w:vAlign w:val="bottom"/>
          </w:tcPr>
          <w:p>
            <w:pPr>
              <w:jc w:val="right"/>
              <w:spacing w:after="0"/>
              <w:rPr>
                <w:sz w:val="20"/>
                <w:szCs w:val="20"/>
                <w:color w:val="auto"/>
              </w:rPr>
            </w:pPr>
            <w:r>
              <w:rPr>
                <w:rFonts w:ascii="Arial" w:cs="Arial" w:eastAsia="Arial" w:hAnsi="Arial"/>
                <w:sz w:val="18"/>
                <w:szCs w:val="18"/>
                <w:color w:val="auto"/>
              </w:rPr>
              <w:t>1,067,067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Common stock reserved for issuance upon exercise of</w:t>
            </w:r>
          </w:p>
        </w:tc>
        <w:tc>
          <w:tcPr>
            <w:tcW w:w="1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options outstanding (under the 2004 Plan and</w:t>
            </w:r>
          </w:p>
        </w:tc>
        <w:tc>
          <w:tcPr>
            <w:tcW w:w="1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2013 Plan)</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4,432,017</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Common stock reserved for future equity awards (under</w:t>
            </w: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6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the 2013 Plan)</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1,203,192</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6,886,401</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w:t>
      </w:r>
    </w:p>
    <w:p>
      <w:pPr>
        <w:spacing w:after="0" w:line="117" w:lineRule="exact"/>
        <w:rPr>
          <w:sz w:val="20"/>
          <w:szCs w:val="20"/>
          <w:color w:val="auto"/>
        </w:rPr>
      </w:pPr>
    </w:p>
    <w:p>
      <w:pPr>
        <w:ind w:right="420" w:firstLine="598"/>
        <w:spacing w:after="0" w:line="264" w:lineRule="auto"/>
        <w:rPr>
          <w:sz w:val="20"/>
          <w:szCs w:val="20"/>
          <w:color w:val="auto"/>
        </w:rPr>
      </w:pPr>
      <w:r>
        <w:rPr>
          <w:rFonts w:ascii="Arial" w:cs="Arial" w:eastAsia="Arial" w:hAnsi="Arial"/>
          <w:sz w:val="18"/>
          <w:szCs w:val="18"/>
          <w:color w:val="auto"/>
        </w:rPr>
        <w:t>On August 24, 2015, we completed a firm-commitment underwritten public offering of 5,000,000 shares of common stock at a purchase price of $3.50 per share for gross proceeds of $17.5 million, and received net proceeds of approximately $16.0 million, net of underwriting discounts and commissions and offering expenses.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 reconciliation of loss before income taxes for domestic and foreign locations for the years ended December 31, 2016, 2015 and 2014 is as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7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9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0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7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 (10,892,276)</w:t>
            </w:r>
          </w:p>
        </w:tc>
        <w:tc>
          <w:tcPr>
            <w:tcW w:w="2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(8,866,201)</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(9,227,509)</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Foreign</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30,050</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28,481</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28,245</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(10,862,226</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 (8,837,720</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 (9,199,264</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700" w:type="dxa"/>
            <w:vAlign w:val="bottom"/>
            <w:vMerge w:val="restart"/>
          </w:tcPr>
          <w:p>
            <w:pPr>
              <w:jc w:val="right"/>
              <w:ind w:right="436"/>
              <w:spacing w:after="0"/>
              <w:rPr>
                <w:sz w:val="20"/>
                <w:szCs w:val="20"/>
                <w:color w:val="auto"/>
              </w:rPr>
            </w:pPr>
            <w:r>
              <w:rPr>
                <w:rFonts w:ascii="Arial" w:cs="Arial" w:eastAsia="Arial" w:hAnsi="Arial"/>
                <w:sz w:val="18"/>
                <w:szCs w:val="18"/>
                <w:color w:val="auto"/>
              </w:rPr>
              <w:t>73</w:t>
            </w: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75" w:name="page76"/>
    <w:bookmarkEnd w:id="75"/>
    <w:tbl>
      <w:tblPr>
        <w:tblLayout w:type="fixed"/>
        <w:tblInd w:w="600" w:type="dxa"/>
        <w:tblCellMar>
          <w:top w:w="0" w:type="dxa"/>
          <w:left w:w="0" w:type="dxa"/>
          <w:bottom w:w="0" w:type="dxa"/>
          <w:right w:w="0" w:type="dxa"/>
        </w:tblCellMar>
      </w:tblPr>
      <w:tr>
        <w:trPr>
          <w:trHeight w:val="230"/>
        </w:trPr>
        <w:tc>
          <w:tcPr>
            <w:tcW w:w="6900" w:type="dxa"/>
            <w:vAlign w:val="bottom"/>
            <w:gridSpan w:val="5"/>
          </w:tcPr>
          <w:p>
            <w:pPr>
              <w:jc w:val="right"/>
              <w:ind w:right="40"/>
              <w:spacing w:after="0"/>
              <w:rPr>
                <w:sz w:val="20"/>
                <w:szCs w:val="20"/>
                <w:color w:val="auto"/>
              </w:rPr>
            </w:pPr>
            <w:r>
              <w:rPr>
                <w:rFonts w:ascii="Arial" w:cs="Arial" w:eastAsia="Arial" w:hAnsi="Arial"/>
                <w:sz w:val="18"/>
                <w:szCs w:val="18"/>
                <w:color w:val="auto"/>
                <w:w w:val="89"/>
              </w:rPr>
              <w:t>A reconciliation of income tax expense for the years ended December 31, 2016, 2015 and 2014</w:t>
            </w:r>
          </w:p>
        </w:tc>
        <w:tc>
          <w:tcPr>
            <w:tcW w:w="4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Arial" w:cs="Arial" w:eastAsia="Arial" w:hAnsi="Arial"/>
                <w:sz w:val="18"/>
                <w:szCs w:val="18"/>
                <w:color w:val="auto"/>
              </w:rPr>
              <w:t>is as follows: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89"/>
        </w:trPr>
        <w:tc>
          <w:tcPr>
            <w:tcW w:w="5780" w:type="dxa"/>
            <w:vAlign w:val="bottom"/>
            <w:gridSpan w:val="2"/>
          </w:tcPr>
          <w:p>
            <w:pPr>
              <w:ind w:left="112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24"/>
                <w:szCs w:val="24"/>
                <w:color w:val="auto"/>
              </w:rPr>
            </w:pPr>
          </w:p>
        </w:tc>
      </w:tr>
      <w:tr>
        <w:trPr>
          <w:trHeight w:val="223"/>
        </w:trPr>
        <w:tc>
          <w:tcPr>
            <w:tcW w:w="112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2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(2,082)</w:t>
            </w:r>
          </w:p>
        </w:tc>
      </w:tr>
      <w:tr>
        <w:trPr>
          <w:trHeight w:val="230"/>
        </w:trPr>
        <w:tc>
          <w:tcPr>
            <w:tcW w:w="1120" w:type="dxa"/>
            <w:vAlign w:val="bottom"/>
          </w:tcPr>
          <w:p>
            <w:pPr>
              <w:spacing w:after="0"/>
              <w:rPr>
                <w:sz w:val="19"/>
                <w:szCs w:val="19"/>
                <w:color w:val="auto"/>
              </w:rPr>
            </w:pPr>
          </w:p>
        </w:tc>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5,655</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5,627</w:t>
            </w:r>
          </w:p>
        </w:tc>
        <w:tc>
          <w:tcPr>
            <w:tcW w:w="80" w:type="dxa"/>
            <w:vAlign w:val="bottom"/>
            <w:shd w:val="clear" w:color="auto" w:fill="CFF0FC"/>
          </w:tcPr>
          <w:p>
            <w:pPr>
              <w:spacing w:after="0"/>
              <w:rPr>
                <w:sz w:val="19"/>
                <w:szCs w:val="19"/>
                <w:color w:val="auto"/>
              </w:rPr>
            </w:pPr>
          </w:p>
        </w:tc>
      </w:tr>
      <w:tr>
        <w:trPr>
          <w:trHeight w:val="223"/>
        </w:trPr>
        <w:tc>
          <w:tcPr>
            <w:tcW w:w="5780" w:type="dxa"/>
            <w:vAlign w:val="bottom"/>
            <w:gridSpan w:val="2"/>
          </w:tcPr>
          <w:p>
            <w:pPr>
              <w:ind w:left="1120"/>
              <w:spacing w:after="0"/>
              <w:rPr>
                <w:sz w:val="20"/>
                <w:szCs w:val="20"/>
                <w:color w:val="auto"/>
              </w:rPr>
            </w:pPr>
            <w:r>
              <w:rPr>
                <w:rFonts w:ascii="Arial" w:cs="Arial" w:eastAsia="Arial" w:hAnsi="Arial"/>
                <w:sz w:val="18"/>
                <w:szCs w:val="18"/>
                <w:color w:val="auto"/>
              </w:rPr>
              <w:t>Total current income tax expense (benefit)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7,359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(3,972)</w:t>
            </w:r>
          </w:p>
        </w:tc>
        <w:tc>
          <w:tcPr>
            <w:tcW w:w="80" w:type="dxa"/>
            <w:vAlign w:val="bottom"/>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w:t>
            </w: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2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1120" w:type="dxa"/>
            <w:vAlign w:val="bottom"/>
          </w:tcPr>
          <w:p>
            <w:pPr>
              <w:spacing w:after="0"/>
              <w:rPr>
                <w:sz w:val="19"/>
                <w:szCs w:val="19"/>
                <w:color w:val="auto"/>
              </w:rPr>
            </w:pPr>
          </w:p>
        </w:tc>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112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1120" w:type="dxa"/>
            <w:vAlign w:val="bottom"/>
          </w:tcPr>
          <w:p>
            <w:pPr>
              <w:spacing w:after="0"/>
              <w:rPr>
                <w:sz w:val="19"/>
                <w:szCs w:val="19"/>
                <w:color w:val="auto"/>
              </w:rPr>
            </w:pPr>
          </w:p>
        </w:tc>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income tax expense</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780" w:type="dxa"/>
            <w:vAlign w:val="bottom"/>
            <w:gridSpan w:val="2"/>
          </w:tcPr>
          <w:p>
            <w:pPr>
              <w:ind w:left="1120"/>
              <w:spacing w:after="0"/>
              <w:rPr>
                <w:sz w:val="20"/>
                <w:szCs w:val="20"/>
                <w:color w:val="auto"/>
              </w:rPr>
            </w:pPr>
            <w:r>
              <w:rPr>
                <w:rFonts w:ascii="Arial" w:cs="Arial" w:eastAsia="Arial" w:hAnsi="Arial"/>
                <w:sz w:val="18"/>
                <w:szCs w:val="18"/>
                <w:b w:val="1"/>
                <w:bCs w:val="1"/>
                <w:color w:val="auto"/>
              </w:rPr>
              <w:t>Total income tax expense (benefit)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w:t>
            </w:r>
          </w:p>
        </w:tc>
        <w:tc>
          <w:tcPr>
            <w:tcW w:w="8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significant components of deferred income taxes at December 31, 2016, 2015 and 2014 are as follows:</w:t>
      </w:r>
    </w:p>
    <w:p>
      <w:pPr>
        <w:spacing w:after="0" w:line="200" w:lineRule="exact"/>
        <w:rPr>
          <w:sz w:val="20"/>
          <w:szCs w:val="20"/>
          <w:color w:val="auto"/>
        </w:rPr>
      </w:pPr>
    </w:p>
    <w:p>
      <w:pPr>
        <w:spacing w:after="0" w:line="28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20"/>
                <w:szCs w:val="20"/>
                <w:color w:val="auto"/>
              </w:rPr>
            </w:pPr>
          </w:p>
        </w:tc>
      </w:tr>
      <w:tr>
        <w:trPr>
          <w:trHeight w:val="223"/>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90,211,000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88,900,000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87,370,000</w:t>
            </w:r>
          </w:p>
        </w:tc>
        <w:tc>
          <w:tcPr>
            <w:tcW w:w="80" w:type="dxa"/>
            <w:vAlign w:val="bottom"/>
            <w:shd w:val="clear" w:color="auto" w:fill="CFF0FC"/>
          </w:tcPr>
          <w:p>
            <w:pPr>
              <w:spacing w:after="0"/>
              <w:rPr>
                <w:sz w:val="19"/>
                <w:szCs w:val="19"/>
                <w:color w:val="auto"/>
              </w:rPr>
            </w:pP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Capitalized licenses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838,000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1,084,000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1,330,000</w:t>
            </w:r>
          </w:p>
        </w:tc>
        <w:tc>
          <w:tcPr>
            <w:tcW w:w="80" w:type="dxa"/>
            <w:vAlign w:val="bottom"/>
          </w:tcPr>
          <w:p>
            <w:pPr>
              <w:spacing w:after="0"/>
              <w:rPr>
                <w:sz w:val="19"/>
                <w:szCs w:val="19"/>
                <w:color w:val="auto"/>
              </w:rPr>
            </w:pPr>
          </w:p>
        </w:tc>
      </w:tr>
      <w:tr>
        <w:trPr>
          <w:trHeight w:val="230"/>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tax credits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7,776,000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7,677,000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7,557,000</w:t>
            </w:r>
          </w:p>
        </w:tc>
        <w:tc>
          <w:tcPr>
            <w:tcW w:w="80" w:type="dxa"/>
            <w:vAlign w:val="bottom"/>
            <w:shd w:val="clear" w:color="auto" w:fill="CFF0FC"/>
          </w:tcPr>
          <w:p>
            <w:pPr>
              <w:spacing w:after="0"/>
              <w:rPr>
                <w:sz w:val="19"/>
                <w:szCs w:val="19"/>
                <w:color w:val="auto"/>
              </w:rPr>
            </w:pP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2,384,000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2,624,000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2,145,000</w:t>
            </w:r>
          </w:p>
        </w:tc>
        <w:tc>
          <w:tcPr>
            <w:tcW w:w="80" w:type="dxa"/>
            <w:vAlign w:val="bottom"/>
          </w:tcPr>
          <w:p>
            <w:pPr>
              <w:spacing w:after="0"/>
              <w:rPr>
                <w:sz w:val="19"/>
                <w:szCs w:val="19"/>
                <w:color w:val="auto"/>
              </w:rPr>
            </w:pPr>
          </w:p>
        </w:tc>
      </w:tr>
      <w:tr>
        <w:trPr>
          <w:trHeight w:val="230"/>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777,000</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763,000</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1,448,000</w:t>
            </w:r>
          </w:p>
        </w:tc>
        <w:tc>
          <w:tcPr>
            <w:tcW w:w="80" w:type="dxa"/>
            <w:vAlign w:val="bottom"/>
            <w:shd w:val="clear" w:color="auto" w:fill="CFF0FC"/>
          </w:tcPr>
          <w:p>
            <w:pPr>
              <w:spacing w:after="0"/>
              <w:rPr>
                <w:sz w:val="19"/>
                <w:szCs w:val="19"/>
                <w:color w:val="auto"/>
              </w:rPr>
            </w:pPr>
          </w:p>
        </w:tc>
      </w:tr>
      <w:tr>
        <w:trPr>
          <w:trHeight w:val="223"/>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101,986,000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101,048,000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99,850,000</w:t>
            </w:r>
          </w:p>
        </w:tc>
        <w:tc>
          <w:tcPr>
            <w:tcW w:w="80" w:type="dxa"/>
            <w:vAlign w:val="bottom"/>
            <w:tcBorders>
              <w:bottom w:val="single" w:sz="8" w:color="CFF0FC"/>
            </w:tcBorders>
          </w:tcPr>
          <w:p>
            <w:pPr>
              <w:spacing w:after="0"/>
              <w:rPr>
                <w:sz w:val="19"/>
                <w:szCs w:val="19"/>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In process R&amp;D</w:t>
            </w:r>
          </w:p>
        </w:tc>
        <w:tc>
          <w:tcPr>
            <w:tcW w:w="1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(1,956,000)</w:t>
            </w:r>
          </w:p>
        </w:tc>
        <w:tc>
          <w:tcPr>
            <w:tcW w:w="1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(1,956,000)</w:t>
            </w: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(1,956,000)</w:t>
            </w: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(1,956,000)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(1,956,000)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(1,956,000)</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100,030,000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99,092,000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97,894,000</w:t>
            </w:r>
          </w:p>
        </w:tc>
        <w:tc>
          <w:tcPr>
            <w:tcW w:w="80" w:type="dxa"/>
            <w:vAlign w:val="bottom"/>
          </w:tcPr>
          <w:p>
            <w:pPr>
              <w:spacing w:after="0"/>
              <w:rPr>
                <w:sz w:val="19"/>
                <w:szCs w:val="19"/>
                <w:color w:val="auto"/>
              </w:rPr>
            </w:pPr>
          </w:p>
        </w:tc>
      </w:tr>
      <w:tr>
        <w:trPr>
          <w:trHeight w:val="230"/>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2"/>
              </w:rPr>
              <w:t>(101,986,000)</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2"/>
              </w:rPr>
              <w:t>(101,048,000)</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(99,850,000)</w:t>
            </w:r>
          </w:p>
        </w:tc>
      </w:tr>
      <w:tr>
        <w:trPr>
          <w:trHeight w:val="223"/>
        </w:trPr>
        <w:tc>
          <w:tcPr>
            <w:tcW w:w="4340" w:type="dxa"/>
            <w:vAlign w:val="bottom"/>
          </w:tcPr>
          <w:p>
            <w:pPr>
              <w:spacing w:after="0"/>
              <w:rPr>
                <w:sz w:val="20"/>
                <w:szCs w:val="20"/>
                <w:color w:val="auto"/>
              </w:rPr>
            </w:pPr>
            <w:r>
              <w:rPr>
                <w:rFonts w:ascii="Arial" w:cs="Arial" w:eastAsia="Arial" w:hAnsi="Arial"/>
                <w:sz w:val="18"/>
                <w:szCs w:val="18"/>
                <w:b w:val="1"/>
                <w:bCs w:val="1"/>
                <w:color w:val="auto"/>
              </w:rPr>
              <w:t>Net deferred tax liability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(1,956,000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(1,956,000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(1,956,000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The Company has established a valuation allowance against net deferred tax assets due to the uncertainty that such assets will be realized. The Company periodically evaluates the recoverability of the deferred tax assets. At such time as it is determined that it is more likely than not that deferred tax assets will be realizable, the valuation allowance will be reduced.</w:t>
      </w:r>
    </w:p>
    <w:p>
      <w:pPr>
        <w:spacing w:after="0" w:line="181" w:lineRule="exact"/>
        <w:rPr>
          <w:sz w:val="20"/>
          <w:szCs w:val="20"/>
          <w:color w:val="auto"/>
        </w:rPr>
      </w:pPr>
    </w:p>
    <w:p>
      <w:pPr>
        <w:ind w:right="80" w:firstLine="598"/>
        <w:spacing w:after="0" w:line="273" w:lineRule="auto"/>
        <w:rPr>
          <w:sz w:val="20"/>
          <w:szCs w:val="20"/>
          <w:color w:val="auto"/>
        </w:rPr>
      </w:pPr>
      <w:r>
        <w:rPr>
          <w:rFonts w:ascii="Arial" w:cs="Arial" w:eastAsia="Arial" w:hAnsi="Arial"/>
          <w:sz w:val="17"/>
          <w:szCs w:val="17"/>
          <w:color w:val="auto"/>
        </w:rPr>
        <w:t>At December 31, 2016, the Company has federal and California net operating losses, or NOL, carryforwards of approximately $230.9 million and $163.5 million, respectively. The federal NOL carryforwards begin to expire in 2020, and the California NOL carryforwards will continue to expire in 2017. The Company expects that $41.9 million in California NOL carryforwards will expire by 2017 and the remaining $121.6 million in California NOL carryforwards will begin to expire in 2028. At December 31, 2016, the Company also had federal and California research tax credit carryforwards of approximately $6.7 million and $1.7 million, respectively. The federal research tax credit carryforwards begin to expire in 2024, and the California research tax credit carryforward does not expire and can be carried forward indefinitely until utilized.</w:t>
      </w:r>
    </w:p>
    <w:p>
      <w:pPr>
        <w:spacing w:after="0" w:line="178"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above NOL carryforward and the research tax credit carryforwards are subject to an annual limitation under Section 382 and 383 of the Internal Revenue Code of 1986, and similar state provisions due to ownership change limitations that have occurred which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The Company has not completed an IRC</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66" w:right="299" w:bottom="1440" w:gutter="0" w:footer="0" w:header="0"/>
        </w:sectPr>
      </w:pPr>
    </w:p>
    <w:bookmarkStart w:id="76" w:name="page77"/>
    <w:bookmarkEnd w:id="76"/>
    <w:p>
      <w:pPr>
        <w:ind w:right="60"/>
        <w:spacing w:after="0" w:line="297" w:lineRule="auto"/>
        <w:rPr>
          <w:sz w:val="20"/>
          <w:szCs w:val="20"/>
          <w:color w:val="auto"/>
        </w:rPr>
      </w:pPr>
      <w:r>
        <w:rPr>
          <w:rFonts w:ascii="Arial" w:cs="Arial" w:eastAsia="Arial" w:hAnsi="Arial"/>
          <w:sz w:val="16"/>
          <w:szCs w:val="16"/>
          <w:color w:val="auto"/>
        </w:rPr>
        <w:t>Section 382/383 analysis since 2011 regarding the limitation of net operating loss and research and development credit carryforwards. There is a risk that additional changes in ownership have occurred since the completion of the Company’s analysis, which was through December 2011. If a change in ownership were to have occurred, additional NOL and tax credit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the federal statutory income tax rate to the Company’s effective income tax rate is as follows:</w:t>
      </w:r>
    </w:p>
    <w:p>
      <w:pPr>
        <w:spacing w:after="0" w:line="392"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502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40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35.0%</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35.0%</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Tax credits</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7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(8.4)</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(13.5)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140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(0.1)</w:t>
            </w: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(0.1)</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Expiration of attributes</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(17.2)</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(24.6)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w:t>
            </w:r>
          </w:p>
        </w:tc>
        <w:tc>
          <w:tcPr>
            <w:tcW w:w="140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(13.6)</w:t>
            </w: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(3.4)</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(0.1)</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shd w:val="clear" w:color="auto" w:fill="000000"/>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vMerge w:val="continue"/>
            <w:shd w:val="clear" w:color="auto" w:fill="CFF0FC"/>
          </w:tcPr>
          <w:p>
            <w:pPr>
              <w:spacing w:after="0"/>
              <w:rPr>
                <w:sz w:val="19"/>
                <w:szCs w:val="19"/>
                <w:color w:val="auto"/>
              </w:rPr>
            </w:pPr>
          </w:p>
        </w:tc>
        <w:tc>
          <w:tcPr>
            <w:tcW w:w="140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0.0%</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40" w:firstLine="598"/>
        <w:spacing w:after="0" w:line="259" w:lineRule="auto"/>
        <w:rPr>
          <w:sz w:val="20"/>
          <w:szCs w:val="20"/>
          <w:color w:val="auto"/>
        </w:rPr>
      </w:pPr>
      <w:r>
        <w:rPr>
          <w:rFonts w:ascii="Arial" w:cs="Arial" w:eastAsia="Arial" w:hAnsi="Arial"/>
          <w:sz w:val="18"/>
          <w:szCs w:val="18"/>
          <w:color w:val="auto"/>
        </w:rPr>
        <w:t>The Company files income tax returns in the United States, California and foreign jurisdictions. Due to the Company’s losses incurred, the Company is essentially subject to income tax examination by tax authorities from inception to date. The Company’s policy is to recognize interest expense and penalties related to income tax matters as tax expense. At December 31, 2016, there are no unrecognized tax benefits, and there are not significant accruals for interest related to unrecognized tax benefits or tax penalties.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Savings Plan</w:t>
      </w:r>
    </w:p>
    <w:p>
      <w:pPr>
        <w:spacing w:after="0" w:line="121"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The Company has an employee savings plan available to substantially all employees. Under the plan, an employee may elect salary reductions which are contributed to the plan. The plan provides for discretionary contributions by the Company, which totaled $66,289, $64,749 and $63,935 for the years ended December 31, 2016, 2015 and 2014, respectively.</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Quarterly Financial Data (Unaudited)</w:t>
      </w:r>
    </w:p>
    <w:p>
      <w:pPr>
        <w:spacing w:after="0" w:line="121"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The following table presents certain quarterly financial data for eight consecutive quarters ended December 31, 2016. The unaudited quarterly information has been prepared on the same basis as the audited consolidated financial statements and, in the opinion of management, includes all adjustments, necessary for a fair presentation of this data (in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3"/>
              </w:rPr>
              <w:t>Year Ended December 31, 2016</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33"/>
        </w:trPr>
        <w:tc>
          <w:tcPr>
            <w:tcW w:w="58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ind w:right="580"/>
              <w:spacing w:after="0" w:line="133" w:lineRule="exact"/>
              <w:rPr>
                <w:sz w:val="20"/>
                <w:szCs w:val="20"/>
                <w:color w:val="auto"/>
              </w:rPr>
            </w:pPr>
            <w:r>
              <w:rPr>
                <w:rFonts w:ascii="Arial" w:cs="Arial" w:eastAsia="Arial" w:hAnsi="Arial"/>
                <w:sz w:val="14"/>
                <w:szCs w:val="14"/>
                <w:b w:val="1"/>
                <w:bCs w:val="1"/>
                <w:color w:val="auto"/>
              </w:rPr>
              <w:t>1st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rPr>
              <w:t>2nd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ind w:right="356"/>
              <w:spacing w:after="0" w:line="133" w:lineRule="exact"/>
              <w:rPr>
                <w:sz w:val="20"/>
                <w:szCs w:val="20"/>
                <w:color w:val="auto"/>
              </w:rPr>
            </w:pPr>
            <w:r>
              <w:rPr>
                <w:rFonts w:ascii="Arial" w:cs="Arial" w:eastAsia="Arial" w:hAnsi="Arial"/>
                <w:sz w:val="14"/>
                <w:szCs w:val="14"/>
                <w:b w:val="1"/>
                <w:bCs w:val="1"/>
                <w:color w:val="auto"/>
              </w:rPr>
              <w:t>4th</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71"/>
        </w:trPr>
        <w:tc>
          <w:tcPr>
            <w:tcW w:w="5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Selected quarterly financial data:</w:t>
            </w:r>
          </w:p>
        </w:tc>
        <w:tc>
          <w:tcPr>
            <w:tcW w:w="1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3,392</w:t>
            </w:r>
          </w:p>
        </w:tc>
        <w:tc>
          <w:tcPr>
            <w:tcW w:w="14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3,205</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2,845</w:t>
            </w:r>
          </w:p>
        </w:tc>
        <w:tc>
          <w:tcPr>
            <w:tcW w:w="14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(3,382)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(3,199)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(2,836)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(1,449)</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(3,382)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(2,836)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(1,449)</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share(1)</w:t>
            </w: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(0.04)</w:t>
            </w:r>
          </w:p>
        </w:tc>
        <w:tc>
          <w:tcPr>
            <w:tcW w:w="580" w:type="dxa"/>
            <w:vAlign w:val="bottom"/>
          </w:tcPr>
          <w:p>
            <w:pPr>
              <w:spacing w:after="0"/>
              <w:rPr>
                <w:sz w:val="19"/>
                <w:szCs w:val="19"/>
                <w:color w:val="auto"/>
              </w:rPr>
            </w:pPr>
          </w:p>
        </w:tc>
      </w:tr>
      <w:tr>
        <w:trPr>
          <w:trHeight w:val="432"/>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77" w:name="page78"/>
    <w:bookmarkEnd w:id="77"/>
    <w:tbl>
      <w:tblPr>
        <w:tblLayout w:type="fixed"/>
        <w:tblInd w:w="5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3"/>
              </w:rPr>
              <w:t>Year Ended December 31, 2015</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4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ind w:right="580"/>
              <w:spacing w:after="0" w:line="133" w:lineRule="exact"/>
              <w:rPr>
                <w:sz w:val="20"/>
                <w:szCs w:val="20"/>
                <w:color w:val="auto"/>
              </w:rPr>
            </w:pPr>
            <w:r>
              <w:rPr>
                <w:rFonts w:ascii="Arial" w:cs="Arial" w:eastAsia="Arial" w:hAnsi="Arial"/>
                <w:sz w:val="14"/>
                <w:szCs w:val="14"/>
                <w:b w:val="1"/>
                <w:bCs w:val="1"/>
                <w:color w:val="auto"/>
              </w:rPr>
              <w:t>1st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rPr>
              <w:t>2nd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560"/>
              <w:spacing w:after="0" w:line="133" w:lineRule="exact"/>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ind w:right="356"/>
              <w:spacing w:after="0" w:line="133" w:lineRule="exact"/>
              <w:rPr>
                <w:sz w:val="20"/>
                <w:szCs w:val="20"/>
                <w:color w:val="auto"/>
              </w:rPr>
            </w:pPr>
            <w:r>
              <w:rPr>
                <w:rFonts w:ascii="Arial" w:cs="Arial" w:eastAsia="Arial" w:hAnsi="Arial"/>
                <w:sz w:val="14"/>
                <w:szCs w:val="14"/>
                <w:b w:val="1"/>
                <w:bCs w:val="1"/>
                <w:color w:val="auto"/>
              </w:rPr>
              <w:t>4th</w:t>
            </w:r>
          </w:p>
        </w:tc>
        <w:tc>
          <w:tcPr>
            <w:tcW w:w="100" w:type="dxa"/>
            <w:vAlign w:val="bottom"/>
          </w:tcPr>
          <w:p>
            <w:pPr>
              <w:spacing w:after="0"/>
              <w:rPr>
                <w:sz w:val="11"/>
                <w:szCs w:val="11"/>
                <w:color w:val="auto"/>
              </w:rPr>
            </w:pPr>
          </w:p>
        </w:tc>
      </w:tr>
      <w:tr>
        <w:trPr>
          <w:trHeight w:val="171"/>
        </w:trPr>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Selected quarterly financial data:</w:t>
            </w:r>
          </w:p>
        </w:tc>
        <w:tc>
          <w:tcPr>
            <w:tcW w:w="9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2,215</w:t>
            </w:r>
          </w:p>
        </w:tc>
        <w:tc>
          <w:tcPr>
            <w:tcW w:w="14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2,277</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1,594</w:t>
            </w:r>
          </w:p>
        </w:tc>
        <w:tc>
          <w:tcPr>
            <w:tcW w:w="14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(2,215)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(2,287)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(1,608)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(2,735)</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(2,215)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(2,735)</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share(1)</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right="80" w:hanging="592"/>
        <w:spacing w:after="0" w:line="277" w:lineRule="auto"/>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Net loss per share is computed independently for each of the quarters presented. Therefore, the sum of the quarterly net income and loss per share will not necessarily equal the Annual Per Share Calculation.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Company has evaluated all subsequent events that have occurred after the date of the accompanying financial statements through February 14, 2017 and determined that there were no events or transactions occurring which require recognition or disclosure in the Company’s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346" w:right="47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598"/>
        <w:spacing w:after="0" w:line="272" w:lineRule="auto"/>
        <w:rPr>
          <w:sz w:val="20"/>
          <w:szCs w:val="20"/>
          <w:color w:val="auto"/>
        </w:rPr>
      </w:pPr>
      <w:r>
        <w:rPr>
          <w:rFonts w:ascii="Arial" w:cs="Arial" w:eastAsia="Arial" w:hAnsi="Arial"/>
          <w:sz w:val="17"/>
          <w:szCs w:val="17"/>
          <w:color w:val="auto"/>
        </w:rPr>
        <w:t>An evaluation was performed by our Chief Executive Officer and Chief Financial Officer of the effectiveness of the design and operation of our disclosure controls and procedures as defined in the Rules 13(a)-15(e) of the Securities Exchange Act of 1934, as amended (the “Exchange Act”). Disclosure controls and procedures are those controls and procedures designed to provide reasonable assurance that the information required to be disclosed in our Exchange Act filings is (1) recorded, processed, summarized and reported within the time periods specified in Securities and Exchange Commission’s rules and forms, and (2) accumulated and communicated to management, including our Chief Executive Officer and Chief Financial Officer, as appropriate, to allow timely decisions regarding required disclosure. Based on that evaluation, our Chief Executive Officer and Chief Financial Officer concluded that, as of December 31, 2016, our disclosure controls and procedures were effective.</w:t>
      </w:r>
    </w:p>
    <w:p>
      <w:pPr>
        <w:spacing w:after="0" w:line="178"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598"/>
        <w:spacing w:after="0" w:line="308" w:lineRule="auto"/>
        <w:rPr>
          <w:sz w:val="20"/>
          <w:szCs w:val="20"/>
          <w:color w:val="auto"/>
        </w:rPr>
      </w:pPr>
      <w:r>
        <w:rPr>
          <w:rFonts w:ascii="Arial" w:cs="Arial" w:eastAsia="Arial" w:hAnsi="Arial"/>
          <w:sz w:val="17"/>
          <w:szCs w:val="17"/>
          <w:color w:val="auto"/>
        </w:rPr>
        <w:t>There was no change in internal control over financial reporting (as such term is defined in Exchange Act Rules 13a-15(f) and 15d-15(f)) during our fourth fiscal quarter that has materially affected, or is reasonably likely to materially affect, our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9" w:lineRule="exact"/>
        <w:rPr>
          <w:sz w:val="20"/>
          <w:szCs w:val="20"/>
          <w:color w:val="auto"/>
        </w:rPr>
      </w:pPr>
    </w:p>
    <w:p>
      <w:pPr>
        <w:ind w:left="1420" w:hanging="248"/>
        <w:spacing w:after="0"/>
        <w:tabs>
          <w:tab w:leader="none" w:pos="1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40" w:lineRule="exact"/>
        <w:rPr>
          <w:rFonts w:ascii="Arial" w:cs="Arial" w:eastAsia="Arial" w:hAnsi="Arial"/>
          <w:sz w:val="16"/>
          <w:szCs w:val="16"/>
          <w:color w:val="auto"/>
        </w:rPr>
      </w:pPr>
    </w:p>
    <w:p>
      <w:pPr>
        <w:ind w:left="600" w:right="120" w:firstLine="572"/>
        <w:spacing w:after="0" w:line="264" w:lineRule="auto"/>
        <w:tabs>
          <w:tab w:leader="none" w:pos="1422"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our management and directors; and</w:t>
      </w:r>
    </w:p>
    <w:p>
      <w:pPr>
        <w:spacing w:after="0" w:line="73" w:lineRule="exact"/>
        <w:rPr>
          <w:rFonts w:ascii="Arial" w:cs="Arial" w:eastAsia="Arial" w:hAnsi="Arial"/>
          <w:sz w:val="18"/>
          <w:szCs w:val="18"/>
          <w:color w:val="auto"/>
        </w:rPr>
      </w:pPr>
    </w:p>
    <w:p>
      <w:pPr>
        <w:ind w:left="600" w:right="260" w:firstLine="572"/>
        <w:spacing w:after="0" w:line="277" w:lineRule="auto"/>
        <w:tabs>
          <w:tab w:leader="none" w:pos="1422"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Management is responsible for establishing and maintaining adequate internal control over financial reporting for the company.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4" w:right="259" w:bottom="1440" w:gutter="0" w:footer="0" w:header="0"/>
        </w:sectPr>
      </w:pPr>
    </w:p>
    <w:bookmarkStart w:id="79" w:name="page80"/>
    <w:bookmarkEnd w:id="79"/>
    <w:p>
      <w:pPr>
        <w:ind w:right="180" w:firstLine="598"/>
        <w:spacing w:after="0" w:line="259" w:lineRule="auto"/>
        <w:rPr>
          <w:sz w:val="20"/>
          <w:szCs w:val="20"/>
          <w:color w:val="auto"/>
        </w:rPr>
      </w:pPr>
      <w:r>
        <w:rPr>
          <w:rFonts w:ascii="Arial" w:cs="Arial" w:eastAsia="Arial" w:hAnsi="Arial"/>
          <w:sz w:val="18"/>
          <w:szCs w:val="18"/>
          <w:color w:val="auto"/>
        </w:rPr>
        <w:t>Management has used the framework set forth in the report entitled Internal Control-Integrated Framework (2013 framework) published by the Committee of Sponsoring Organizations of the Treadway Commission (2013 framework), known as COSO, to evaluate the effectiveness of our internal control over financial reporting. Based on this assessment, management has concluded that our internal control over financial reporting was effective as of December 31, 2016.</w:t>
      </w:r>
    </w:p>
    <w:p>
      <w:pPr>
        <w:spacing w:after="0" w:line="18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BDO USA, LLP, an independent registered public accounting firm, has audited our consolidated financial statements included in this Annual Report on Form 10-K and has issued an attestation report, included herein, on the effectiveness of our internal control over financial reporting as of December 31, 2016.</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 Jolla, California</w:t>
      </w:r>
    </w:p>
    <w:p>
      <w:pPr>
        <w:spacing w:after="0" w:line="10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MediciNova, Inc.’s internal control over financial reporting as of December 31, 2016, based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(the COSO criteria). MediciNova, Inc.’s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MediciNova, Inc. maintained, in all material respects, effective internal control over financial reporting as of December 31, 2016, based on the COSO criteria</w:t>
      </w:r>
      <w:r>
        <w:rPr>
          <w:rFonts w:ascii="Arial" w:cs="Arial" w:eastAsia="Arial" w:hAnsi="Arial"/>
          <w:sz w:val="18"/>
          <w:szCs w:val="18"/>
          <w:i w:val="1"/>
          <w:iCs w:val="1"/>
          <w:color w:val="auto"/>
        </w:rPr>
        <w: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MediciNova, Inc. as of December 31, 2016 and 2015, and the related consolidated statements of operations and comprehensive loss, stockholders’ equity, and cash flows for the years then ended and our report dated February 14, 2017 expressed an unqualified opinion thereon.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82" w:name="page83"/>
    <w:bookmarkEnd w:id="82"/>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The information required by this item and not set forth below will be contained in the sections titled “Election of Directors,” “Section 16(a) Beneficial Ownership Reporting Compliance, “Corporate Governance,” “Meetings and Committees of the Board, and “Executive Officers” in our definitive proxy statement for our 2017 Annual Meeting of Stockholders to be filed with the SEC within 120 days after the conclusion of our fiscal year ended December 31, 2016 and is incorporated in this Annual Report on Form 10-K by reference.</w:t>
      </w:r>
    </w:p>
    <w:p>
      <w:pPr>
        <w:spacing w:after="0" w:line="187"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 xml:space="preserve">We have adopted a Code of Ethics for Senior Officers, or Code of Ethics, that applies to our Chief Executive Officer, President, Chief Financial Officer and key management employees (including other senior financial officers) who have been identified by our Board of Directors. We have also adopted a Code of Business Conduct that applies to all of our officers, directors, employees, consultants and representatives. Each of the Code of Ethics and Code of Business Conduct are available on our website at </w:t>
      </w:r>
      <w:r>
        <w:rPr>
          <w:rFonts w:ascii="Arial" w:cs="Arial" w:eastAsia="Arial" w:hAnsi="Arial"/>
          <w:sz w:val="17"/>
          <w:szCs w:val="17"/>
          <w:i w:val="1"/>
          <w:iCs w:val="1"/>
          <w:color w:val="auto"/>
        </w:rPr>
        <w:t>www.medicinova.com</w:t>
      </w:r>
      <w:r>
        <w:rPr>
          <w:rFonts w:ascii="Arial" w:cs="Arial" w:eastAsia="Arial" w:hAnsi="Arial"/>
          <w:sz w:val="17"/>
          <w:szCs w:val="17"/>
          <w:color w:val="auto"/>
        </w:rPr>
        <w:t xml:space="preserve"> under the Corporate Governance section of our Investor Relations page. We will promptly post on our website (i) any waiver, if and when granted, to any provision of the Code of Ethics or Code of Business Conduct (for executive officers or directors) and (ii) any amendment to the Code of Ethics or Code of Business Conduct.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information required by this item will be contained in the section titled “Executive Compensation” in our Proxy Statement and is incorporated in this Annual Report on Form 10-K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860" w:firstLine="598"/>
        <w:spacing w:after="0" w:line="277" w:lineRule="auto"/>
        <w:rPr>
          <w:sz w:val="20"/>
          <w:szCs w:val="20"/>
          <w:color w:val="auto"/>
        </w:rPr>
      </w:pPr>
      <w:r>
        <w:rPr>
          <w:rFonts w:ascii="Arial" w:cs="Arial" w:eastAsia="Arial" w:hAnsi="Arial"/>
          <w:sz w:val="18"/>
          <w:szCs w:val="18"/>
          <w:color w:val="auto"/>
        </w:rPr>
        <w:t>Certain of the information required by this item will be contained in section titled “Security Ownership of Certain Beneficial Owners and Management” the Proxy Statement and is incorporated in this Annual Report on Form 10-K by reference.</w:t>
      </w:r>
    </w:p>
    <w:p>
      <w:pPr>
        <w:spacing w:after="0" w:line="170"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The following table provides information as of December 31, 2016 with respect to the shares of our common stock that may be issued under our existing equity compensation plans.</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Equity Compensation Plan Information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Upon Exercise of</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5240" w:type="dxa"/>
            <w:vAlign w:val="bottom"/>
            <w:gridSpan w:val="4"/>
            <w:vMerge w:val="restart"/>
          </w:tcPr>
          <w:p>
            <w:pPr>
              <w:ind w:left="1140"/>
              <w:spacing w:after="0"/>
              <w:rPr>
                <w:sz w:val="20"/>
                <w:szCs w:val="20"/>
                <w:color w:val="auto"/>
              </w:rPr>
            </w:pPr>
            <w:r>
              <w:rPr>
                <w:rFonts w:ascii="Arial" w:cs="Arial" w:eastAsia="Arial" w:hAnsi="Arial"/>
                <w:sz w:val="14"/>
                <w:szCs w:val="14"/>
                <w:b w:val="1"/>
                <w:bCs w:val="1"/>
                <w:color w:val="auto"/>
              </w:rPr>
              <w:t>Plan Category</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Options</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71"/>
        </w:trPr>
        <w:tc>
          <w:tcPr>
            <w:tcW w:w="5240" w:type="dxa"/>
            <w:vAlign w:val="bottom"/>
            <w:gridSpan w:val="4"/>
            <w:vMerge w:val="continue"/>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Options and Rights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and Rights</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9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Equity Compensation Plans Approved</w:t>
            </w:r>
          </w:p>
        </w:tc>
        <w:tc>
          <w:tcPr>
            <w:tcW w:w="120" w:type="dxa"/>
            <w:vAlign w:val="bottom"/>
            <w:tcBorders>
              <w:top w:val="single" w:sz="8" w:color="CFF0FC"/>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0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by Stockholders(1)</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4,432,017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1,387,317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080" w:type="dxa"/>
            <w:vAlign w:val="bottom"/>
            <w:gridSpan w:val="3"/>
          </w:tcPr>
          <w:p>
            <w:pPr>
              <w:ind w:left="120"/>
              <w:spacing w:after="0"/>
              <w:rPr>
                <w:sz w:val="20"/>
                <w:szCs w:val="20"/>
                <w:color w:val="auto"/>
              </w:rPr>
            </w:pPr>
            <w:r>
              <w:rPr>
                <w:rFonts w:ascii="Arial" w:cs="Arial" w:eastAsia="Arial" w:hAnsi="Arial"/>
                <w:sz w:val="18"/>
                <w:szCs w:val="18"/>
                <w:color w:val="auto"/>
              </w:rPr>
              <w:t>by Stockholders</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8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4,432,017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1,387,317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200" w:hanging="592"/>
        <w:spacing w:after="0" w:line="312" w:lineRule="auto"/>
        <w:tabs>
          <w:tab w:leader="none" w:pos="6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Consists of the Amended and Restated 2004 Stock Incentive Plan, the 2013 Equity Incentive Plan and the 2007 Employee Stock Purchase Plan, or ESPP. Under the ESPP, the shares reserved automatically increase by a number equal to the lesser of: (i) 15,000 shares; (ii) 1% of the outstanding shares of our common stock on the last day of the immediately preceding fiscal year; or (iii) such lesser amount as determined by the Board.</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information required by this item will be contained in the sections titled “Certain Relationships and Related Transactions” and “Corporate Governance” in our Proxy Statement and is incorporated in this Annual Report on Form 10-K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information required by this item will be contained in the section titled “Ratification of Appointment of Independent Registered Public Accounting Firm” in our Proxy Statement and is incorporated in this Annual Report on Form 10-K by reference.</w:t>
      </w:r>
    </w:p>
    <w:p>
      <w:pPr>
        <w:spacing w:after="0" w:line="33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445" w:right="79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860" w:hanging="254"/>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report.</w:t>
      </w:r>
    </w:p>
    <w:p>
      <w:pPr>
        <w:spacing w:after="0" w:line="225" w:lineRule="exact"/>
        <w:rPr>
          <w:sz w:val="20"/>
          <w:szCs w:val="20"/>
          <w:color w:val="auto"/>
        </w:rPr>
      </w:pPr>
    </w:p>
    <w:p>
      <w:pPr>
        <w:ind w:right="260" w:firstLine="606"/>
        <w:spacing w:after="0" w:line="277" w:lineRule="auto"/>
        <w:tabs>
          <w:tab w:leader="none" w:pos="778"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following financial statements of MediciNova, Inc. and Reports of BDO USA, LLP, an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are included in this Annual Report on Form 10-K: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60" w:type="dxa"/>
            <w:vAlign w:val="bottom"/>
            <w:gridSpan w:val="7"/>
            <w:vMerge w:val="restart"/>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Reports of Independent Registered Public Accounting Firms</w:t>
              </w:r>
            </w:hyperlink>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860" w:type="dxa"/>
            <w:vAlign w:val="bottom"/>
            <w:gridSpan w:val="7"/>
            <w:vMerge w:val="continue"/>
          </w:tcPr>
          <w:p>
            <w:pPr>
              <w:spacing w:after="0"/>
              <w:rPr>
                <w:sz w:val="14"/>
                <w:szCs w:val="14"/>
                <w:color w:val="auto"/>
              </w:rPr>
            </w:pPr>
          </w:p>
        </w:tc>
        <w:tc>
          <w:tcPr>
            <w:tcW w:w="5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Consolidated Balance Sheets</w:t>
              </w:r>
            </w:hyperlink>
          </w:p>
        </w:tc>
        <w:tc>
          <w:tcPr>
            <w:tcW w:w="2260" w:type="dxa"/>
            <w:vAlign w:val="bottom"/>
            <w:tcBorders>
              <w:top w:val="single" w:sz="8" w:color="0000EE"/>
            </w:tcBorders>
            <w:gridSpan w:val="4"/>
          </w:tcPr>
          <w:p>
            <w:pPr>
              <w:spacing w:after="0"/>
              <w:rPr>
                <w:sz w:val="17"/>
                <w:szCs w:val="17"/>
                <w:color w:val="auto"/>
              </w:rPr>
            </w:pPr>
          </w:p>
        </w:tc>
        <w:tc>
          <w:tcPr>
            <w:tcW w:w="6500" w:type="dxa"/>
            <w:vAlign w:val="bottom"/>
            <w:gridSpan w:val="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0860" w:type="dxa"/>
            <w:vAlign w:val="bottom"/>
            <w:gridSpan w:val="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Consolidated Statements of Operations and Comprehensive Loss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Consolidated Statements of Stockholders’ Equity</w:t>
              </w:r>
            </w:hyperlink>
          </w:p>
        </w:tc>
        <w:tc>
          <w:tcPr>
            <w:tcW w:w="1120" w:type="dxa"/>
            <w:vAlign w:val="bottom"/>
            <w:tcBorders>
              <w:top w:val="single" w:sz="8" w:color="0000EE"/>
            </w:tcBorders>
            <w:gridSpan w:val="2"/>
          </w:tcPr>
          <w:p>
            <w:pPr>
              <w:spacing w:after="0"/>
              <w:rPr>
                <w:sz w:val="17"/>
                <w:szCs w:val="17"/>
                <w:color w:val="auto"/>
              </w:rPr>
            </w:pPr>
          </w:p>
        </w:tc>
        <w:tc>
          <w:tcPr>
            <w:tcW w:w="618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Consolidated Statements of Cash Flows</w:t>
              </w:r>
            </w:hyperlink>
          </w:p>
        </w:tc>
        <w:tc>
          <w:tcPr>
            <w:tcW w:w="7980" w:type="dxa"/>
            <w:vAlign w:val="bottom"/>
            <w:gridSpan w:val="5"/>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Notes to Consolidated Financial Statements</w:t>
              </w:r>
            </w:hyperlink>
          </w:p>
        </w:tc>
        <w:tc>
          <w:tcPr>
            <w:tcW w:w="7700" w:type="dxa"/>
            <w:vAlign w:val="bottom"/>
            <w:gridSpan w:val="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xml:space="preserve"> None.</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1608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95" w:lineRule="exact"/>
        <w:rPr>
          <w:sz w:val="20"/>
          <w:szCs w:val="20"/>
          <w:color w:val="auto"/>
        </w:rPr>
      </w:pPr>
    </w:p>
    <w:p>
      <w:pPr>
        <w:ind w:left="880" w:right="440" w:hanging="787"/>
        <w:spacing w:after="0" w:line="277" w:lineRule="auto"/>
        <w:tabs>
          <w:tab w:leader="none" w:pos="8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the Registrant, as amended (incorporated by reference to Exhibit 3.1 of the Registrant’s Quarterly Report on Form 10-Q filed August 9, 2012).</w:t>
      </w:r>
    </w:p>
    <w:p>
      <w:pPr>
        <w:spacing w:after="0" w:line="76" w:lineRule="exact"/>
        <w:rPr>
          <w:sz w:val="20"/>
          <w:szCs w:val="20"/>
          <w:color w:val="auto"/>
        </w:rPr>
      </w:pPr>
    </w:p>
    <w:p>
      <w:pPr>
        <w:ind w:left="880" w:right="140" w:hanging="787"/>
        <w:spacing w:after="0" w:line="277" w:lineRule="auto"/>
        <w:tabs>
          <w:tab w:leader="none" w:pos="8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the Registrant (incorporated by reference to Exhibit 3.4 of the Registrant’s Registration Statement on Form S-1 (File No. 333-119433) filed October 1, 2004).</w:t>
      </w:r>
    </w:p>
    <w:p>
      <w:pPr>
        <w:spacing w:after="0" w:line="76" w:lineRule="exact"/>
        <w:rPr>
          <w:sz w:val="20"/>
          <w:szCs w:val="20"/>
          <w:color w:val="auto"/>
        </w:rPr>
      </w:pPr>
    </w:p>
    <w:p>
      <w:pPr>
        <w:ind w:left="880" w:right="100" w:hanging="787"/>
        <w:spacing w:after="0" w:line="277" w:lineRule="auto"/>
        <w:tabs>
          <w:tab w:leader="none" w:pos="8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Certificate of Designation, Preferences and Rights of the Series B Convertible Preferred Stock (incorporated by reference to Exhibit 3.1 of the Registrant’s Current Report on Form 8-K (File No. 001-33185) filed September 27, 2011).</w:t>
      </w:r>
    </w:p>
    <w:p>
      <w:pPr>
        <w:spacing w:after="0" w:line="76" w:lineRule="exact"/>
        <w:rPr>
          <w:sz w:val="20"/>
          <w:szCs w:val="20"/>
          <w:color w:val="auto"/>
        </w:rPr>
      </w:pPr>
    </w:p>
    <w:p>
      <w:pPr>
        <w:ind w:left="80"/>
        <w:spacing w:after="0"/>
        <w:tabs>
          <w:tab w:leader="none" w:pos="8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of Common Stock Certificate (incorporated by reference to Exhibit 4.1 of the Registrant’s Annual Report on Form 10-K (File No.</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001-33185) filed February 15, 2007).</w:t>
      </w:r>
    </w:p>
    <w:p>
      <w:pPr>
        <w:spacing w:after="0" w:line="116" w:lineRule="exact"/>
        <w:rPr>
          <w:sz w:val="20"/>
          <w:szCs w:val="20"/>
          <w:color w:val="auto"/>
        </w:rPr>
      </w:pPr>
    </w:p>
    <w:p>
      <w:pPr>
        <w:ind w:left="880" w:right="160" w:hanging="787"/>
        <w:spacing w:after="0" w:line="264" w:lineRule="auto"/>
        <w:tabs>
          <w:tab w:leader="none" w:pos="8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Amended and Restated Registration Rights Agreement, dated September 2, 2004, by and among the Registrant, its founders and the investors named therein (incorporated by reference to Exhibit 4.2 of the Registrant’s Registration Statement on Form S-1 (File No. 333-119433) filed October 1, 2004).</w:t>
      </w:r>
    </w:p>
    <w:p>
      <w:pPr>
        <w:spacing w:after="0" w:line="87" w:lineRule="exact"/>
        <w:rPr>
          <w:sz w:val="20"/>
          <w:szCs w:val="20"/>
          <w:color w:val="auto"/>
        </w:rPr>
      </w:pPr>
    </w:p>
    <w:p>
      <w:pPr>
        <w:ind w:left="880" w:right="480" w:hanging="787"/>
        <w:spacing w:after="0" w:line="277" w:lineRule="auto"/>
        <w:tabs>
          <w:tab w:leader="none" w:pos="8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Warrant, dated May 10, 2010, issued to Oxford Finance Corporation (incorporated by reference to Exhibit 4.1 of the Registrant’s Current Report on Form 8-K (File No. 001-33185) filed May 14, 2010).</w:t>
      </w:r>
    </w:p>
    <w:p>
      <w:pPr>
        <w:spacing w:after="0" w:line="76" w:lineRule="exact"/>
        <w:rPr>
          <w:sz w:val="20"/>
          <w:szCs w:val="20"/>
          <w:color w:val="auto"/>
        </w:rPr>
      </w:pPr>
    </w:p>
    <w:p>
      <w:pPr>
        <w:ind w:left="880" w:right="480" w:hanging="787"/>
        <w:spacing w:after="0" w:line="277" w:lineRule="auto"/>
        <w:tabs>
          <w:tab w:leader="none" w:pos="8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Form of Warrant to Purchase Common Stock, dated March 29, 2011 (incorporated by reference to Exhibit 4.1 of the Registrant’s Current Report 8-K (File No. 001-33185) filed March 24, 2011).</w:t>
      </w:r>
    </w:p>
    <w:p>
      <w:pPr>
        <w:spacing w:after="0" w:line="76" w:lineRule="exact"/>
        <w:rPr>
          <w:sz w:val="20"/>
          <w:szCs w:val="20"/>
          <w:color w:val="auto"/>
        </w:rPr>
      </w:pPr>
    </w:p>
    <w:p>
      <w:pPr>
        <w:ind w:left="880" w:right="140" w:hanging="787"/>
        <w:spacing w:after="0" w:line="277" w:lineRule="auto"/>
        <w:tabs>
          <w:tab w:leader="none" w:pos="8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Warrant, dated August 22, 2012, issued to Redington, Inc., as amended (incorporated by reference to Exhibit 4.8 of the Registrant’s Quarterly Report on Form 10-Q filed November 8, 2012).</w:t>
      </w:r>
    </w:p>
    <w:p>
      <w:pPr>
        <w:spacing w:after="0" w:line="76" w:lineRule="exact"/>
        <w:rPr>
          <w:sz w:val="20"/>
          <w:szCs w:val="20"/>
          <w:color w:val="auto"/>
        </w:rPr>
      </w:pPr>
    </w:p>
    <w:p>
      <w:pPr>
        <w:ind w:left="880" w:right="280" w:hanging="787"/>
        <w:spacing w:after="0" w:line="308" w:lineRule="auto"/>
        <w:tabs>
          <w:tab w:leader="none" w:pos="8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color w:val="auto"/>
        </w:rPr>
        <w:t>Form of Warrant to Purchase Common Stock, dated May 14, 2013, issued to Samurai Investments San Diego LLC and Fountain Erika LLC (incorporated by reference to Exhibit 4.1 of the Registrant’s Current Report on Form 8-K filed May 10, 2013).</w:t>
      </w:r>
    </w:p>
    <w:p>
      <w:pPr>
        <w:spacing w:after="0" w:line="52" w:lineRule="exact"/>
        <w:rPr>
          <w:sz w:val="20"/>
          <w:szCs w:val="20"/>
          <w:color w:val="auto"/>
        </w:rPr>
      </w:pPr>
    </w:p>
    <w:p>
      <w:pPr>
        <w:ind w:left="880" w:right="80" w:hanging="787"/>
        <w:spacing w:after="0" w:line="277" w:lineRule="auto"/>
        <w:tabs>
          <w:tab w:leader="none" w:pos="8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Amendment No. 1 to Warrant, dated May 29, 2013, entered into between the Registrant and Fountain Erika LLC (incorporated by reference to Exhibit 4.8 of the Registrant’s Annual Report on Form 10-K filed March 27, 2014).</w:t>
      </w:r>
    </w:p>
    <w:p>
      <w:pPr>
        <w:spacing w:after="0" w:line="76" w:lineRule="exact"/>
        <w:rPr>
          <w:sz w:val="20"/>
          <w:szCs w:val="20"/>
          <w:color w:val="auto"/>
        </w:rPr>
      </w:pPr>
    </w:p>
    <w:p>
      <w:pPr>
        <w:ind w:left="880" w:right="480" w:hanging="877"/>
        <w:spacing w:after="0" w:line="277" w:lineRule="auto"/>
        <w:tabs>
          <w:tab w:leader="none" w:pos="8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Amended and Restated 2004 Stock Incentive Plan of the Registrant (incorporated by reference to Exhibit 10.2 of the Registrant’s Annual Report on Form 10-K filed March 29, 2012).</w:t>
      </w:r>
    </w:p>
    <w:p>
      <w:pPr>
        <w:spacing w:after="0" w:line="76" w:lineRule="exact"/>
        <w:rPr>
          <w:sz w:val="20"/>
          <w:szCs w:val="20"/>
          <w:color w:val="auto"/>
        </w:rPr>
      </w:pPr>
    </w:p>
    <w:p>
      <w:pPr>
        <w:ind w:left="880" w:right="820" w:hanging="877"/>
        <w:spacing w:after="0" w:line="277" w:lineRule="auto"/>
        <w:tabs>
          <w:tab w:leader="none" w:pos="8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Form of Indemnity Agreement between the Registrant and its officers and directors (incorporated by reference to Exhibit 10.3 of the Registrant’s Annual Report on Form 10-K filed March 28, 2013).</w:t>
      </w:r>
    </w:p>
    <w:p>
      <w:pPr>
        <w:spacing w:after="0" w:line="7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License Agreement, dated March 14, 2002, between the Registrant and Kyorin Pharmaceutical Co., Ltd. (incorporated by reference to Exhibit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10.4 of the Registrant’s Registration Statement on Form S-1, as amended (File No. 333-119433), originally filed on October 1, 2004).</w:t>
      </w:r>
    </w:p>
    <w:p>
      <w:pPr>
        <w:spacing w:after="0" w:line="1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License Agreement, dated June 19, 2002, between the Registrant and Angiogene Pharmaceuticals, Ltd. (incorporated by reference to Exhibit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10.5 of the Registrant’s Registration Statement on Form S-1, as amended (File No. 333-119433), originally filed on October 1, 2004).</w:t>
      </w:r>
    </w:p>
    <w:p>
      <w:pPr>
        <w:spacing w:after="0" w:line="128" w:lineRule="exact"/>
        <w:rPr>
          <w:sz w:val="20"/>
          <w:szCs w:val="20"/>
          <w:color w:val="auto"/>
        </w:rPr>
      </w:pPr>
    </w:p>
    <w:p>
      <w:pPr>
        <w:ind w:left="880" w:hanging="877"/>
        <w:spacing w:after="0" w:line="258" w:lineRule="auto"/>
        <w:tabs>
          <w:tab w:leader="none" w:pos="8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Exclusive License Agreement, dated February 25, 2004, between the Registrant and Kissei Pharmaceutical Co., Ltd. (incorporated by reference to Exhibit 10.7 of the Registrant’s Registration Statement on Form S-1, as amended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(File No. 333-119433), originally filed on October 1, 2004).</w:t>
      </w:r>
    </w:p>
    <w:p>
      <w:pPr>
        <w:spacing w:after="0" w:line="116" w:lineRule="exact"/>
        <w:rPr>
          <w:sz w:val="20"/>
          <w:szCs w:val="20"/>
          <w:color w:val="auto"/>
        </w:rPr>
      </w:pPr>
    </w:p>
    <w:p>
      <w:pPr>
        <w:ind w:left="880" w:right="140" w:hanging="877"/>
        <w:spacing w:after="0" w:line="342" w:lineRule="auto"/>
        <w:tabs>
          <w:tab w:leader="none" w:pos="8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License Agreement, dated April 27, 2004, between the Registrant and Mitsubishi Tanabe Pharma Corporation (incorporated by reference to Exhibit 10.8 of the Registrant’s Registration Statement on Form S-1, as amended (File No. 333-119433), originally filed on October 1, 2004).</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color w:val="auto"/>
        </w:rPr>
        <w:t>Exhibit</w:t>
      </w:r>
    </w:p>
    <w:p>
      <w:pPr>
        <w:spacing w:after="0" w:line="3"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1608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9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License Agreement, dated October 22, 2004, between the Registrant and Kyorin Pharmaceutical Co., Ltd., (incorporated by reference to Exhibit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10.18 of the Registrant’s Registration Statement on Form S-1, as amended (File No. 333-119433), originally filed on October 1, 2004).</w:t>
      </w:r>
    </w:p>
    <w:p>
      <w:pPr>
        <w:spacing w:after="0" w:line="128" w:lineRule="exact"/>
        <w:rPr>
          <w:sz w:val="20"/>
          <w:szCs w:val="20"/>
          <w:color w:val="auto"/>
        </w:rPr>
      </w:pPr>
    </w:p>
    <w:p>
      <w:pPr>
        <w:jc w:val="right"/>
        <w:ind w:right="60"/>
        <w:spacing w:after="0" w:line="342" w:lineRule="auto"/>
        <w:rPr>
          <w:sz w:val="20"/>
          <w:szCs w:val="20"/>
          <w:color w:val="auto"/>
        </w:rPr>
      </w:pPr>
      <w:r>
        <w:rPr>
          <w:rFonts w:ascii="Arial" w:cs="Arial" w:eastAsia="Arial" w:hAnsi="Arial"/>
          <w:sz w:val="16"/>
          <w:szCs w:val="16"/>
          <w:color w:val="auto"/>
        </w:rPr>
        <w:t>10.8†     License Agreement, dated December 8, 2004, between the Registrant and Mitsubishi Tanabe Pharma Corporation (incorporated by reference to Exhibit 10.21 of the Registrant’s Registration Statement on Form S-1, as amended (File No. 333-119433), originally filed on October 1, 2004).</w:t>
      </w:r>
    </w:p>
    <w:p>
      <w:pPr>
        <w:spacing w:after="0" w:line="29" w:lineRule="exact"/>
        <w:rPr>
          <w:sz w:val="20"/>
          <w:szCs w:val="20"/>
          <w:color w:val="auto"/>
        </w:rPr>
      </w:pPr>
    </w:p>
    <w:p>
      <w:pPr>
        <w:ind w:left="880" w:right="40" w:hanging="877"/>
        <w:spacing w:after="0" w:line="277" w:lineRule="auto"/>
        <w:tabs>
          <w:tab w:leader="none" w:pos="8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Employment Agreement, dated September 1, 2006, between the Registrant and Masatsune Okajima (incorporated by reference to Exhibit 10.12 of the Registrant’s Annual Report on Form 10-K (File No. 001-33185) filed February 15, 2007).</w:t>
      </w:r>
    </w:p>
    <w:p>
      <w:pPr>
        <w:spacing w:after="0" w:line="7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License Agreement, dated October 31, 2006, by and between the Registrant and Meiji Seika Kaisha, Ltd. (incorporated by reference to Exhibit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10.1 of the Registrant’s Current Report on Form 8-K (File No. 000-51133) filed November 2, 2006).</w:t>
      </w:r>
    </w:p>
    <w:p>
      <w:pPr>
        <w:spacing w:after="0" w:line="11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License Agreement, dated October 31, 2006, by and between the Registrant and Meiji Seika Kaisha, Ltd. (incorporated by reference to Exhibit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10.2 of the Registrant’s Current Report on Form 8-K (File No. 000-51133) filed November 2, 2006).</w:t>
      </w:r>
    </w:p>
    <w:p>
      <w:pPr>
        <w:spacing w:after="0" w:line="116" w:lineRule="exact"/>
        <w:rPr>
          <w:sz w:val="20"/>
          <w:szCs w:val="20"/>
          <w:color w:val="auto"/>
        </w:rPr>
      </w:pPr>
    </w:p>
    <w:p>
      <w:pPr>
        <w:ind w:left="880" w:right="240" w:hanging="877"/>
        <w:spacing w:after="0" w:line="277" w:lineRule="auto"/>
        <w:tabs>
          <w:tab w:leader="none" w:pos="8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Executive Employment Agreement, dated April 1, 2007, between the Registrant and Yuichi Iwaki, M.D., Ph.D. (incorporated by reference to Exhibit 10.1 of the Registrant’s Current Report on Form 8-K (File No. 001-33185) filed April 4, 2007).</w:t>
      </w:r>
    </w:p>
    <w:p>
      <w:pPr>
        <w:spacing w:after="0" w:line="76" w:lineRule="exact"/>
        <w:rPr>
          <w:sz w:val="20"/>
          <w:szCs w:val="20"/>
          <w:color w:val="auto"/>
        </w:rPr>
      </w:pPr>
    </w:p>
    <w:p>
      <w:pPr>
        <w:ind w:left="880" w:right="40" w:hanging="877"/>
        <w:spacing w:after="0" w:line="277" w:lineRule="auto"/>
        <w:tabs>
          <w:tab w:leader="none" w:pos="8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2007 Employee Stock Purchase Plan of the Registrant (incorporated by reference to Appendix A of the Registrant’s Definitive Proxy Statement on Schedule 14A (File No. 001-33185) filed March 13, 2007).</w:t>
      </w:r>
    </w:p>
    <w:p>
      <w:pPr>
        <w:spacing w:after="0" w:line="76" w:lineRule="exact"/>
        <w:rPr>
          <w:sz w:val="20"/>
          <w:szCs w:val="20"/>
          <w:color w:val="auto"/>
        </w:rPr>
      </w:pPr>
    </w:p>
    <w:p>
      <w:pPr>
        <w:ind w:left="880" w:right="540" w:hanging="877"/>
        <w:spacing w:after="0" w:line="277" w:lineRule="auto"/>
        <w:tabs>
          <w:tab w:leader="none" w:pos="8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Development and Supply Agreement, dated as of March 26, 2009, between the Registrant and Hospira Worldwide, Inc. (incorporated by reference to Exhibit 10.1 of the Registrant’s Current Report on Form 8-K filed March 30, 2009).</w:t>
      </w:r>
    </w:p>
    <w:p>
      <w:pPr>
        <w:spacing w:after="0" w:line="76" w:lineRule="exact"/>
        <w:rPr>
          <w:sz w:val="20"/>
          <w:szCs w:val="20"/>
          <w:color w:val="auto"/>
        </w:rPr>
      </w:pPr>
    </w:p>
    <w:p>
      <w:pPr>
        <w:ind w:left="880" w:hanging="877"/>
        <w:spacing w:after="0" w:line="277" w:lineRule="auto"/>
        <w:tabs>
          <w:tab w:leader="none" w:pos="8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Assignment Agreement, dated December 19, 2005, between Genzyme Corporation and Avigen, Inc. (incorporated by reference to Exhibit 10.58 of Avigen, Inc.’s Annual Report on Form 10-K (File No. 000-28272) filed March 16, 2006).</w:t>
      </w:r>
    </w:p>
    <w:p>
      <w:pPr>
        <w:spacing w:after="0" w:line="76" w:lineRule="exact"/>
        <w:rPr>
          <w:sz w:val="20"/>
          <w:szCs w:val="20"/>
          <w:color w:val="auto"/>
        </w:rPr>
      </w:pPr>
    </w:p>
    <w:p>
      <w:pPr>
        <w:ind w:left="880" w:hanging="877"/>
        <w:spacing w:after="0" w:line="264" w:lineRule="auto"/>
        <w:tabs>
          <w:tab w:leader="none" w:pos="8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Asset Purchase Agreement, dated December 17, 2008, between Baxter Healthcare Corporation, Baxter International Inc., and Baxter Healthcare S.A. and Avigen, Inc. (incorporated by reference to Exhibit 2.2 of Avigen, Inc.’s Annual Report on Form 10-K (File No. 000-28272) filed March 16, 2009).</w:t>
      </w:r>
    </w:p>
    <w:p>
      <w:pPr>
        <w:spacing w:after="0" w:line="8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Form of Amendment to Employment Agreement, dated December 31, 2011, between the Registrant and Yuichi Iwaki, M.D., Ph.D.</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(incorporated by reference to Exhibit 10.1 of the Registrant’s Current Report on Form 8-K (File No. 001-33185) filed January 4, 2011).</w:t>
      </w:r>
    </w:p>
    <w:p>
      <w:pPr>
        <w:spacing w:after="0" w:line="128" w:lineRule="exact"/>
        <w:rPr>
          <w:sz w:val="20"/>
          <w:szCs w:val="20"/>
          <w:color w:val="auto"/>
        </w:rPr>
      </w:pPr>
    </w:p>
    <w:p>
      <w:pPr>
        <w:ind w:left="880" w:right="160" w:hanging="877"/>
        <w:spacing w:after="0" w:line="264" w:lineRule="auto"/>
        <w:tabs>
          <w:tab w:leader="none" w:pos="86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Joint Venture Agreement, dated June 29, 2011, among the Registrant, Zhejiang Medicine Co., Ltd. and Beijing Make-Friend Medicine Technology Co., Ltd. (incorporated by reference to Exhibit 10.44 of the Registrant’s Current Report on Form 10-Q (File No. 001-33185) filed August 15, 2011).</w:t>
      </w:r>
    </w:p>
    <w:p>
      <w:pPr>
        <w:spacing w:after="0" w:line="87" w:lineRule="exact"/>
        <w:rPr>
          <w:sz w:val="20"/>
          <w:szCs w:val="20"/>
          <w:color w:val="auto"/>
        </w:rPr>
      </w:pPr>
    </w:p>
    <w:p>
      <w:pPr>
        <w:ind w:left="880" w:right="140" w:hanging="877"/>
        <w:spacing w:after="0" w:line="308" w:lineRule="auto"/>
        <w:tabs>
          <w:tab w:leader="none" w:pos="8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7"/>
          <w:szCs w:val="17"/>
          <w:color w:val="auto"/>
        </w:rPr>
        <w:t>Stock Purchase Agreement, dated September 26, 2011, between the Registrant and Kissei Pharmaceutical Co. Ltd., (incorporated by reference to Exhibit 10.1 of the Registrant’s Current Report on Form 8-K (File No. 001-33185) filed September 27, 2011).</w:t>
      </w:r>
    </w:p>
    <w:p>
      <w:pPr>
        <w:spacing w:after="0" w:line="52" w:lineRule="exact"/>
        <w:rPr>
          <w:sz w:val="20"/>
          <w:szCs w:val="20"/>
          <w:color w:val="auto"/>
        </w:rPr>
      </w:pPr>
    </w:p>
    <w:p>
      <w:pPr>
        <w:ind w:left="880" w:right="140" w:hanging="877"/>
        <w:spacing w:after="0" w:line="277" w:lineRule="auto"/>
        <w:tabs>
          <w:tab w:leader="none" w:pos="8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Sublease Agreement, dated February 27, 2013, between the Registrant and Denali Advisors LLC (incorporated by reference to Exhibit 10.1 of the Registrant’s Current Report on Form 8-K filed March 1, 2013).</w:t>
      </w:r>
    </w:p>
    <w:p>
      <w:pPr>
        <w:spacing w:after="0" w:line="76" w:lineRule="exact"/>
        <w:rPr>
          <w:sz w:val="20"/>
          <w:szCs w:val="20"/>
          <w:color w:val="auto"/>
        </w:rPr>
      </w:pPr>
    </w:p>
    <w:p>
      <w:pPr>
        <w:ind w:left="880" w:right="100" w:hanging="877"/>
        <w:spacing w:after="0" w:line="308" w:lineRule="auto"/>
        <w:tabs>
          <w:tab w:leader="none" w:pos="8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7"/>
          <w:szCs w:val="17"/>
          <w:color w:val="auto"/>
        </w:rPr>
        <w:t>Securities Purchase Agreement, dated May 9, 2013, between the Registrant and Samurai Investments San Diego LLC and Fountain Erika LLC (incorporated by reference to Exhibit 10.1 of the Registrant’s Current Report on Form 8-K filed May 10, 2013).</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4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80" w:type="dxa"/>
            <w:vAlign w:val="bottom"/>
          </w:tcPr>
          <w:p>
            <w:pPr>
              <w:spacing w:after="0"/>
              <w:rPr>
                <w:sz w:val="24"/>
                <w:szCs w:val="2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10.22*</w:t>
            </w:r>
          </w:p>
        </w:tc>
        <w:tc>
          <w:tcPr>
            <w:tcW w:w="180" w:type="dxa"/>
            <w:vAlign w:val="bottom"/>
          </w:tcPr>
          <w:p>
            <w:pPr>
              <w:spacing w:after="0"/>
              <w:rPr>
                <w:sz w:val="24"/>
                <w:szCs w:val="24"/>
                <w:color w:val="auto"/>
              </w:rPr>
            </w:pPr>
          </w:p>
        </w:tc>
        <w:tc>
          <w:tcPr>
            <w:tcW w:w="10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2013 Equity Incentive Plan of the Registrant (incorporated by reference to Exhibit 4.8 of the Registrant’s Annual Report on Form 10-K filed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March 27, 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10.23</w:t>
            </w:r>
          </w:p>
        </w:tc>
        <w:tc>
          <w:tcPr>
            <w:tcW w:w="18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2"/>
              </w:rPr>
              <w:t>Equity Distribution Agreement, dated October 16, 2013, between the Registrant and Macquarie Capital (USA) Inc. (incorporated by reference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to Exhibit 10.1 of the Registrant’s Current Report on Form 8-K filed October 16, 2013).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4"/>
              </w:rPr>
              <w:t>Form of Notice of Stock Option Grant and Stock Option Agreement for awards pursuant to the 2013 Equity Incentive Plan (incorporated by</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 to Exhibit 10.3 of the Registrant’s Quarterly Report on Form 10-Q filed November 7, 2013).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10.25*</w:t>
            </w:r>
          </w:p>
        </w:tc>
        <w:tc>
          <w:tcPr>
            <w:tcW w:w="18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4"/>
              </w:rPr>
              <w:t>Engagement Agreement, effective April 8, 2014, by and between MediciNova, Inc. and van den Boom &amp; Associates, LLC (incorporated by</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 to Exhibit 10.1 of the Registrant’s Current Report on Form 8-K filed April 9, 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3"/>
              </w:rPr>
              <w:t>Severance Protection Agreement, dated July 14, 2014, by and between MediciNova, Inc. and Dr. Yuichi Iwaki (incorporated by reference to</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Exhibit 10.2 of the Registrant’s Quarterly Report on Form 10-Q filed August 13, 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10.27*</w:t>
            </w:r>
          </w:p>
        </w:tc>
        <w:tc>
          <w:tcPr>
            <w:tcW w:w="18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Severance Protection Agreement, dated July 14, 2014, by and between MediciNova, Inc. and Masatsune Okajima (incorporated by reference to</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Exhibit 10.3 of the Registrant’s Quarterly Report on Form 10-Q filed August 13, 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10.28*</w:t>
            </w:r>
          </w:p>
        </w:tc>
        <w:tc>
          <w:tcPr>
            <w:tcW w:w="18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0"/>
              </w:rPr>
              <w:t>Severance Protection Agreement, dated July 14, 2014, by and between MediciNova, Inc. and Dr. Kazuko Matsuda (incorporated by reference to</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Exhibit 10.4 of the Registrant’s Quarterly Report on Form 10-Q filed August 13, 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10.29*</w:t>
            </w:r>
          </w:p>
        </w:tc>
        <w:tc>
          <w:tcPr>
            <w:tcW w:w="18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2"/>
              </w:rPr>
              <w:t>Severance Protection Agreement, dated July 14, 2014, by and between MediciNova, Inc. and Geoffrey O’Brien (incorporated by reference to</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Exhibit 10.5 of the Registrant’s Quarterly Report on Form 10-Q filed August 13, 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10.30*</w:t>
            </w:r>
          </w:p>
        </w:tc>
        <w:tc>
          <w:tcPr>
            <w:tcW w:w="18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4"/>
              </w:rPr>
              <w:t>Engagement Agreement, effective April 3, 2015, by and between MediciNova, Inc. and van den Boom &amp; Associates, LLC (incorporated by</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 to Exhibit 10.1 of the Registrant’s Current Report on Form 8-K filed April 3, 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10.31</w:t>
            </w:r>
          </w:p>
        </w:tc>
        <w:tc>
          <w:tcPr>
            <w:tcW w:w="18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6"/>
              </w:rPr>
              <w:t>At-the-Market Issuance Sales Agreement, dated May 22, 2015, by and between MediciNova, Inc. and MLV &amp; Co. LLC (incorporated by</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 to Exhibit 10.1 of the Registrant’s Current Report on Form 8-K filed May 22, 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10.32</w:t>
            </w:r>
          </w:p>
        </w:tc>
        <w:tc>
          <w:tcPr>
            <w:tcW w:w="18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3"/>
              </w:rPr>
              <w:t>Services Agreement, effective March 31, 2016, by and between MediciNova, Inc. and Signature Analytics San Diego, LLC (incorporated by</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reference to Exhibit 10.1 of the Registrant’s Current Report on Form 8-K filed March 31, 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10.33</w:t>
            </w:r>
          </w:p>
        </w:tc>
        <w:tc>
          <w:tcPr>
            <w:tcW w:w="180" w:type="dxa"/>
            <w:vAlign w:val="bottom"/>
          </w:tcPr>
          <w:p>
            <w:pPr>
              <w:spacing w:after="0"/>
              <w:rPr>
                <w:sz w:val="24"/>
                <w:szCs w:val="24"/>
                <w:color w:val="auto"/>
              </w:rPr>
            </w:pPr>
          </w:p>
        </w:tc>
        <w:tc>
          <w:tcPr>
            <w:tcW w:w="10400" w:type="dxa"/>
            <w:vAlign w:val="bottom"/>
          </w:tcPr>
          <w:p>
            <w:pPr>
              <w:ind w:left="160"/>
              <w:spacing w:after="0"/>
              <w:rPr>
                <w:sz w:val="20"/>
                <w:szCs w:val="20"/>
                <w:color w:val="auto"/>
              </w:rPr>
            </w:pPr>
            <w:r>
              <w:rPr>
                <w:rFonts w:ascii="Arial" w:cs="Arial" w:eastAsia="Arial" w:hAnsi="Arial"/>
                <w:sz w:val="18"/>
                <w:szCs w:val="18"/>
                <w:color w:val="auto"/>
                <w:w w:val="94"/>
              </w:rPr>
              <w:t>Amendment No. 1 to At-the Market Issuance Sales Agreement, dated September 16, 2016, by and among MediciNova, Inc., MLV &amp; Co.</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8"/>
                <w:szCs w:val="18"/>
                <w:color w:val="auto"/>
                <w:w w:val="98"/>
              </w:rPr>
              <w:t>LLC and FBR Capital Markets &amp; Co. (incorporated by reference to Exhibit 10.1 of the Registrant’s Current Report on Form 8-K filed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0" w:type="dxa"/>
            <w:vAlign w:val="bottom"/>
          </w:tcPr>
          <w:p>
            <w:pPr>
              <w:ind w:left="160"/>
              <w:spacing w:after="0"/>
              <w:rPr>
                <w:sz w:val="20"/>
                <w:szCs w:val="20"/>
                <w:color w:val="auto"/>
              </w:rPr>
            </w:pPr>
            <w:r>
              <w:rPr>
                <w:rFonts w:ascii="Arial" w:cs="Arial" w:eastAsia="Arial" w:hAnsi="Arial"/>
                <w:sz w:val="18"/>
                <w:szCs w:val="18"/>
                <w:color w:val="auto"/>
              </w:rPr>
              <w:t>September 16, 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0" w:type="dxa"/>
            <w:vAlign w:val="bottom"/>
          </w:tcPr>
          <w:p>
            <w:pPr>
              <w:ind w:left="466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4" w:right="219" w:bottom="1440" w:gutter="0" w:footer="0" w:header="0"/>
        </w:sectPr>
      </w:pPr>
    </w:p>
    <w:bookmarkStart w:id="88" w:name="page89"/>
    <w:bookmarkEnd w:id="88"/>
    <w:p>
      <w:pPr>
        <w:ind w:left="72"/>
        <w:spacing w:after="0"/>
        <w:rPr>
          <w:sz w:val="20"/>
          <w:szCs w:val="20"/>
          <w:color w:val="auto"/>
        </w:rPr>
      </w:pPr>
      <w:r>
        <w:rPr>
          <w:rFonts w:ascii="Arial" w:cs="Arial" w:eastAsia="Arial" w:hAnsi="Arial"/>
          <w:sz w:val="14"/>
          <w:szCs w:val="14"/>
          <w:b w:val="1"/>
          <w:bCs w:val="1"/>
          <w:color w:val="auto"/>
        </w:rPr>
        <w:t>Exhibit</w:t>
      </w:r>
    </w:p>
    <w:p>
      <w:pPr>
        <w:spacing w:after="0" w:line="3" w:lineRule="exact"/>
        <w:rPr>
          <w:sz w:val="20"/>
          <w:szCs w:val="20"/>
          <w:color w:val="auto"/>
        </w:rPr>
      </w:pPr>
    </w:p>
    <w:p>
      <w:pPr>
        <w:ind w:left="72"/>
        <w:spacing w:after="0"/>
        <w:tabs>
          <w:tab w:leader="none" w:pos="932"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-3175</wp:posOffset>
            </wp:positionV>
            <wp:extent cx="71608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95" w:lineRule="exact"/>
        <w:rPr>
          <w:sz w:val="20"/>
          <w:szCs w:val="20"/>
          <w:color w:val="auto"/>
        </w:rPr>
      </w:pPr>
    </w:p>
    <w:p>
      <w:pPr>
        <w:ind w:left="72"/>
        <w:spacing w:after="0"/>
        <w:tabs>
          <w:tab w:leader="none" w:pos="932"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31" w:lineRule="exact"/>
        <w:rPr>
          <w:sz w:val="20"/>
          <w:szCs w:val="20"/>
          <w:color w:val="auto"/>
        </w:rPr>
      </w:pPr>
    </w:p>
    <w:p>
      <w:pPr>
        <w:ind w:left="72"/>
        <w:spacing w:after="0"/>
        <w:tabs>
          <w:tab w:leader="none" w:pos="932"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Independent Registered Public Accounting Firm.</w:t>
      </w:r>
    </w:p>
    <w:p>
      <w:pPr>
        <w:spacing w:after="0" w:line="131" w:lineRule="exact"/>
        <w:rPr>
          <w:sz w:val="20"/>
          <w:szCs w:val="20"/>
          <w:color w:val="auto"/>
        </w:rPr>
      </w:pPr>
    </w:p>
    <w:p>
      <w:pPr>
        <w:ind w:left="72"/>
        <w:spacing w:after="0"/>
        <w:tabs>
          <w:tab w:leader="none" w:pos="932"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 (see signature page).</w:t>
      </w:r>
    </w:p>
    <w:p>
      <w:pPr>
        <w:spacing w:after="0" w:line="131" w:lineRule="exact"/>
        <w:rPr>
          <w:sz w:val="20"/>
          <w:szCs w:val="20"/>
          <w:color w:val="auto"/>
        </w:rPr>
      </w:pPr>
    </w:p>
    <w:p>
      <w:pPr>
        <w:ind w:left="72"/>
        <w:spacing w:after="0"/>
        <w:tabs>
          <w:tab w:leader="none" w:pos="932"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Principal Executive Officer pursuant to Rules 13a-14 and 15d-14 promulgated under the Securities Act of 1933.</w:t>
      </w:r>
    </w:p>
    <w:p>
      <w:pPr>
        <w:spacing w:after="0" w:line="131" w:lineRule="exact"/>
        <w:rPr>
          <w:sz w:val="20"/>
          <w:szCs w:val="20"/>
          <w:color w:val="auto"/>
        </w:rPr>
      </w:pPr>
    </w:p>
    <w:p>
      <w:pPr>
        <w:ind w:left="72"/>
        <w:spacing w:after="0"/>
        <w:tabs>
          <w:tab w:leader="none" w:pos="932"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Principal Financial Officer pursuant to Rules 13a-14 and 15d-14 promulgated under the Securities Act of 1933.</w:t>
      </w:r>
    </w:p>
    <w:p>
      <w:pPr>
        <w:spacing w:after="0" w:line="131" w:lineRule="exact"/>
        <w:rPr>
          <w:sz w:val="20"/>
          <w:szCs w:val="20"/>
          <w:color w:val="auto"/>
        </w:rPr>
      </w:pPr>
    </w:p>
    <w:p>
      <w:pPr>
        <w:ind w:left="952" w:hanging="877"/>
        <w:spacing w:after="0" w:line="277" w:lineRule="auto"/>
        <w:tabs>
          <w:tab w:leader="none" w:pos="932"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Principal Executive Officer pursuant to 18 U.S.C. Section 1350, as adopted pursuant to Section 906 of the Sarbanes-Oxley Act of 2002.</w:t>
      </w:r>
    </w:p>
    <w:p>
      <w:pPr>
        <w:spacing w:after="0" w:line="76" w:lineRule="exact"/>
        <w:rPr>
          <w:sz w:val="20"/>
          <w:szCs w:val="20"/>
          <w:color w:val="auto"/>
        </w:rPr>
      </w:pPr>
    </w:p>
    <w:p>
      <w:pPr>
        <w:ind w:left="952" w:right="60" w:hanging="877"/>
        <w:spacing w:after="0" w:line="277" w:lineRule="auto"/>
        <w:tabs>
          <w:tab w:leader="none" w:pos="932"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Principal Financial Officer pursuant to 18 U.S.C. Section 1350, as adopted pursuant to Section 906 of the Sarbanes-Oxley Act of 2002.</w:t>
      </w:r>
    </w:p>
    <w:p>
      <w:pPr>
        <w:spacing w:after="0" w:line="76" w:lineRule="exact"/>
        <w:rPr>
          <w:sz w:val="20"/>
          <w:szCs w:val="20"/>
          <w:color w:val="auto"/>
        </w:rPr>
      </w:pPr>
    </w:p>
    <w:p>
      <w:pPr>
        <w:ind w:left="952" w:right="80" w:hanging="884"/>
        <w:spacing w:after="0" w:line="259" w:lineRule="auto"/>
        <w:tabs>
          <w:tab w:leader="none" w:pos="952"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following financial statements from MediciNova, Inc. on Form 10-K as of and for the year ended December 31, 2016 formatted in Extensible Business Reporting Language (XBRL): (i) Consolidated Balance Sheets; (ii) Consolidated Statements of Operations; (iii) Consolidated Statements of Stockholders’ Equity and Comprehensive Loss; (iv) Consolidated Statements of Cash Flows; and (v) the notes to the consolidated financial statements.</w:t>
      </w:r>
    </w:p>
    <w:p>
      <w:pPr>
        <w:spacing w:after="0" w:line="159" w:lineRule="exact"/>
        <w:rPr>
          <w:rFonts w:ascii="Arial" w:cs="Arial" w:eastAsia="Arial" w:hAnsi="Arial"/>
          <w:sz w:val="18"/>
          <w:szCs w:val="18"/>
          <w:color w:val="auto"/>
        </w:rPr>
      </w:pPr>
    </w:p>
    <w:p>
      <w:pPr>
        <w:ind w:left="592" w:hanging="592"/>
        <w:spacing w:after="0"/>
        <w:tabs>
          <w:tab w:leader="none" w:pos="5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11150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 w:lineRule="exact"/>
        <w:rPr>
          <w:sz w:val="20"/>
          <w:szCs w:val="20"/>
          <w:color w:val="auto"/>
        </w:rPr>
      </w:pPr>
    </w:p>
    <w:p>
      <w:pPr>
        <w:ind w:left="592" w:hanging="592"/>
        <w:spacing w:after="0"/>
        <w:tabs>
          <w:tab w:leader="none" w:pos="5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27"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92"/>
          </w:cols>
          <w:pgMar w:left="248" w:top="118" w:right="45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7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EDICINOVA</w:t>
      </w:r>
      <w:r>
        <w:rPr>
          <w:rFonts w:ascii="Arial" w:cs="Arial" w:eastAsia="Arial" w:hAnsi="Arial"/>
          <w:sz w:val="18"/>
          <w:szCs w:val="18"/>
          <w:color w:val="auto"/>
        </w:rPr>
        <w:t>, I</w:t>
      </w:r>
      <w:r>
        <w:rPr>
          <w:rFonts w:ascii="Arial" w:cs="Arial" w:eastAsia="Arial" w:hAnsi="Arial"/>
          <w:sz w:val="13"/>
          <w:szCs w:val="13"/>
          <w:color w:val="auto"/>
        </w:rPr>
        <w:t>NC</w:t>
      </w:r>
      <w:r>
        <w:rPr>
          <w:rFonts w:ascii="Arial" w:cs="Arial" w:eastAsia="Arial" w:hAnsi="Arial"/>
          <w:sz w:val="18"/>
          <w:szCs w:val="18"/>
          <w:color w:val="auto"/>
        </w:rPr>
        <w: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Corporation</w:t>
      </w:r>
    </w:p>
    <w:p>
      <w:pPr>
        <w:spacing w:after="0" w:line="238" w:lineRule="exact"/>
        <w:rPr>
          <w:sz w:val="20"/>
          <w:szCs w:val="20"/>
          <w:color w:val="auto"/>
        </w:rPr>
      </w:pPr>
    </w:p>
    <w:p>
      <w:pPr>
        <w:spacing w:after="0"/>
        <w:tabs>
          <w:tab w:leader="none" w:pos="6380" w:val="left"/>
          <w:tab w:leader="none" w:pos="8560" w:val="left"/>
        </w:tabs>
        <w:rPr>
          <w:sz w:val="20"/>
          <w:szCs w:val="20"/>
          <w:color w:val="auto"/>
        </w:rPr>
      </w:pPr>
      <w:r>
        <w:rPr>
          <w:rFonts w:ascii="Arial" w:cs="Arial" w:eastAsia="Arial" w:hAnsi="Arial"/>
          <w:sz w:val="18"/>
          <w:szCs w:val="18"/>
          <w:color w:val="auto"/>
        </w:rPr>
        <w:t>Date: February 14,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Yuichi Iwaki</w:t>
      </w:r>
    </w:p>
    <w:p>
      <w:pPr>
        <w:spacing w:after="0" w:line="23"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President &amp; Chief Executive Officer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Yuichi Iwaki his true and lawful attorney-in-fact,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or substitutes may do or cause to be done by virtue hereof.</w:t>
      </w:r>
    </w:p>
    <w:p>
      <w:pPr>
        <w:spacing w:after="0" w:line="171"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11440"/>
          </w:cols>
          <w:pgMar w:left="240" w:top="121" w:right="219" w:bottom="1440" w:gutter="0" w:footer="0" w:header="0"/>
        </w:sectPr>
      </w:pPr>
    </w:p>
    <w:p>
      <w:pPr>
        <w:spacing w:after="0" w:line="162"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5044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1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Yuichi Iwaki</w:t>
      </w:r>
    </w:p>
    <w:p>
      <w:pPr>
        <w:spacing w:after="0" w:line="36" w:lineRule="exact"/>
        <w:rPr>
          <w:sz w:val="20"/>
          <w:szCs w:val="20"/>
          <w:color w:val="auto"/>
        </w:rPr>
      </w:pPr>
    </w:p>
    <w:p>
      <w:pPr>
        <w:jc w:val="center"/>
        <w:ind w:left="540"/>
        <w:spacing w:after="0"/>
        <w:rPr>
          <w:sz w:val="20"/>
          <w:szCs w:val="20"/>
          <w:color w:val="auto"/>
        </w:rPr>
      </w:pPr>
      <w:r>
        <w:rPr>
          <w:rFonts w:ascii="Arial" w:cs="Arial" w:eastAsia="Arial" w:hAnsi="Arial"/>
          <w:sz w:val="17"/>
          <w:szCs w:val="17"/>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5044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22"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Ryan Selhorn</w:t>
      </w:r>
    </w:p>
    <w:p>
      <w:pPr>
        <w:spacing w:after="0" w:line="36"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44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1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/s/ Jeff Himawan</w:t>
      </w:r>
    </w:p>
    <w:p>
      <w:pPr>
        <w:spacing w:after="0" w:line="36"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Jeff Himawan,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44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20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Date</w:t>
            </w:r>
          </w:p>
        </w:tc>
      </w:tr>
      <w:tr>
        <w:trPr>
          <w:trHeight w:val="317"/>
        </w:trPr>
        <w:tc>
          <w:tcPr>
            <w:tcW w:w="5220" w:type="dxa"/>
            <w:vAlign w:val="bottom"/>
            <w:gridSpan w:val="2"/>
          </w:tcPr>
          <w:p>
            <w:pPr>
              <w:spacing w:after="0"/>
              <w:rPr>
                <w:sz w:val="20"/>
                <w:szCs w:val="20"/>
                <w:color w:val="auto"/>
              </w:rPr>
            </w:pPr>
            <w:r>
              <w:rPr>
                <w:rFonts w:ascii="Arial" w:cs="Arial" w:eastAsia="Arial" w:hAnsi="Arial"/>
                <w:sz w:val="18"/>
                <w:szCs w:val="18"/>
                <w:color w:val="auto"/>
              </w:rPr>
              <w:t>Director, President and Chief Executive Officer</w:t>
            </w:r>
          </w:p>
        </w:tc>
        <w:tc>
          <w:tcPr>
            <w:tcW w:w="2060" w:type="dxa"/>
            <w:vAlign w:val="bottom"/>
          </w:tcPr>
          <w:p>
            <w:pPr>
              <w:ind w:left="360"/>
              <w:spacing w:after="0"/>
              <w:rPr>
                <w:sz w:val="20"/>
                <w:szCs w:val="20"/>
                <w:color w:val="auto"/>
              </w:rPr>
            </w:pPr>
            <w:r>
              <w:rPr>
                <w:rFonts w:ascii="Arial" w:cs="Arial" w:eastAsia="Arial" w:hAnsi="Arial"/>
                <w:sz w:val="18"/>
                <w:szCs w:val="18"/>
                <w:color w:val="auto"/>
              </w:rPr>
              <w:t>February 14, 2017</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2060" w:type="dxa"/>
            <w:vAlign w:val="bottom"/>
          </w:tcPr>
          <w:p>
            <w:pPr>
              <w:spacing w:after="0"/>
              <w:rPr>
                <w:sz w:val="20"/>
                <w:szCs w:val="20"/>
                <w:color w:val="auto"/>
              </w:rPr>
            </w:pPr>
          </w:p>
        </w:tc>
      </w:tr>
      <w:tr>
        <w:trPr>
          <w:trHeight w:val="350"/>
        </w:trPr>
        <w:tc>
          <w:tcPr>
            <w:tcW w:w="52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060" w:type="dxa"/>
            <w:vAlign w:val="bottom"/>
          </w:tcPr>
          <w:p>
            <w:pPr>
              <w:ind w:left="360"/>
              <w:spacing w:after="0"/>
              <w:rPr>
                <w:sz w:val="20"/>
                <w:szCs w:val="20"/>
                <w:color w:val="auto"/>
              </w:rPr>
            </w:pPr>
            <w:r>
              <w:rPr>
                <w:rFonts w:ascii="Arial" w:cs="Arial" w:eastAsia="Arial" w:hAnsi="Arial"/>
                <w:sz w:val="18"/>
                <w:szCs w:val="18"/>
                <w:color w:val="auto"/>
              </w:rPr>
              <w:t>February 14, 2017</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2060" w:type="dxa"/>
            <w:vAlign w:val="bottom"/>
          </w:tcPr>
          <w:p>
            <w:pPr>
              <w:spacing w:after="0"/>
              <w:rPr>
                <w:sz w:val="20"/>
                <w:szCs w:val="20"/>
                <w:color w:val="auto"/>
              </w:rPr>
            </w:pPr>
          </w:p>
        </w:tc>
      </w:tr>
      <w:tr>
        <w:trPr>
          <w:trHeight w:val="365"/>
        </w:trPr>
        <w:tc>
          <w:tcPr>
            <w:tcW w:w="522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2060" w:type="dxa"/>
            <w:vAlign w:val="bottom"/>
          </w:tcPr>
          <w:p>
            <w:pPr>
              <w:ind w:left="360"/>
              <w:spacing w:after="0"/>
              <w:rPr>
                <w:sz w:val="20"/>
                <w:szCs w:val="20"/>
                <w:color w:val="auto"/>
              </w:rPr>
            </w:pPr>
            <w:r>
              <w:rPr>
                <w:rFonts w:ascii="Arial" w:cs="Arial" w:eastAsia="Arial" w:hAnsi="Arial"/>
                <w:sz w:val="18"/>
                <w:szCs w:val="18"/>
                <w:color w:val="auto"/>
              </w:rPr>
              <w:t>February 14, 2017</w:t>
            </w:r>
          </w:p>
        </w:tc>
      </w:tr>
    </w:tbl>
    <w:p>
      <w:pPr>
        <w:spacing w:after="0" w:line="350" w:lineRule="exact"/>
        <w:rPr>
          <w:sz w:val="20"/>
          <w:szCs w:val="20"/>
          <w:color w:val="auto"/>
        </w:rPr>
      </w:pPr>
    </w:p>
    <w:p>
      <w:pPr>
        <w:sectPr>
          <w:pgSz w:w="11900" w:h="16838" w:orient="portrait"/>
          <w:cols w:equalWidth="0" w:num="2">
            <w:col w:w="3420" w:space="720"/>
            <w:col w:w="7300"/>
          </w:cols>
          <w:pgMar w:left="240" w:top="121" w:right="21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Yoshio Ishizaka</w:t>
            </w:r>
          </w:p>
        </w:tc>
        <w:tc>
          <w:tcPr>
            <w:tcW w:w="1220" w:type="dxa"/>
            <w:vAlign w:val="bottom"/>
          </w:tcPr>
          <w:p>
            <w:pPr>
              <w:ind w:left="180"/>
              <w:spacing w:after="0"/>
              <w:rPr>
                <w:sz w:val="20"/>
                <w:szCs w:val="20"/>
                <w:color w:val="auto"/>
              </w:rPr>
            </w:pPr>
            <w:r>
              <w:rPr>
                <w:rFonts w:ascii="Arial" w:cs="Arial" w:eastAsia="Arial" w:hAnsi="Arial"/>
                <w:sz w:val="18"/>
                <w:szCs w:val="18"/>
                <w:color w:val="auto"/>
              </w:rPr>
              <w:t>Director</w:t>
            </w:r>
          </w:p>
        </w:tc>
        <w:tc>
          <w:tcPr>
            <w:tcW w:w="6260" w:type="dxa"/>
            <w:vAlign w:val="bottom"/>
          </w:tcPr>
          <w:p>
            <w:pPr>
              <w:ind w:left="4540"/>
              <w:spacing w:after="0"/>
              <w:rPr>
                <w:sz w:val="20"/>
                <w:szCs w:val="20"/>
                <w:color w:val="auto"/>
              </w:rPr>
            </w:pPr>
            <w:r>
              <w:rPr>
                <w:rFonts w:ascii="Arial" w:cs="Arial" w:eastAsia="Arial" w:hAnsi="Arial"/>
                <w:sz w:val="18"/>
                <w:szCs w:val="18"/>
                <w:color w:val="auto"/>
              </w:rPr>
              <w:t>February 14, 2017</w:t>
            </w:r>
          </w:p>
        </w:tc>
      </w:tr>
      <w:tr>
        <w:trPr>
          <w:trHeight w:val="230"/>
        </w:trPr>
        <w:tc>
          <w:tcPr>
            <w:tcW w:w="3960" w:type="dxa"/>
            <w:vAlign w:val="bottom"/>
          </w:tcPr>
          <w:p>
            <w:pPr>
              <w:jc w:val="center"/>
              <w:spacing w:after="0"/>
              <w:rPr>
                <w:sz w:val="20"/>
                <w:szCs w:val="20"/>
                <w:color w:val="auto"/>
              </w:rPr>
            </w:pPr>
            <w:r>
              <w:rPr>
                <w:rFonts w:ascii="Arial" w:cs="Arial" w:eastAsia="Arial" w:hAnsi="Arial"/>
                <w:sz w:val="18"/>
                <w:szCs w:val="18"/>
                <w:color w:val="auto"/>
                <w:w w:val="91"/>
              </w:rPr>
              <w:t>Yoshio Ishizaka</w:t>
            </w:r>
          </w:p>
        </w:tc>
        <w:tc>
          <w:tcPr>
            <w:tcW w:w="122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330"/>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Yutaka Kobayashi</w:t>
            </w:r>
          </w:p>
        </w:tc>
        <w:tc>
          <w:tcPr>
            <w:tcW w:w="1220" w:type="dxa"/>
            <w:vAlign w:val="bottom"/>
          </w:tcPr>
          <w:p>
            <w:pPr>
              <w:ind w:left="180"/>
              <w:spacing w:after="0"/>
              <w:rPr>
                <w:sz w:val="20"/>
                <w:szCs w:val="20"/>
                <w:color w:val="auto"/>
              </w:rPr>
            </w:pPr>
            <w:r>
              <w:rPr>
                <w:rFonts w:ascii="Arial" w:cs="Arial" w:eastAsia="Arial" w:hAnsi="Arial"/>
                <w:sz w:val="18"/>
                <w:szCs w:val="18"/>
                <w:color w:val="auto"/>
              </w:rPr>
              <w:t>Director</w:t>
            </w:r>
          </w:p>
        </w:tc>
        <w:tc>
          <w:tcPr>
            <w:tcW w:w="6260" w:type="dxa"/>
            <w:vAlign w:val="bottom"/>
          </w:tcPr>
          <w:p>
            <w:pPr>
              <w:ind w:left="4540"/>
              <w:spacing w:after="0"/>
              <w:rPr>
                <w:sz w:val="20"/>
                <w:szCs w:val="20"/>
                <w:color w:val="auto"/>
              </w:rPr>
            </w:pPr>
            <w:r>
              <w:rPr>
                <w:rFonts w:ascii="Arial" w:cs="Arial" w:eastAsia="Arial" w:hAnsi="Arial"/>
                <w:sz w:val="18"/>
                <w:szCs w:val="18"/>
                <w:color w:val="auto"/>
              </w:rPr>
              <w:t>February 14, 2017</w:t>
            </w:r>
          </w:p>
        </w:tc>
      </w:tr>
      <w:tr>
        <w:trPr>
          <w:trHeight w:val="230"/>
        </w:trPr>
        <w:tc>
          <w:tcPr>
            <w:tcW w:w="3960" w:type="dxa"/>
            <w:vAlign w:val="bottom"/>
          </w:tcPr>
          <w:p>
            <w:pPr>
              <w:jc w:val="center"/>
              <w:spacing w:after="0"/>
              <w:rPr>
                <w:sz w:val="20"/>
                <w:szCs w:val="20"/>
                <w:color w:val="auto"/>
              </w:rPr>
            </w:pPr>
            <w:r>
              <w:rPr>
                <w:rFonts w:ascii="Arial" w:cs="Arial" w:eastAsia="Arial" w:hAnsi="Arial"/>
                <w:sz w:val="18"/>
                <w:szCs w:val="18"/>
                <w:color w:val="auto"/>
                <w:w w:val="90"/>
              </w:rPr>
              <w:t>Yutaka Kobayashi</w:t>
            </w:r>
          </w:p>
        </w:tc>
        <w:tc>
          <w:tcPr>
            <w:tcW w:w="122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634"/>
        </w:trPr>
        <w:tc>
          <w:tcPr>
            <w:tcW w:w="3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60" w:type="dxa"/>
            <w:vAlign w:val="bottom"/>
          </w:tcPr>
          <w:p>
            <w:pPr>
              <w:jc w:val="right"/>
              <w:ind w:right="5550"/>
              <w:spacing w:after="0"/>
              <w:rPr>
                <w:sz w:val="20"/>
                <w:szCs w:val="20"/>
                <w:color w:val="auto"/>
              </w:rPr>
            </w:pPr>
            <w:r>
              <w:rPr>
                <w:rFonts w:ascii="Arial" w:cs="Arial" w:eastAsia="Arial" w:hAnsi="Arial"/>
                <w:sz w:val="18"/>
                <w:szCs w:val="18"/>
                <w:color w:val="auto"/>
              </w:rPr>
              <w:t>88</w:t>
            </w:r>
          </w:p>
        </w:tc>
      </w:tr>
      <w:tr>
        <w:trPr>
          <w:trHeight w:val="115"/>
        </w:trPr>
        <w:tc>
          <w:tcPr>
            <w:tcW w:w="39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ind w:left="3680"/>
              <w:spacing w:after="0"/>
              <w:rPr>
                <w:sz w:val="20"/>
                <w:szCs w:val="20"/>
                <w:color w:val="auto"/>
              </w:rPr>
            </w:pPr>
            <w:r>
              <w:rPr>
                <w:rFonts w:ascii="Arial" w:cs="Arial" w:eastAsia="Arial" w:hAnsi="Arial"/>
                <w:sz w:val="18"/>
                <w:szCs w:val="18"/>
                <w:b w:val="1"/>
                <w:bCs w:val="1"/>
                <w:color w:val="auto"/>
              </w:rPr>
              <w:t>INDEX TO EXHIBITS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960" w:type="dxa"/>
            <w:vAlign w:val="bottom"/>
            <w:tcBorders>
              <w:top w:val="single" w:sz="8" w:color="auto"/>
            </w:tcBorders>
          </w:tcPr>
          <w:p>
            <w:pPr>
              <w:jc w:val="center"/>
              <w:ind w:right="452"/>
              <w:spacing w:after="0"/>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24"/>
                <w:szCs w:val="24"/>
                <w:color w:val="auto"/>
              </w:rPr>
            </w:pPr>
          </w:p>
        </w:tc>
        <w:tc>
          <w:tcPr>
            <w:tcW w:w="102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Restated Certificate of Incorporation of the Registrant, as amended (incorporated by reference to Exhibit 3.1 of the Registrant’s Quarterly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Report on Form 10-Q filed August 9, 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center"/>
              <w:ind w:right="452"/>
              <w:spacing w:after="0"/>
              <w:rPr>
                <w:sz w:val="20"/>
                <w:szCs w:val="20"/>
                <w:color w:val="auto"/>
              </w:rPr>
            </w:pPr>
            <w:r>
              <w:rPr>
                <w:rFonts w:ascii="Arial" w:cs="Arial" w:eastAsia="Arial" w:hAnsi="Arial"/>
                <w:sz w:val="18"/>
                <w:szCs w:val="18"/>
                <w:color w:val="auto"/>
                <w:w w:val="87"/>
              </w:rPr>
              <w:t>3.2</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1"/>
              </w:rPr>
              <w:t>Amended and Restated Bylaws of the Registrant (incorporated by reference to Exhibit 3.4 of the Registrant’s Registration Statement on Form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S-1 (File No. 333-119433) filed October 1, 2004).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center"/>
              <w:ind w:right="452"/>
              <w:spacing w:after="0"/>
              <w:rPr>
                <w:sz w:val="20"/>
                <w:szCs w:val="20"/>
                <w:color w:val="auto"/>
              </w:rPr>
            </w:pPr>
            <w:r>
              <w:rPr>
                <w:rFonts w:ascii="Arial" w:cs="Arial" w:eastAsia="Arial" w:hAnsi="Arial"/>
                <w:sz w:val="18"/>
                <w:szCs w:val="18"/>
                <w:color w:val="auto"/>
                <w:w w:val="87"/>
              </w:rPr>
              <w:t>3.3</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1"/>
              </w:rPr>
              <w:t>Certificate of Designation, Preferences and Rights of the Series B Convertible Preferred Stock (incorporated by reference to Exhibit 3.1 of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Registrant’s Current Report on Form 8-K (File No. 001-33185) filed September 27, 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center"/>
              <w:ind w:right="452"/>
              <w:spacing w:after="0"/>
              <w:rPr>
                <w:sz w:val="20"/>
                <w:szCs w:val="20"/>
                <w:color w:val="auto"/>
              </w:rPr>
            </w:pPr>
            <w:r>
              <w:rPr>
                <w:rFonts w:ascii="Arial" w:cs="Arial" w:eastAsia="Arial" w:hAnsi="Arial"/>
                <w:sz w:val="18"/>
                <w:szCs w:val="18"/>
                <w:color w:val="auto"/>
                <w:w w:val="87"/>
              </w:rPr>
              <w:t>4.1</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3"/>
              </w:rPr>
              <w:t>Specimen of Common Stock Certificate (incorporated by reference to Exhibit 4.1 of the Registrant’s Annual Report on Form 10-K (File No.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001-33185) filed February 15, 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center"/>
              <w:ind w:right="452"/>
              <w:spacing w:after="0"/>
              <w:rPr>
                <w:sz w:val="20"/>
                <w:szCs w:val="20"/>
                <w:color w:val="auto"/>
              </w:rPr>
            </w:pPr>
            <w:r>
              <w:rPr>
                <w:rFonts w:ascii="Arial" w:cs="Arial" w:eastAsia="Arial" w:hAnsi="Arial"/>
                <w:sz w:val="18"/>
                <w:szCs w:val="18"/>
                <w:color w:val="auto"/>
                <w:w w:val="87"/>
              </w:rPr>
              <w:t>4.2</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0"/>
              </w:rPr>
              <w:t>Amended and Restated Registration Rights Agreement, dated September 2, 2004, by and among the Registrant, its founders and the investors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3"/>
              </w:rPr>
              <w:t>named therein (incorporated by reference to Exhibit 4.2 of the Registrant’s Registration Statement on Form S-1 (File No. 333-119433) filed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October 1, 2004).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center"/>
              <w:ind w:right="452"/>
              <w:spacing w:after="0"/>
              <w:rPr>
                <w:sz w:val="20"/>
                <w:szCs w:val="20"/>
                <w:color w:val="auto"/>
              </w:rPr>
            </w:pPr>
            <w:r>
              <w:rPr>
                <w:rFonts w:ascii="Arial" w:cs="Arial" w:eastAsia="Arial" w:hAnsi="Arial"/>
                <w:sz w:val="18"/>
                <w:szCs w:val="18"/>
                <w:color w:val="auto"/>
                <w:w w:val="87"/>
              </w:rPr>
              <w:t>4.3</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4"/>
              </w:rPr>
              <w:t>Warrant, dated May 10, 2010, issued to Oxford Finance Corporation (incorporated by reference to Exhibit 4.1 of the Registrant’s Current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Report on Form 8-K (File No. 001-33185) filed May 14, 2010).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center"/>
              <w:ind w:right="452"/>
              <w:spacing w:after="0"/>
              <w:rPr>
                <w:sz w:val="20"/>
                <w:szCs w:val="20"/>
                <w:color w:val="auto"/>
              </w:rPr>
            </w:pPr>
            <w:r>
              <w:rPr>
                <w:rFonts w:ascii="Arial" w:cs="Arial" w:eastAsia="Arial" w:hAnsi="Arial"/>
                <w:sz w:val="18"/>
                <w:szCs w:val="18"/>
                <w:color w:val="auto"/>
                <w:w w:val="87"/>
              </w:rPr>
              <w:t>4.4</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4"/>
              </w:rPr>
              <w:t>Form of Warrant to Purchase Common Stock, dated March 29, 2011 (incorporated by reference to Exhibit 4.1 of the Registrant’s Current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Report 8-K (File No. 001-33185) filed March 24, 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center"/>
              <w:ind w:right="452"/>
              <w:spacing w:after="0"/>
              <w:rPr>
                <w:sz w:val="20"/>
                <w:szCs w:val="20"/>
                <w:color w:val="auto"/>
              </w:rPr>
            </w:pPr>
            <w:r>
              <w:rPr>
                <w:rFonts w:ascii="Arial" w:cs="Arial" w:eastAsia="Arial" w:hAnsi="Arial"/>
                <w:sz w:val="18"/>
                <w:szCs w:val="18"/>
                <w:color w:val="auto"/>
                <w:w w:val="87"/>
              </w:rPr>
              <w:t>4.5</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1"/>
              </w:rPr>
              <w:t>Warrant, dated August 22, 2012, issued to Redington, Inc., as amended (incorporated by reference to Exhibit 4.8 of the Registrant’s Quarterly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Report on Form 10-Q filed November 8, 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center"/>
              <w:ind w:right="452"/>
              <w:spacing w:after="0"/>
              <w:rPr>
                <w:sz w:val="20"/>
                <w:szCs w:val="20"/>
                <w:color w:val="auto"/>
              </w:rPr>
            </w:pPr>
            <w:r>
              <w:rPr>
                <w:rFonts w:ascii="Arial" w:cs="Arial" w:eastAsia="Arial" w:hAnsi="Arial"/>
                <w:sz w:val="18"/>
                <w:szCs w:val="18"/>
                <w:color w:val="auto"/>
                <w:w w:val="87"/>
              </w:rPr>
              <w:t>4.6</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2"/>
              </w:rPr>
              <w:t>Form of Warrant to Purchase Common Stock, dated May 14, 2013, issued to Samurai Investments San Diego LLC and Fountain Erika LLC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(incorporated by reference to Exhibit 4.1 of the Registrant’s Current Report on Form 8-K filed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May 10, 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center"/>
              <w:ind w:right="452"/>
              <w:spacing w:after="0"/>
              <w:rPr>
                <w:sz w:val="20"/>
                <w:szCs w:val="20"/>
                <w:color w:val="auto"/>
              </w:rPr>
            </w:pPr>
            <w:r>
              <w:rPr>
                <w:rFonts w:ascii="Arial" w:cs="Arial" w:eastAsia="Arial" w:hAnsi="Arial"/>
                <w:sz w:val="18"/>
                <w:szCs w:val="18"/>
                <w:color w:val="auto"/>
                <w:w w:val="87"/>
              </w:rPr>
              <w:t>4.7</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0"/>
              </w:rPr>
              <w:t>Amendment No. 1 to Warrant, dated May 29, 2013, entered into between the Registrant and Fountain Erika LLC (incorporated by reference to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Exhibit 4.8 of the Registrant’s Annual Report on Form 10-K filed March 27, 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center"/>
              <w:ind w:right="452"/>
              <w:spacing w:after="0"/>
              <w:rPr>
                <w:sz w:val="20"/>
                <w:szCs w:val="20"/>
                <w:color w:val="auto"/>
              </w:rPr>
            </w:pPr>
            <w:r>
              <w:rPr>
                <w:rFonts w:ascii="Arial" w:cs="Arial" w:eastAsia="Arial" w:hAnsi="Arial"/>
                <w:sz w:val="18"/>
                <w:szCs w:val="18"/>
                <w:color w:val="auto"/>
                <w:w w:val="99"/>
              </w:rPr>
              <w:t>10.1*</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4"/>
              </w:rPr>
              <w:t>Amended and Restated 2004 Stock Incentive Plan of the Registrant (incorporated by reference to Exhibit 10.2 of the Registrant’s Annual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Report on Form 10-K filed March 29, 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jc w:val="center"/>
              <w:ind w:right="452"/>
              <w:spacing w:after="0"/>
              <w:rPr>
                <w:sz w:val="20"/>
                <w:szCs w:val="20"/>
                <w:color w:val="auto"/>
              </w:rPr>
            </w:pPr>
            <w:r>
              <w:rPr>
                <w:rFonts w:ascii="Arial" w:cs="Arial" w:eastAsia="Arial" w:hAnsi="Arial"/>
                <w:sz w:val="18"/>
                <w:szCs w:val="18"/>
                <w:color w:val="auto"/>
                <w:w w:val="99"/>
              </w:rPr>
              <w:t>10.2*</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8"/>
              </w:rPr>
              <w:t>Form of Indemnity Agreement between the Registrant and its officers and directors (incorporated by reference to Exhibit 10.3 of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Registrant’s Annual Report on Form 10-K filed March 28, 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40" w:type="dxa"/>
            <w:vAlign w:val="bottom"/>
            <w:gridSpan w:val="2"/>
          </w:tcPr>
          <w:p>
            <w:pPr>
              <w:jc w:val="center"/>
              <w:ind w:right="720"/>
              <w:spacing w:after="0"/>
              <w:rPr>
                <w:sz w:val="20"/>
                <w:szCs w:val="20"/>
                <w:color w:val="auto"/>
              </w:rPr>
            </w:pPr>
            <w:r>
              <w:rPr>
                <w:rFonts w:ascii="Arial" w:cs="Arial" w:eastAsia="Arial" w:hAnsi="Arial"/>
                <w:sz w:val="18"/>
                <w:szCs w:val="18"/>
                <w:color w:val="auto"/>
                <w:w w:val="93"/>
              </w:rPr>
              <w:t>10.3†</w:t>
            </w:r>
          </w:p>
        </w:tc>
        <w:tc>
          <w:tcPr>
            <w:tcW w:w="10280" w:type="dxa"/>
            <w:vAlign w:val="bottom"/>
          </w:tcPr>
          <w:p>
            <w:pPr>
              <w:spacing w:after="0"/>
              <w:rPr>
                <w:sz w:val="20"/>
                <w:szCs w:val="20"/>
                <w:color w:val="auto"/>
              </w:rPr>
            </w:pPr>
            <w:r>
              <w:rPr>
                <w:rFonts w:ascii="Arial" w:cs="Arial" w:eastAsia="Arial" w:hAnsi="Arial"/>
                <w:sz w:val="18"/>
                <w:szCs w:val="18"/>
                <w:color w:val="auto"/>
                <w:w w:val="91"/>
              </w:rPr>
              <w:t>License Agreement, dated March 14, 2002, between the Registrant and Kyorin Pharmaceutical Co., Ltd. (incorporated by reference to Exhibit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7"/>
              </w:rPr>
              <w:t>10.4 of the Registrant’s Registration Statement on Form S-1, as amended (File No. 333-119433), originally filed on October 1, 2004).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40" w:type="dxa"/>
            <w:vAlign w:val="bottom"/>
            <w:gridSpan w:val="2"/>
          </w:tcPr>
          <w:p>
            <w:pPr>
              <w:jc w:val="center"/>
              <w:ind w:right="720"/>
              <w:spacing w:after="0"/>
              <w:rPr>
                <w:sz w:val="20"/>
                <w:szCs w:val="20"/>
                <w:color w:val="auto"/>
              </w:rPr>
            </w:pPr>
            <w:r>
              <w:rPr>
                <w:rFonts w:ascii="Arial" w:cs="Arial" w:eastAsia="Arial" w:hAnsi="Arial"/>
                <w:sz w:val="18"/>
                <w:szCs w:val="18"/>
                <w:color w:val="auto"/>
                <w:w w:val="93"/>
              </w:rPr>
              <w:t>10.4†</w:t>
            </w:r>
          </w:p>
        </w:tc>
        <w:tc>
          <w:tcPr>
            <w:tcW w:w="10280" w:type="dxa"/>
            <w:vAlign w:val="bottom"/>
          </w:tcPr>
          <w:p>
            <w:pPr>
              <w:spacing w:after="0"/>
              <w:rPr>
                <w:sz w:val="20"/>
                <w:szCs w:val="20"/>
                <w:color w:val="auto"/>
              </w:rPr>
            </w:pPr>
            <w:r>
              <w:rPr>
                <w:rFonts w:ascii="Arial" w:cs="Arial" w:eastAsia="Arial" w:hAnsi="Arial"/>
                <w:sz w:val="18"/>
                <w:szCs w:val="18"/>
                <w:color w:val="auto"/>
                <w:w w:val="91"/>
              </w:rPr>
              <w:t>License Agreement, dated June 19, 2002, between the Registrant and Angiogene Pharmaceuticals, Ltd. (incorporated by reference to Exhibit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7"/>
              </w:rPr>
              <w:t>10.5 of the Registrant’s Registration Statement on Form S-1, as amended (File No. 333-119433), originally filed on October 1, 2004).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40" w:type="dxa"/>
            <w:vAlign w:val="bottom"/>
            <w:gridSpan w:val="2"/>
          </w:tcPr>
          <w:p>
            <w:pPr>
              <w:jc w:val="center"/>
              <w:ind w:right="720"/>
              <w:spacing w:after="0"/>
              <w:rPr>
                <w:sz w:val="20"/>
                <w:szCs w:val="20"/>
                <w:color w:val="auto"/>
              </w:rPr>
            </w:pPr>
            <w:r>
              <w:rPr>
                <w:rFonts w:ascii="Arial" w:cs="Arial" w:eastAsia="Arial" w:hAnsi="Arial"/>
                <w:sz w:val="18"/>
                <w:szCs w:val="18"/>
                <w:color w:val="auto"/>
                <w:w w:val="93"/>
              </w:rPr>
              <w:t>10.5†</w:t>
            </w:r>
          </w:p>
        </w:tc>
        <w:tc>
          <w:tcPr>
            <w:tcW w:w="10280" w:type="dxa"/>
            <w:vAlign w:val="bottom"/>
          </w:tcPr>
          <w:p>
            <w:pPr>
              <w:spacing w:after="0"/>
              <w:rPr>
                <w:sz w:val="20"/>
                <w:szCs w:val="20"/>
                <w:color w:val="auto"/>
              </w:rPr>
            </w:pPr>
            <w:r>
              <w:rPr>
                <w:rFonts w:ascii="Arial" w:cs="Arial" w:eastAsia="Arial" w:hAnsi="Arial"/>
                <w:sz w:val="18"/>
                <w:szCs w:val="18"/>
                <w:color w:val="auto"/>
                <w:w w:val="96"/>
              </w:rPr>
              <w:t>Exclusive License Agreement, dated February 25, 2004, between the Registrant and Kissei Pharmaceutical Co., Ltd. (incorporated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5"/>
              </w:rPr>
              <w:t>reference to Exhibit 10.7 of the Registrant’s Registration Statement on Form S-1, as amended (File No. 333-119433), originally filed 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October 1, 2004).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40" w:type="dxa"/>
            <w:vAlign w:val="bottom"/>
            <w:gridSpan w:val="2"/>
          </w:tcPr>
          <w:p>
            <w:pPr>
              <w:jc w:val="center"/>
              <w:ind w:right="720"/>
              <w:spacing w:after="0"/>
              <w:rPr>
                <w:sz w:val="20"/>
                <w:szCs w:val="20"/>
                <w:color w:val="auto"/>
              </w:rPr>
            </w:pPr>
            <w:r>
              <w:rPr>
                <w:rFonts w:ascii="Arial" w:cs="Arial" w:eastAsia="Arial" w:hAnsi="Arial"/>
                <w:sz w:val="18"/>
                <w:szCs w:val="18"/>
                <w:color w:val="auto"/>
                <w:w w:val="93"/>
              </w:rPr>
              <w:t>10.6†</w:t>
            </w:r>
          </w:p>
        </w:tc>
        <w:tc>
          <w:tcPr>
            <w:tcW w:w="10280" w:type="dxa"/>
            <w:vAlign w:val="bottom"/>
          </w:tcPr>
          <w:p>
            <w:pPr>
              <w:spacing w:after="0"/>
              <w:rPr>
                <w:sz w:val="20"/>
                <w:szCs w:val="20"/>
                <w:color w:val="auto"/>
              </w:rPr>
            </w:pPr>
            <w:r>
              <w:rPr>
                <w:rFonts w:ascii="Arial" w:cs="Arial" w:eastAsia="Arial" w:hAnsi="Arial"/>
                <w:sz w:val="18"/>
                <w:szCs w:val="18"/>
                <w:color w:val="auto"/>
                <w:w w:val="92"/>
              </w:rPr>
              <w:t>License Agreement, dated April 27, 2004, between the Registrant and Mitsubishi Tanabe Pharma Corporation (incorporated by reference to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1"/>
              </w:rPr>
              <w:t>Exhibit 10.8 of the Registrant’s Registration Statement on Form S-1, as amended (File No. 333-119433), originally filed on October 1, 2004).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9"/>
        </w:trPr>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02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140" w:type="dxa"/>
            <w:vAlign w:val="bottom"/>
            <w:gridSpan w:val="2"/>
          </w:tcPr>
          <w:p>
            <w:pPr>
              <w:spacing w:after="0"/>
              <w:rPr>
                <w:sz w:val="20"/>
                <w:szCs w:val="20"/>
                <w:color w:val="auto"/>
              </w:rPr>
            </w:pPr>
            <w:r>
              <w:rPr>
                <w:rFonts w:ascii="Arial" w:cs="Arial" w:eastAsia="Arial" w:hAnsi="Arial"/>
                <w:sz w:val="18"/>
                <w:szCs w:val="18"/>
                <w:color w:val="auto"/>
              </w:rPr>
              <w:t>10.7†</w:t>
            </w:r>
          </w:p>
        </w:tc>
        <w:tc>
          <w:tcPr>
            <w:tcW w:w="10280" w:type="dxa"/>
            <w:vAlign w:val="bottom"/>
          </w:tcPr>
          <w:p>
            <w:pPr>
              <w:spacing w:after="0"/>
              <w:rPr>
                <w:sz w:val="20"/>
                <w:szCs w:val="20"/>
                <w:color w:val="auto"/>
              </w:rPr>
            </w:pPr>
            <w:r>
              <w:rPr>
                <w:rFonts w:ascii="Arial" w:cs="Arial" w:eastAsia="Arial" w:hAnsi="Arial"/>
                <w:sz w:val="18"/>
                <w:szCs w:val="18"/>
                <w:color w:val="auto"/>
                <w:w w:val="94"/>
              </w:rPr>
              <w:t>License Agreement, dated October 22, 2004, between the Registrant and Kyorin Pharmaceutical Co., Ltd., (incorporated by reference to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5"/>
              </w:rPr>
              <w:t>Exhibit 10.18 of the Registrant’s Registration Statement on Form S-1, as amended (File No. 333-119433), originally filed on October 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2004).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40" w:type="dxa"/>
            <w:vAlign w:val="bottom"/>
            <w:gridSpan w:val="2"/>
          </w:tcPr>
          <w:p>
            <w:pPr>
              <w:spacing w:after="0"/>
              <w:rPr>
                <w:sz w:val="20"/>
                <w:szCs w:val="20"/>
                <w:color w:val="auto"/>
              </w:rPr>
            </w:pPr>
            <w:r>
              <w:rPr>
                <w:rFonts w:ascii="Arial" w:cs="Arial" w:eastAsia="Arial" w:hAnsi="Arial"/>
                <w:sz w:val="18"/>
                <w:szCs w:val="18"/>
                <w:color w:val="auto"/>
              </w:rPr>
              <w:t>10.8†</w:t>
            </w:r>
          </w:p>
        </w:tc>
        <w:tc>
          <w:tcPr>
            <w:tcW w:w="10280" w:type="dxa"/>
            <w:vAlign w:val="bottom"/>
          </w:tcPr>
          <w:p>
            <w:pPr>
              <w:spacing w:after="0"/>
              <w:rPr>
                <w:sz w:val="20"/>
                <w:szCs w:val="20"/>
                <w:color w:val="auto"/>
              </w:rPr>
            </w:pPr>
            <w:r>
              <w:rPr>
                <w:rFonts w:ascii="Arial" w:cs="Arial" w:eastAsia="Arial" w:hAnsi="Arial"/>
                <w:sz w:val="18"/>
                <w:szCs w:val="18"/>
                <w:color w:val="auto"/>
                <w:w w:val="90"/>
              </w:rPr>
              <w:t>License Agreement, dated December 8, 2004, between the Registrant and Mitsubishi Tanabe Pharma Corporation (incorporated by reference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4"/>
              </w:rPr>
              <w:t>to Exhibit 10.21 of the Registrant’s Registration Statement on Form S-1, as amended (File No. 333-119433), originally filed on October 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2004).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3"/>
              </w:rPr>
              <w:t>Employment Agreement, dated September 1, 2006, between the Registrant and Masatsune Okajima (incorporated by reference to Exhibit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10.12 of the Registrant’s Annual Report on Form 10-K (File No. 001-33185) filed February 15, 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40" w:type="dxa"/>
            <w:vAlign w:val="bottom"/>
            <w:gridSpan w:val="2"/>
          </w:tcPr>
          <w:p>
            <w:pPr>
              <w:spacing w:after="0"/>
              <w:rPr>
                <w:sz w:val="20"/>
                <w:szCs w:val="20"/>
                <w:color w:val="auto"/>
              </w:rPr>
            </w:pPr>
            <w:r>
              <w:rPr>
                <w:rFonts w:ascii="Arial" w:cs="Arial" w:eastAsia="Arial" w:hAnsi="Arial"/>
                <w:sz w:val="18"/>
                <w:szCs w:val="18"/>
                <w:color w:val="auto"/>
              </w:rPr>
              <w:t>10.10†</w:t>
            </w:r>
          </w:p>
        </w:tc>
        <w:tc>
          <w:tcPr>
            <w:tcW w:w="10280" w:type="dxa"/>
            <w:vAlign w:val="bottom"/>
          </w:tcPr>
          <w:p>
            <w:pPr>
              <w:spacing w:after="0"/>
              <w:rPr>
                <w:sz w:val="20"/>
                <w:szCs w:val="20"/>
                <w:color w:val="auto"/>
              </w:rPr>
            </w:pPr>
            <w:r>
              <w:rPr>
                <w:rFonts w:ascii="Arial" w:cs="Arial" w:eastAsia="Arial" w:hAnsi="Arial"/>
                <w:sz w:val="18"/>
                <w:szCs w:val="18"/>
                <w:color w:val="auto"/>
                <w:w w:val="95"/>
              </w:rPr>
              <w:t>License Agreement, dated October 31, 2006, by and between the Registrant and Meiji Seika Kaisha, Ltd. (incorporated by reference to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Exhibit 10.1 of the Registrant’s Current Report on Form 8-K (File No. 000-51133) filed November 2, 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40" w:type="dxa"/>
            <w:vAlign w:val="bottom"/>
            <w:gridSpan w:val="2"/>
          </w:tcPr>
          <w:p>
            <w:pPr>
              <w:spacing w:after="0"/>
              <w:rPr>
                <w:sz w:val="20"/>
                <w:szCs w:val="20"/>
                <w:color w:val="auto"/>
              </w:rPr>
            </w:pPr>
            <w:r>
              <w:rPr>
                <w:rFonts w:ascii="Arial" w:cs="Arial" w:eastAsia="Arial" w:hAnsi="Arial"/>
                <w:sz w:val="18"/>
                <w:szCs w:val="18"/>
                <w:color w:val="auto"/>
              </w:rPr>
              <w:t>10.11†</w:t>
            </w:r>
          </w:p>
        </w:tc>
        <w:tc>
          <w:tcPr>
            <w:tcW w:w="10280" w:type="dxa"/>
            <w:vAlign w:val="bottom"/>
          </w:tcPr>
          <w:p>
            <w:pPr>
              <w:spacing w:after="0"/>
              <w:rPr>
                <w:sz w:val="20"/>
                <w:szCs w:val="20"/>
                <w:color w:val="auto"/>
              </w:rPr>
            </w:pPr>
            <w:r>
              <w:rPr>
                <w:rFonts w:ascii="Arial" w:cs="Arial" w:eastAsia="Arial" w:hAnsi="Arial"/>
                <w:sz w:val="18"/>
                <w:szCs w:val="18"/>
                <w:color w:val="auto"/>
                <w:w w:val="95"/>
              </w:rPr>
              <w:t>License Agreement, dated October 31, 2006, by and between the Registrant and Meiji Seika Kaisha, Ltd. (incorporated by reference to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Exhibit 10.2 of the Registrant’s Current Report on Form 8-K (File No. 000-51133) filed November 2, 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10.12*</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2"/>
              </w:rPr>
              <w:t>Executive Employment Agreement, dated April 1, 2007, between the Registrant and Yuichi Iwaki, M.D., Ph.D. (incorporated by reference to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Exhibit 10.1 of the Registrant’s Current Report on Form 8-K (File No. 001-33185) filed April 4, 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10.13*</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7"/>
              </w:rPr>
              <w:t>2007 Employee Stock Purchase Plan of the Registrant (incorporated by reference to Appendix A of the Registrant’s Definitive Proxy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Statement on Schedule 14A (File No. 001-33185) filed March 13, 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40" w:type="dxa"/>
            <w:vAlign w:val="bottom"/>
            <w:gridSpan w:val="2"/>
          </w:tcPr>
          <w:p>
            <w:pPr>
              <w:spacing w:after="0"/>
              <w:rPr>
                <w:sz w:val="20"/>
                <w:szCs w:val="20"/>
                <w:color w:val="auto"/>
              </w:rPr>
            </w:pPr>
            <w:r>
              <w:rPr>
                <w:rFonts w:ascii="Arial" w:cs="Arial" w:eastAsia="Arial" w:hAnsi="Arial"/>
                <w:sz w:val="18"/>
                <w:szCs w:val="18"/>
                <w:color w:val="auto"/>
              </w:rPr>
              <w:t>10.14†</w:t>
            </w:r>
          </w:p>
        </w:tc>
        <w:tc>
          <w:tcPr>
            <w:tcW w:w="10280" w:type="dxa"/>
            <w:vAlign w:val="bottom"/>
          </w:tcPr>
          <w:p>
            <w:pPr>
              <w:spacing w:after="0"/>
              <w:rPr>
                <w:sz w:val="20"/>
                <w:szCs w:val="20"/>
                <w:color w:val="auto"/>
              </w:rPr>
            </w:pPr>
            <w:r>
              <w:rPr>
                <w:rFonts w:ascii="Arial" w:cs="Arial" w:eastAsia="Arial" w:hAnsi="Arial"/>
                <w:sz w:val="18"/>
                <w:szCs w:val="18"/>
                <w:color w:val="auto"/>
                <w:w w:val="94"/>
              </w:rPr>
              <w:t>Development and Supply Agreement, dated as of March 26, 2009, between the Registrant and Hospira Worldwide, Inc. (incorporated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reference to Exhibit 10.1 of the Registrant’s Current Report on Form 8-K filed March 30, 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40" w:type="dxa"/>
            <w:vAlign w:val="bottom"/>
            <w:gridSpan w:val="2"/>
          </w:tcPr>
          <w:p>
            <w:pPr>
              <w:spacing w:after="0"/>
              <w:rPr>
                <w:sz w:val="20"/>
                <w:szCs w:val="20"/>
                <w:color w:val="auto"/>
              </w:rPr>
            </w:pPr>
            <w:r>
              <w:rPr>
                <w:rFonts w:ascii="Arial" w:cs="Arial" w:eastAsia="Arial" w:hAnsi="Arial"/>
                <w:sz w:val="18"/>
                <w:szCs w:val="18"/>
                <w:color w:val="auto"/>
              </w:rPr>
              <w:t>10.15†</w:t>
            </w:r>
          </w:p>
        </w:tc>
        <w:tc>
          <w:tcPr>
            <w:tcW w:w="10280" w:type="dxa"/>
            <w:vAlign w:val="bottom"/>
          </w:tcPr>
          <w:p>
            <w:pPr>
              <w:spacing w:after="0"/>
              <w:rPr>
                <w:sz w:val="20"/>
                <w:szCs w:val="20"/>
                <w:color w:val="auto"/>
              </w:rPr>
            </w:pPr>
            <w:r>
              <w:rPr>
                <w:rFonts w:ascii="Arial" w:cs="Arial" w:eastAsia="Arial" w:hAnsi="Arial"/>
                <w:sz w:val="18"/>
                <w:szCs w:val="18"/>
                <w:color w:val="auto"/>
                <w:w w:val="93"/>
              </w:rPr>
              <w:t>Assignment Agreement, dated December 19, 2005, between Genzyme Corporation and Avigen, Inc. (incorporated by reference to Exhibit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10.58 of Avigen, Inc.’s Annual Report on Form 10-K (File No. 000-28272) filed March 16, 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40" w:type="dxa"/>
            <w:vAlign w:val="bottom"/>
            <w:gridSpan w:val="2"/>
          </w:tcPr>
          <w:p>
            <w:pPr>
              <w:spacing w:after="0"/>
              <w:rPr>
                <w:sz w:val="20"/>
                <w:szCs w:val="20"/>
                <w:color w:val="auto"/>
              </w:rPr>
            </w:pPr>
            <w:r>
              <w:rPr>
                <w:rFonts w:ascii="Arial" w:cs="Arial" w:eastAsia="Arial" w:hAnsi="Arial"/>
                <w:sz w:val="18"/>
                <w:szCs w:val="18"/>
                <w:color w:val="auto"/>
              </w:rPr>
              <w:t>10.16†</w:t>
            </w:r>
          </w:p>
        </w:tc>
        <w:tc>
          <w:tcPr>
            <w:tcW w:w="10280" w:type="dxa"/>
            <w:vAlign w:val="bottom"/>
          </w:tcPr>
          <w:p>
            <w:pPr>
              <w:spacing w:after="0"/>
              <w:rPr>
                <w:sz w:val="20"/>
                <w:szCs w:val="20"/>
                <w:color w:val="auto"/>
              </w:rPr>
            </w:pPr>
            <w:r>
              <w:rPr>
                <w:rFonts w:ascii="Arial" w:cs="Arial" w:eastAsia="Arial" w:hAnsi="Arial"/>
                <w:sz w:val="18"/>
                <w:szCs w:val="18"/>
                <w:color w:val="auto"/>
                <w:w w:val="96"/>
              </w:rPr>
              <w:t>Asset Purchase Agreement, dated December 17, 2008, between Baxter Healthcare Corporation, Baxter International Inc., and Baxter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6"/>
              </w:rPr>
              <w:t>Healthcare S.A. and Avigen, Inc. (incorporated by reference to Exhibit 2.2 of Avigen, Inc.’s Annual Report on Form 10-K (File No. 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28272) filed March 16, 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9"/>
              </w:rPr>
              <w:t>Form of Amendment to Employment Agreement, dated December 31, 2011, between the Registrant and Yuichi Iwaki, M.D., Ph.D.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6"/>
              </w:rPr>
              <w:t>(incorporated by reference to Exhibit 10.1 of the Registrant’s Current Report on Form 8-K (File No. 001-33185) filed January 4, 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40" w:type="dxa"/>
            <w:vAlign w:val="bottom"/>
            <w:gridSpan w:val="2"/>
          </w:tcPr>
          <w:p>
            <w:pPr>
              <w:spacing w:after="0"/>
              <w:rPr>
                <w:sz w:val="20"/>
                <w:szCs w:val="20"/>
                <w:color w:val="auto"/>
              </w:rPr>
            </w:pPr>
            <w:r>
              <w:rPr>
                <w:rFonts w:ascii="Arial" w:cs="Arial" w:eastAsia="Arial" w:hAnsi="Arial"/>
                <w:sz w:val="18"/>
                <w:szCs w:val="18"/>
                <w:color w:val="auto"/>
              </w:rPr>
              <w:t>10.18†</w:t>
            </w:r>
          </w:p>
        </w:tc>
        <w:tc>
          <w:tcPr>
            <w:tcW w:w="10280" w:type="dxa"/>
            <w:vAlign w:val="bottom"/>
          </w:tcPr>
          <w:p>
            <w:pPr>
              <w:spacing w:after="0"/>
              <w:rPr>
                <w:sz w:val="20"/>
                <w:szCs w:val="20"/>
                <w:color w:val="auto"/>
              </w:rPr>
            </w:pPr>
            <w:r>
              <w:rPr>
                <w:rFonts w:ascii="Arial" w:cs="Arial" w:eastAsia="Arial" w:hAnsi="Arial"/>
                <w:sz w:val="18"/>
                <w:szCs w:val="18"/>
                <w:color w:val="auto"/>
                <w:w w:val="96"/>
              </w:rPr>
              <w:t>Joint Venture Agreement, dated June 29, 2011, among the Registrant, Zhejiang Medicine Co., Ltd. and Beijing Make-Friend Medicine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2"/>
              </w:rPr>
              <w:t>Technology Co., Ltd. (incorporated by reference to Exhibit 10.44 of the Registrant’s Current Report on Form 10-Q (File No. 001-33185) filed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August 15, 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10.19</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89"/>
              </w:rPr>
              <w:t>Stock Purchase Agreement, dated September 26, 2011, between the Registrant and Kissei Pharmaceutical Co. Ltd., (incorporated by reference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to Exhibit 10.1 of the Registrant’s Current Report on Form 8-K (File No. 001-33185) filed September 27, 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960" w:type="dxa"/>
            <w:vAlign w:val="bottom"/>
          </w:tcPr>
          <w:p>
            <w:pPr>
              <w:spacing w:after="0"/>
              <w:rPr>
                <w:sz w:val="20"/>
                <w:szCs w:val="20"/>
                <w:color w:val="auto"/>
              </w:rPr>
            </w:pPr>
            <w:r>
              <w:rPr>
                <w:rFonts w:ascii="Arial" w:cs="Arial" w:eastAsia="Arial" w:hAnsi="Arial"/>
                <w:sz w:val="18"/>
                <w:szCs w:val="18"/>
                <w:color w:val="auto"/>
              </w:rPr>
              <w:t>10.20</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0"/>
              </w:rPr>
              <w:t>Sublease Agreement, dated February 27, 2013, between the Registrant and Denali Advisors LLC (incorporated by reference to Exhibit 10.1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the Registrant’s Current Report on Form 8-K filed March 1, 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10.21</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3"/>
              </w:rPr>
              <w:t>Securities Purchase Agreement, dated May 9, 2013, between the Registrant and Samurai Investments San Diego LLC and Fountain Erika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LLC (incorporated by reference to Exhibit 10.1 of the Registrant’s Current Report on Form 8-K filed May 10, 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9"/>
        </w:trPr>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102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02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960" w:type="dxa"/>
            <w:vAlign w:val="bottom"/>
          </w:tcPr>
          <w:p>
            <w:pPr>
              <w:spacing w:after="0"/>
              <w:rPr>
                <w:sz w:val="20"/>
                <w:szCs w:val="20"/>
                <w:color w:val="auto"/>
              </w:rPr>
            </w:pPr>
            <w:r>
              <w:rPr>
                <w:rFonts w:ascii="Arial" w:cs="Arial" w:eastAsia="Arial" w:hAnsi="Arial"/>
                <w:sz w:val="18"/>
                <w:szCs w:val="18"/>
                <w:color w:val="auto"/>
              </w:rPr>
              <w:t>10.22*</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3"/>
              </w:rPr>
              <w:t>2013 Equity Incentive Plan of the Registrant (incorporated by reference to Exhibit 4.8 of the Registrant’s Annual Report on Form 10-K filed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March 27, 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10.23</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1"/>
              </w:rPr>
              <w:t>Equity Distribution Agreement, dated October 16, 2013, between the Registrant and Macquarie Capital (USA) Inc. (incorporated by reference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to Exhibit 10.1 of the Registrant’s Current Report on Form 8-K filed October 16, 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3"/>
              </w:rPr>
              <w:t>Form of Notice of Stock Option Grant and Stock Option Agreement for awards pursuant to the 2013 Equity Incentive Plan (incorporated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reference to Exhibit 10.3 of the Registrant’s Quarterly Report on Form 10-Q filed November 7, 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10.25*</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3"/>
              </w:rPr>
              <w:t>Engagement Agreement, effective April 8, 2014, by and between MediciNova, Inc. and van den Boom &amp; Associates, LLC (incorporated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reference to Exhibit 10.1 of the Registrant’s Current Report on Form 8-K filed April 9, 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2"/>
              </w:rPr>
              <w:t>Severance Protection Agreement, dated July 14, 2014, by and between MediciNova, Inc. and Dr. Yuichi Iwaki (incorporated by reference to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Exhibit 10.2 of the Registrant’s Quarterly Report on Form 10-Q filed August 13, 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10.27*</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1"/>
              </w:rPr>
              <w:t>Severance Protection Agreement, dated July 14, 2014, by and between MediciNova, Inc. and Masatsune Okajima (incorporated by reference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to Exhibit 10.3 of the Registrant’s Quarterly Report on Form 10-Q filed August 13, 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10.28*</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1"/>
              </w:rPr>
              <w:t>Severance Protection Agreement, dated July 14, 2014, by and between MediciNova, Inc. and Dr. Kazuko Matsuda (incorporated by reference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to Exhibit 10.4 of the Registrant’s Quarterly Report on Form 10-Q filed August 13, 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10.29*</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1"/>
              </w:rPr>
              <w:t>Severance Protection Agreement, dated July 14, 2014, by and between MediciNova, Inc. and Geoffrey O’Brien (incorporated by reference to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Exhibit 10.5 of the Registrant’s Quarterly Report on Form 10-Q filed August 13, 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10.30*</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3"/>
              </w:rPr>
              <w:t>Engagement Agreement, effective April 3, 2015, by and between MediciNova, Inc. and van den Boom &amp; Associates, LLC (incorporated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reference to Exhibit 10.1 of the Registrant’s Current Report on Form 8-K filed April 3, 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10.31</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5"/>
              </w:rPr>
              <w:t>At-the-Market Issuance Sales Agreement, dated May 22, 2015, by and between MediciNova, Inc. and MLV &amp; Co. LLC (incorporated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reference to Exhibit 10.1 of the Registrant’s Current Report on Form 8-K filed May 22, 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10.32</w:t>
            </w:r>
          </w:p>
        </w:tc>
        <w:tc>
          <w:tcPr>
            <w:tcW w:w="10460" w:type="dxa"/>
            <w:vAlign w:val="bottom"/>
            <w:gridSpan w:val="2"/>
          </w:tcPr>
          <w:p>
            <w:pPr>
              <w:ind w:left="180"/>
              <w:spacing w:after="0"/>
              <w:rPr>
                <w:sz w:val="20"/>
                <w:szCs w:val="20"/>
                <w:color w:val="auto"/>
              </w:rPr>
            </w:pPr>
            <w:r>
              <w:rPr>
                <w:rFonts w:ascii="Arial" w:cs="Arial" w:eastAsia="Arial" w:hAnsi="Arial"/>
                <w:sz w:val="18"/>
                <w:szCs w:val="18"/>
                <w:color w:val="auto"/>
                <w:w w:val="92"/>
              </w:rPr>
              <w:t>Services Agreement, effective March 31, 2016, by and between MediciNova, Inc. and Signature Analytics San Diego, LLC (incorporated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reference to Exhibit 10.1 of the Registrant’s Current Report on Form 8-K filed March 31,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10.33</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1"/>
              </w:rPr>
              <w:t>Amendment No. 1 to At-the Market Issuance Sales Agreement, dated September 16, 2016, by and among MediciNova, Inc., MLV &amp; Co. LLC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3"/>
              </w:rPr>
              <w:t>and FBR Capital Markets &amp; Co. (incorporated by reference to Exhibit 10.1 of the Registrant’s Current Report on Form 8-K filed September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0460" w:type="dxa"/>
            <w:vAlign w:val="bottom"/>
            <w:gridSpan w:val="2"/>
          </w:tcPr>
          <w:p>
            <w:pPr>
              <w:ind w:left="180"/>
              <w:spacing w:after="0"/>
              <w:rPr>
                <w:sz w:val="20"/>
                <w:szCs w:val="20"/>
                <w:color w:val="auto"/>
              </w:rPr>
            </w:pPr>
            <w:r>
              <w:rPr>
                <w:rFonts w:ascii="Arial" w:cs="Arial" w:eastAsia="Arial" w:hAnsi="Arial"/>
                <w:sz w:val="18"/>
                <w:szCs w:val="18"/>
                <w:color w:val="auto"/>
              </w:rPr>
              <w:t>16,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Powers of Attorney (see signature 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9"/>
              </w:rPr>
              <w:t>Certification of the Principal Executive Officer pursuant to Rules 13a-14 and 15d-14 promulgated under the Securities Act of 1933.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9"/>
              </w:rPr>
              <w:t>Certification of the Principal Financial Officer pursuant to Rules 13a-14 and 15d-14 promulgated under the Securities Act of 1933.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102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Certification of the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323"/>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1"/>
              </w:rPr>
              <w:t>Certification of the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40" w:right="100" w:hanging="1132"/>
        <w:spacing w:after="0" w:line="259"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following financial statements from MediciNova, Inc. on Form 10-K as of and for the year ended December 31, 2016 formatted in Extensible Business Reporting Language (XBRL): (i) Consolidated Balance Sheets; (ii) Consolidated Statements of Operations; (iii) Consolidated Statements of Stockholders’ Equity and Comprehensive Loss; (iv) Consolidated Statements of Cash Flows; and (v)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11150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40" w:lineRule="exact"/>
        <w:rPr>
          <w:sz w:val="20"/>
          <w:szCs w:val="20"/>
          <w:color w:val="auto"/>
        </w:rPr>
      </w:pPr>
    </w:p>
    <w:p>
      <w:pPr>
        <w:ind w:left="600" w:hanging="59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 by the SEC.</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management contract or compensatory plan.</w:t>
      </w:r>
    </w:p>
    <w:p>
      <w:pPr>
        <w:sectPr>
          <w:pgSz w:w="11900" w:h="16838" w:orient="portrait"/>
          <w:cols w:equalWidth="0" w:num="1">
            <w:col w:w="11420"/>
          </w:cols>
          <w:pgMar w:left="240" w:top="320"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 Jolla, California</w:t>
      </w:r>
    </w:p>
    <w:p>
      <w:pPr>
        <w:spacing w:after="0" w:line="21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hereby consent to the incorporation by reference in the Registration Statements on Form S-3 (Nos. 333-214830, 333-208274, 333-185022 and 333-163116) and Form S-8 (Nos. 333-190490, 333-151808, 333-141694 and 333-122665) of MediciNova, Inc. of our reports dated February 14, 2017, relating to the consolidated financial statements and the effectiveness of MediciNova, Inc.’s internal control over financial reporting, which appear in this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2017</w:t>
      </w:r>
    </w:p>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1140" w:hanging="255"/>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Registration Statement (Form S-3 Nos. 333-214830, 333-208274) of MediciNova, Inc.,</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Registration Statement (Form S-8 No. 333-190490) pertaining to the 2013 Equity Incentive Plan of MediciNova, Inc.,</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Registration Statement (Form S-8 No. 333-151808) pertaining to the Amended and Restated 2004 Stock Incentive Plan of MediciNova, Inc.,</w:t>
      </w:r>
    </w:p>
    <w:p>
      <w:pPr>
        <w:spacing w:after="0" w:line="140" w:lineRule="exact"/>
        <w:rPr>
          <w:rFonts w:ascii="Arial" w:cs="Arial" w:eastAsia="Arial" w:hAnsi="Arial"/>
          <w:sz w:val="16"/>
          <w:szCs w:val="16"/>
          <w:color w:val="auto"/>
        </w:rPr>
      </w:pPr>
    </w:p>
    <w:p>
      <w:pPr>
        <w:ind w:left="880" w:right="200" w:firstLine="5"/>
        <w:spacing w:after="0" w:line="277" w:lineRule="auto"/>
        <w:tabs>
          <w:tab w:leader="none" w:pos="11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Registration Statement (Form S-8 No. 333-141694) pertaining to the 2004 Stock Incentive Plan and 2007 Employee Stock Purchase Plan of MediciNova, Inc., and</w:t>
      </w:r>
    </w:p>
    <w:p>
      <w:pPr>
        <w:spacing w:after="0" w:line="62" w:lineRule="exact"/>
        <w:rPr>
          <w:rFonts w:ascii="Arial" w:cs="Arial" w:eastAsia="Arial" w:hAnsi="Arial"/>
          <w:sz w:val="18"/>
          <w:szCs w:val="18"/>
          <w:color w:val="auto"/>
        </w:rPr>
      </w:pPr>
    </w:p>
    <w:p>
      <w:pPr>
        <w:ind w:left="880" w:right="340" w:firstLine="5"/>
        <w:spacing w:after="0" w:line="277" w:lineRule="auto"/>
        <w:tabs>
          <w:tab w:leader="none" w:pos="11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Registration Statement (Form S-8 No. 333-122665) pertaining to the 2004 Stock Incentive Plan and 2000 General Stock Incentive Plan of MediciNova, Inc.;</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 our report dated March 12, 2015, with respect to the consolidated financial statements of MediciNova, Inc. included in this Annual Report (Form 10-K) of MediciNova, Inc. for the year ended December 31, 2016.</w:t>
      </w:r>
    </w:p>
    <w:p>
      <w:pPr>
        <w:spacing w:after="0" w:line="170"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2017</w:t>
      </w:r>
    </w:p>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2016 of MediciNova,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20" w:firstLine="606"/>
        <w:spacing w:after="0" w:line="264" w:lineRule="auto"/>
        <w:tabs>
          <w:tab w:leader="none" w:pos="783"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00" w:hanging="194"/>
        <w:spacing w:after="0"/>
        <w:tabs>
          <w:tab w:leader="none" w:pos="8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920" w:firstLine="606"/>
        <w:spacing w:after="0" w:line="342" w:lineRule="auto"/>
        <w:tabs>
          <w:tab w:leader="none" w:pos="783"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606"/>
        <w:spacing w:after="0" w:line="264" w:lineRule="auto"/>
        <w:tabs>
          <w:tab w:leader="none" w:pos="793"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20" w:firstLine="606"/>
        <w:spacing w:after="0" w:line="277" w:lineRule="auto"/>
        <w:tabs>
          <w:tab w:leader="none" w:pos="783"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606"/>
        <w:spacing w:after="0" w:line="277" w:lineRule="auto"/>
        <w:tabs>
          <w:tab w:leader="none" w:pos="793"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Yuichi Iwaki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2017</w:t>
      </w:r>
    </w:p>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Ryan Selhorn, certify that:</w:t>
      </w:r>
    </w:p>
    <w:p>
      <w:pPr>
        <w:spacing w:after="0" w:line="117"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2016 of MediciNova,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20" w:firstLine="606"/>
        <w:spacing w:after="0" w:line="264" w:lineRule="auto"/>
        <w:tabs>
          <w:tab w:leader="none" w:pos="783"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00" w:hanging="194"/>
        <w:spacing w:after="0"/>
        <w:tabs>
          <w:tab w:leader="none" w:pos="8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920" w:firstLine="606"/>
        <w:spacing w:after="0" w:line="342" w:lineRule="auto"/>
        <w:tabs>
          <w:tab w:leader="none" w:pos="783"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606"/>
        <w:spacing w:after="0" w:line="264" w:lineRule="auto"/>
        <w:tabs>
          <w:tab w:leader="none" w:pos="793"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20" w:firstLine="606"/>
        <w:spacing w:after="0" w:line="277" w:lineRule="auto"/>
        <w:tabs>
          <w:tab w:leader="none" w:pos="783"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606"/>
        <w:spacing w:after="0" w:line="277" w:lineRule="auto"/>
        <w:tabs>
          <w:tab w:leader="none" w:pos="793"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Ryan Selhorn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2017</w:t>
      </w:r>
    </w:p>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PRINCIPAL EXECUTIVE OFFICER Pursuant to Section 906 of the Sarbanes-Oxley Act of 2002 (Subsections (a) and (b) of Section 1350, Chapter 63 of Title 18, United States Code)</w:t>
      </w:r>
    </w:p>
    <w:p>
      <w:pPr>
        <w:spacing w:after="0" w:line="180"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In connection with the Annual Report on Form 10-K of MediciNova, Inc. (the “Company”) for the period ended December 31, 2016, as filed with the Securities and Exchange Commission on the date hereof (the “Report”), I, Yuichi Iwaki, M.D., Ph.D., as President and Chief Executive Officer of the Company, certify, pursuant to 18 U.S.C. Section 1350, as adopted pursuant to Section 906 of the Sarbanes-Oxley Act of 2002, that to my knowledge:</w:t>
      </w:r>
    </w:p>
    <w:p>
      <w:pPr>
        <w:spacing w:after="0" w:line="57" w:lineRule="exact"/>
        <w:rPr>
          <w:sz w:val="20"/>
          <w:szCs w:val="20"/>
          <w:color w:val="auto"/>
        </w:rPr>
      </w:pPr>
    </w:p>
    <w:p>
      <w:pPr>
        <w:ind w:left="780" w:hanging="174"/>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174"/>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February 14,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Yuichi Iwaki</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Yuichi Iwaki, M.D., Ph.D.</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2" w:lineRule="exact"/>
        <w:rPr>
          <w:sz w:val="20"/>
          <w:szCs w:val="20"/>
          <w:color w:val="auto"/>
        </w:rPr>
      </w:pPr>
    </w:p>
    <w:p>
      <w:pPr>
        <w:ind w:right="300" w:firstLine="598"/>
        <w:spacing w:after="0" w:line="257" w:lineRule="auto"/>
        <w:rPr>
          <w:sz w:val="20"/>
          <w:szCs w:val="20"/>
          <w:color w:val="auto"/>
        </w:rPr>
      </w:pPr>
      <w:r>
        <w:rPr>
          <w:rFonts w:ascii="Arial" w:cs="Arial" w:eastAsia="Arial" w:hAnsi="Arial"/>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PRINCIPAL FINANCIAL OFFICER Pursuant to Section 906 of the Sarbanes-Oxley Act of 2002 (Subsections (a) and (b) of Section 1350, Chapter 63 of Title 18, United States Code)</w:t>
      </w:r>
    </w:p>
    <w:p>
      <w:pPr>
        <w:spacing w:after="0" w:line="180"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In connection with the Annual Report on Form 10-K of MediciNova, Inc. (the “Company”) for the period ended December 31, 2016, as filed with the Securities and Exchange Commission on the date hereof (the “Report”), I, Ryan Selhorn, as Chief Financial Officer of the Company, certify, pursuant to 18 U.S.C. Section 1350, as adopted pursuant to Section 906 of the Sarbanes-Oxley Act of 2002, that to my knowledge:</w:t>
      </w:r>
    </w:p>
    <w:p>
      <w:pPr>
        <w:spacing w:after="0" w:line="57" w:lineRule="exact"/>
        <w:rPr>
          <w:sz w:val="20"/>
          <w:szCs w:val="20"/>
          <w:color w:val="auto"/>
        </w:rPr>
      </w:pPr>
    </w:p>
    <w:p>
      <w:pPr>
        <w:ind w:left="780" w:hanging="174"/>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174"/>
        <w:spacing w:after="0"/>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February 14,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Selhorn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Ryan Selhorn</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2" w:lineRule="exact"/>
        <w:rPr>
          <w:sz w:val="20"/>
          <w:szCs w:val="20"/>
          <w:color w:val="auto"/>
        </w:rPr>
      </w:pPr>
    </w:p>
    <w:p>
      <w:pPr>
        <w:ind w:right="300" w:firstLine="598"/>
        <w:spacing w:after="0" w:line="257" w:lineRule="auto"/>
        <w:rPr>
          <w:sz w:val="20"/>
          <w:szCs w:val="20"/>
          <w:color w:val="auto"/>
        </w:rPr>
      </w:pPr>
      <w:r>
        <w:rPr>
          <w:rFonts w:ascii="Arial" w:cs="Arial" w:eastAsia="Arial" w:hAnsi="Arial"/>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
      <w:numFmt w:val="bullet"/>
      <w:start w:val="1"/>
    </w:lvl>
    <w:lvl w:ilvl="1">
      <w:lvlJc w:val="left"/>
      <w:lvlText w:val="%2"/>
      <w:numFmt w:val="decimal"/>
      <w:start w:val="10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1"/>
      <w:numFmt w:val="decimal"/>
      <w:start w:val="10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2019-12-29T07:38:10Z</dcterms:created>
  <dcterms:modified xsi:type="dcterms:W3CDTF">2019-12-29T07:38:10Z</dcterms:modified>
</cp:coreProperties>
</file>