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77"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sectPr>
          <w:pgSz w:w="11900" w:h="16838" w:orient="portrait"/>
          <w:cols w:equalWidth="0" w:num="2">
            <w:col w:w="3820" w:space="620"/>
            <w:col w:w="692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44"/>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51"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79"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05"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4">
            <w:col w:w="1580" w:space="720"/>
            <w:col w:w="4980" w:space="720"/>
            <w:col w:w="1920" w:space="100"/>
            <w:col w:w="134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August 11, 2009, the registrant had 12,048,003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25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EXHIBITS</w:t>
              </w:r>
            </w:hyperlink>
          </w:p>
        </w:tc>
        <w:tc>
          <w:tcPr>
            <w:tcW w:w="790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83"/>
        </w:trPr>
        <w:tc>
          <w:tcPr>
            <w:tcW w:w="136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28,657,327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Investment securities-current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21,268,853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put-current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56,624,419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262,881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 securities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Long-term ARS put (Note 2)</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59,857,431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422,190</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loan payable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17,859,881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1,182,079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20,137,140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30,000,000 shares authorized at June 30, 2009 and December 31, 2008;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12,072,027 shares issued at June 30, 2009 and December 31, 2008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277,692,609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276,361,775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66,235 shares at June 30, 2009 and 87,314 shares at December 31, 2008</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(1,276,047)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(236,640,436)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(226,982,209)</w:t>
            </w:r>
          </w:p>
        </w:tc>
        <w:tc>
          <w:tcPr>
            <w:tcW w:w="0" w:type="dxa"/>
            <w:vAlign w:val="bottom"/>
          </w:tcPr>
          <w:p>
            <w:pPr>
              <w:spacing w:after="0"/>
              <w:rPr>
                <w:sz w:val="1"/>
                <w:szCs w:val="1"/>
                <w:color w:val="auto"/>
              </w:rPr>
            </w:pP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39,720,291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48,044,532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59,857,431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12"/>
              <w:spacing w:after="0" w:line="149" w:lineRule="exact"/>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7"/>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2,745,816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2,243,778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5,846,717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8,322,189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139,519,415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2,198,883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2,216,146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4,363,077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4,797,408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83,023,784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4,944,699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4,459,924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10,209,794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13,119,597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223,801,620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(4,944,699)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(4,459,924)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(10,209,794)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(13,119,597)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(222,243,393)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Gain/(impairment charge) on investment securities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ARS put, net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114,155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(936,420)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140,826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(3,295,621)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(1,119,158)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(17,912)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(623,389)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183,620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509,568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401,570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1,343,919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18,197,784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(4,664,836)</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(4,892,234)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(9,658,227)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(15,694,835)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(205,277,314)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feature on Series C redeemable convertible preferred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(4,664,836)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(4,892,234)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(9,658,227)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(15,694,835)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(236,640,436)</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 used to compute basic and diluted net loss per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12,072,027</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12,072,027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12,072,027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12,072,027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6"/>
              </w:rPr>
              <w:t>Six months ended 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8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(9,658,227)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(15,694,835)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(205,277,314)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1,330,834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45,266,796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Amortization of premium/discount on investment securities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(2,476,420)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(Gain)/impairment charge on investment securities and ARS put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Impairment of property and equipment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(338,065)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818,930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accrued expenses, income taxes payable and deferred rent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(1,727,762)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(8,627,704)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(12,337,705)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(158,454,844)</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Maturities or sales of investment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23,550,000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348,653,451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(30,545,418)</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120,890,566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80,216,971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ARS loan,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17,859,881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Purchase of treasury stock, net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(1,309,829)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17,901,196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217,657,589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9,360,043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9,255,663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28,657,327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19,297,284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18,778,938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28,657,327</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28,034,601</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28,657,327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43,515,677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operating and investment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investment securities from current to long-term</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24,047,314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Reclassification of investment securities from long-term to current</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21,268,853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21,268,853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ARS put from long-term asset to current asset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5,641,857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interest paid</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107,595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(“GAAP”)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and six months ended June 30, 2009 are not necessarily indicative of the results that may be expected for the year ending December 31, 2009 or for any other period. For further information, see the financial statements and disclosures thereto for the year ended December 31, 2008 in our Annual Report on Form 10-K as filed with the Securities and Exchange Commission on March 31, 2009. In addition, in connection with preparation of the consolidated financial statements and in accordance with the recently issued Statement of Financial Accounting Standards (“SFAS”) No. 165, “Subsequent Events” (“SFAS 165”), we evaluated subsequent events after the balance sheet date of June 30, 2009 through August 14, 2009, the date which the financial statements were available, and disclosed, if necessary, any material subsequent events in the notes to these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organized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 of the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prepared the accompanying unaudited consolidated financial statements in conformity with GAAP,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April 2009, the Financial Accounting Standards Board (“FASB”) issued several pronouncements related to fair value measurement, recording and disclosure in financial reporting. FASB Staff Position No. 107-1 and Accounting Principles Board 28-1, “Interim Disclosures about Fair Value of Financial Instruments,” were issued to outline the required financial statement disclosures relating to fair value of financial instruments during interim reporting periods. FASB Staff Position No. 157-4, “Determining Fair Value When the Volume and Level of Activity for the Asset or Liability Have Significantly Decreased and Identifying Transactions That Are Not Orderly,” was issued to provide additional guidance in evaluating the fair value of a financial instrument when the volume and level of activity for the asset or liability has significantly decreased. FASB Staff Position No. 115-2 and FASB Staff Position No. 124-2, “Recognition and Presentation of Other-Than-Temporary Impairments,” were issued to provide additional guidance on presenting impairment losses on securities. All of the fair value measurement pronouncements were effective for interim and annual reporting periods ending after June 15, 2009. The adoption of these new pronouncements did not have a material effect on our consolidated results of operations or financial condition.</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May 2009, the FASB issued SFAS 165, which establishes general standards of accounting for and disclosure of events that occur after the balance sheet date but before financial statements are issued or are available to be issued. SFAS 165 is effective for interim or annual financial periods ending after June 15, 2009. The adoption of SFAS 165 did not have a material effect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2009, the FASB issued SFAS No. 168, “The FASB Accounting Standards Codification and the Hierarchy of Generally Accepted Accounting Principles” (“SFAS 168”), which replaced FASB 162. The FASB Accounting Standards Codification (“Codification”) will become the source of authoritative GAAP recognized by the FASB to be applied by nongovernmental entities. Rules and interpretive releases of the SEC under authority of federal securities laws are also sources of authoritative GAAP for SEC registrants. On the effective date of SFAS 168, the Codification will supersede all then-existing non-SEC accounting and reporting standards. All other non-grandfathered non-SEC accounting literature not included in the Codification will become non-authoritative. SFAS 168 is effective for financial statements issued for interim and annual periods ending after September 15, 2009. We do not expect the adoption of SFAS 168 to have a material effect on our consolidated results of operations or financial condition.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defined in SFAS No. 157, “Fair Value Measurements” (“SFAS 157”), fair value is based on the price that would be received to sell an asset or would be paid to transfer a liability in an orderly transaction between market participants at the measurement date. To increase the comparability and consistency of fair value measurements, SFAS 157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June 30, 2009, cash and cash equivalents (instruments with maturities of three months or less at the date of purchase) were $28.7 million and primarily invested in money market accounts.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June 30, 2009, we held investment securities-current of $21.3 million consisting of Auction Rate Securities (“ARS”), all of which had AAA ratings at the time of purchase, that principally represent interests in government-guaranteed student loans and we held an ARS Put (as defined below) in the amount of $5.6 million. In August 2008, UBS AG and its affiliates (“UBS”), the brokerage firm through which we purchased the majority of our ARS, entered into a settlement with the Securities and Exchange Commission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ARS associated with the ARS Rights Offer and the ARS Put were reclassified out of long-term assets to current assets due to the time frame in which they can be readily converted to cash.</w:t>
      </w:r>
    </w:p>
    <w:p>
      <w:pPr>
        <w:spacing w:after="0" w:line="3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At June 30, 2009, the carrying cost of the ARS Loan was $17.9 million. For the three months and six months ended June 30, 2009, $100,000 of our current investment securities was redeemed at par value, with the proceeds being used to pay down the outstanding balance of the ARS Loan.</w:t>
      </w:r>
    </w:p>
    <w:p>
      <w:pPr>
        <w:spacing w:after="0" w:line="85"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At June 30, 2009, we held long-term investments of $3.0 million which consisted of ARS that principally represent interests of municipal bonds, government-guaranteed student loan securities, insurance notes and portfolios of securities (primarily commercial paper).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June 30, 2009, our total ARS portfolio (both current and long-term) totaled $24.2 million, of which $2.1 million consisted of private placement securities. None of the underlying collateral of our ARS portfolio consisted of subprime mortgages or collateralized debt obligations. Our ARS were designated as trading investment securities at December 31, 2008. We measure all of our ARS and the ARS Put on a recurring basis based on Level 3 criteria because neither an active primary nor active secondary market exists for these securities. The table below reconciles fair value of our ARS trading investment securities and the ARS Put at December 31, 2008 with fair value at June 30, 2009, as determined by Level 3 (unobservable) inputs: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Transfers in/(out)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Transfers in/</w:t>
            </w:r>
          </w:p>
        </w:tc>
        <w:tc>
          <w:tcPr>
            <w:tcW w:w="220" w:type="dxa"/>
            <w:vAlign w:val="bottom"/>
          </w:tcPr>
          <w:p>
            <w:pPr>
              <w:spacing w:after="0"/>
              <w:rPr>
                <w:sz w:val="12"/>
                <w:szCs w:val="12"/>
                <w:color w:val="auto"/>
              </w:rPr>
            </w:pP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of Long-term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(out) of 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Current</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Redemptions</w:t>
            </w:r>
          </w:p>
        </w:tc>
        <w:tc>
          <w:tcPr>
            <w:tcW w:w="12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Charge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at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12/31/08</w:t>
            </w: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1/1/09-6/30/09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1/1/09-6/30/10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6/30/2009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6/30/2009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6/30/2009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6/30/2009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21,055,569</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(21,055,569)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Auction rate securities(2)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2,991,745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2,970,131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24,047,314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(21,055,569)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2,970,131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Long-term asset, ARS Put(3)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5,792,701</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(5,792,701)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Investment-current(1)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21,055,569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313,284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21,268,853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ARS Put-current(3)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5,792,701</w:t>
            </w:r>
          </w:p>
        </w:tc>
        <w:tc>
          <w:tcPr>
            <w:tcW w:w="3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(150,844)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5,641,857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Aggregated fair value reported at June 30, 2009 reflects fair value as determined by our discounted cash flow model with liquidity discounts, pursuant to which we took into consideration the brokerage firm’s pricing model, the tax status (taxable vs. tax exempt) of the security, credit quality of the issuer, assumed maturity (seven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June 30, 2009 (which was the Federal Family Education Loan Program special allowance rate for the quarter ending June 30, 2009)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4% to 33%, we calculated aggregate fair value for these securities, which ranged between $25.4 million with a two-year maturity, $22.8 million with a five-year maturity and $19.1 million with a ten-year maturity. As of June 30, 2009, these ARS continued to pay interest according to their stated interest terms, and we received a partial redemption at par value of $100,000 on one of the securities in this portfolio. In addition, as these investment securities are trading securities, the approximate $313,000 increase in the overall fair value of the ARS was recorded as a gain in our consolidated statement of operations. Pursuant to the ARS Rights Offer, the earliest date that we can redeem these investment securities at par is June 30, 2010; therefore, at June 30, 2009, we reclassified these investment securities out of long-term assets and into current assets in our consolidated balance sheets.</w:t>
      </w:r>
    </w:p>
    <w:p>
      <w:pPr>
        <w:spacing w:after="0" w:line="4" w:lineRule="exact"/>
        <w:rPr>
          <w:rFonts w:ascii="Arial" w:cs="Arial" w:eastAsia="Arial" w:hAnsi="Arial"/>
          <w:sz w:val="16"/>
          <w:szCs w:val="16"/>
          <w:color w:val="auto"/>
        </w:rPr>
      </w:pPr>
    </w:p>
    <w:p>
      <w:pPr>
        <w:ind w:left="340" w:right="20" w:hanging="332"/>
        <w:spacing w:after="0" w:line="305"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Aggregated fair value reported at June 30, 2009 reflects fair value as determined by our discounted cash flow model, which employed liquidity discounts ranging from 3% to 30% depending on the security type and included assumptions regarding future cash flows and the likelihood of the redemption or refinancing of such ARS. We also performed a sensitivity analysis by calculating fair value with a maturity of one year through ten years. The interest rate utilized in the model was either the London Interbank Offered Rate (“LIBOR”) plus the spread, as indicated in the respective security prospectus which was generally 200 basis points, or the U.S. Treasury Department published average of the bond equivalent rates of the 91-day Treasury bills auctioned during the quarter ending June 30, 2009 (which was the Federal Family Education Loan Program special allowance rate for the quarter ending June 30, 2009) plus 120 basis points for the ARS collateralized by student loans. The LIBOR rate was per bankrate.com, which we deemed as a reasonable source given it is a widely utilized third-party rate source. We believe that utilizing the Federal Family Education Loan Program special allowance rate for the student loan ARS is reasonable given the collateral of the ARS is student loans. Using this methodology, we calculated aggregate fair value for these securities, which ranged between $3.5 million with a two-year maturity, $3.2 million with a five-year maturity and $2.7 million with a ten-year maturity. As of June 30, 2009, the ARS continue to pay interest according to their stated interest terms. Because these investment securities are trading securities, the approximately $22,000 decrease in fair value was recorded as an impairment charge in our consolidated statement of operations. In addition, because of our expectation as to when we may be required to liquidate these ARS for operating purposes, these securities are classified as long-term investments in our consolidated balance sheets.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60" w:hanging="332"/>
        <w:spacing w:after="0" w:line="28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SFAS 159 to mitigate the volatility in reported earnings due to the linkage of certain of our ARS and the ARS Put. Fair value of the ARS Put, which equaled $5.6 million at June 30, 2009, was also determined through the use of a discounted cash flow valuation model with assumptions being made related to interest rate, maturity and liquidity. We effectively used a liquidity discount of approximately 5%, an interest rate of approximately 5% which took into consideration the brokerage firm’s weighted average cost of capital and a maturity of 12 months given that the earliest date the ARS Put can be exercised is June 30, 2010. Based on our discounted cash flow valuation, at June 30, 2009, we recorded an impairment charge of approximately $151,000 in our consolidated statement of operations, which effectively netted out most of the gain we recognized on the linked ARS. In addition, at June 30, 2009, we reclassified the ARS Put out of long-term assets to current assets because it can be exercised within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Potentially dilutive securities of 217,800 and 38,200 for the six months ended June 30, 2009 and 2008, respectively, were excluded from determining diluted earnings per share because of their anti-dilutive effect.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applied SFAS No. 130, “Reporting Comprehensive Income,” which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comprehensive loss at: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7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6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9"/>
                <w:szCs w:val="19"/>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 (4,664,836)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(4,892,234)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(9,658,227)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(15,694,835)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Currency translation</w:t>
            </w: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4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(11,906)</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(38,163)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 (4,663,481)</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(4,904,140)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(9,696,390)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(15,608,109)</w:t>
            </w:r>
          </w:p>
        </w:tc>
      </w:tr>
      <w:tr>
        <w:trPr>
          <w:trHeight w:val="20"/>
        </w:trPr>
        <w:tc>
          <w:tcPr>
            <w:tcW w:w="6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which is the successor to the 2000 Plan. Stock options issued to non-employees were recorded at their fair value as determined in accordance with Emerging Issues Task Force (“EITF”) Issue No. 96-18, “Accounting for Equity Instruments that are Issued to Other than Employees for Acquiring, or in Conjunction with Selling, Goods or Services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three months ended June 30, 2009 and 2008, share-based compensation expense related to stock options was recorded as a component of general and administrative expense, which equaled approximately $0.5 million and $0.5 million, respectively, and research and development expense, which equaled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$0.2 million and $0.4 million, respectively. For the six months ended June 30, 2009 and 2008, share-based compensation expense related to stock options was recorded as a component of general and administrative expense, which equaled approximately $0.9 million and $0.9 million, respectively, and research and development expense, which equaled approximately $0.4 million and $0.7 million, respectively. There were no stock option exercises during the three months and six months ended June 30, 2009. As of June 30, 2009, there was $3.0 million of unamortized compensation cost related to unvested stock option awards, which we expect to recognize over a remaining weighted-average vesting period of 1.5 years.</w:t>
      </w:r>
    </w:p>
    <w:p>
      <w:pPr>
        <w:spacing w:after="0" w:line="11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 exercise price of stock options to purchase 5,000 shares of common stock and 408,373 shares of common stock granted during the three months and six months ended June 30, 2009 was equal to market value on the date of grant and the share-based compensation expense for such stock options is reflected in operating results for the three months and six months ended June 30, 2009.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8"/>
              </w:rPr>
              <w:t>Three Months Ended</w:t>
            </w:r>
          </w:p>
        </w:tc>
        <w:tc>
          <w:tcPr>
            <w:tcW w:w="21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6"/>
              </w:rPr>
              <w:t>Three Months Ended</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Six Months Ended</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3960" w:type="dxa"/>
            <w:vAlign w:val="bottom"/>
          </w:tcPr>
          <w:p>
            <w:pPr>
              <w:spacing w:after="0"/>
              <w:rPr>
                <w:sz w:val="14"/>
                <w:szCs w:val="14"/>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2009</w:t>
            </w:r>
          </w:p>
        </w:tc>
        <w:tc>
          <w:tcPr>
            <w:tcW w:w="880" w:type="dxa"/>
            <w:vAlign w:val="bottom"/>
          </w:tcPr>
          <w:p>
            <w:pPr>
              <w:spacing w:after="0"/>
              <w:rPr>
                <w:sz w:val="14"/>
                <w:szCs w:val="14"/>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2008</w:t>
            </w:r>
          </w:p>
        </w:tc>
        <w:tc>
          <w:tcPr>
            <w:tcW w:w="90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June 30, 2009</w:t>
            </w:r>
          </w:p>
        </w:tc>
        <w:tc>
          <w:tcPr>
            <w:tcW w:w="90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June 30, 2008</w:t>
            </w:r>
          </w:p>
        </w:tc>
        <w:tc>
          <w:tcPr>
            <w:tcW w:w="20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2.13%</w:t>
            </w:r>
          </w:p>
        </w:tc>
        <w:tc>
          <w:tcPr>
            <w:tcW w:w="2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3.49%</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73.00%</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69.00%</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69.00%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0.00%</w:t>
            </w:r>
          </w:p>
        </w:tc>
        <w:tc>
          <w:tcPr>
            <w:tcW w:w="2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0.00%</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900" w:type="dxa"/>
            <w:vAlign w:val="bottom"/>
          </w:tcPr>
          <w:p>
            <w:pPr>
              <w:spacing w:after="0"/>
              <w:rPr>
                <w:sz w:val="19"/>
                <w:szCs w:val="19"/>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8"/>
                <w:szCs w:val="18"/>
                <w:color w:val="auto"/>
              </w:rPr>
              <w:t>4.01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average volatility of certain peers within our industry sector and management’s judgment. We have not paid any dividends on our common stock since our inception, and we do not anticipate paying any dividends on our common stock in the foreseeable future. The expected life of employee stock options is based on the simplified method for “plain vanilla options” as provided by Staff Accounting Bulletin (“SAB”) No. 107 and SAB No. 110, as we concluded that our historical stock option exercise experience does not provide a reasonable basis for us to estimate expected term.</w:t>
      </w:r>
    </w:p>
    <w:p>
      <w:pPr>
        <w:spacing w:after="0" w:line="1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As share-based compensation expense recognized in our consolidated statement of operations for the three months and six months ended June 30, 2009 was based on stock option awards ultimately expected to vest, such expense is reduced for estimated forfeitures. SFAS 123R requires forfeitures to be estimated at the time of grant and revised, if necessary, in subsequent periods if actual forfeitures differ from those estimates. We have very few employees and our stock options vest monthly; therefore, we do not estimate any forfeitures in 2009 and we will adjust our stock-based compensation expense should any forfeitures occur. The weighted-average fair value of each stock option granted during the three months and six months ended June 30, 2009, estimated as of the grant date using the Black-Scholes option valuation model, was $1.66 per stock option and $1.17 per stock option, respectively, whereas the weighted-average fair value of each stock option granted during the three months and six months ended June 30, 2008 was $2.46 per stock option and $2.38 per stock option,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adopted the provisions of Interpretation No. 48, Accounting for Uncertainty in Income Taxes—An Interpretation of FASB Statement No. 109 (“FIN 48”), on January 1, 2007. As a result of the adoption of FIN 48, we had no cumulative effect adjustment and therefore no change to the January 1, 2007 balance in retained earnings. At January 1, 2008, December 31, 2008, March 31, 2009 and June 30, 2009, we had no unrecognized tax benefits that, if recognized, would affect our effective income tax rate in future periods.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June 30,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January 1, 2009, we had net deferred tax assets of $61.9 million. The deferred tax assets are primarily composed of federal and state tax net operating loss (“NOL”) carryforwards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An analysis was performed which indicated that multiple ownership changes have occurred in previous years which created annual limitations on our ability to utilize NOL and tax credit carryovers. These limitations will result in the expiration of unused federal net operating loss carryforwards and federal tax credits in the amount of $8.8 million and $2.2 million, respectively. In each period since our inception, we have recorded a valuation allowance for the full amount of our deferred tax asset, as the realization of the deferred tax asset is uncertain. As a result, through June 30, 2009, we have not recorded any federal or state income tax benefit in our consolidated statement of operations.</w:t>
      </w:r>
    </w:p>
    <w:p>
      <w:pPr>
        <w:spacing w:after="0" w:line="195" w:lineRule="exact"/>
        <w:rPr>
          <w:sz w:val="20"/>
          <w:szCs w:val="20"/>
          <w:color w:val="auto"/>
        </w:rPr>
      </w:pPr>
    </w:p>
    <w:p>
      <w:pPr>
        <w:ind w:right="872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182" w:lineRule="exact"/>
        <w:rPr>
          <w:sz w:val="20"/>
          <w:szCs w:val="20"/>
          <w:color w:val="auto"/>
        </w:rPr>
      </w:pPr>
    </w:p>
    <w:p>
      <w:pPr>
        <w:ind w:right="964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provides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six months ended June 30, 2009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2,579,511</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408,373</w:t>
            </w:r>
          </w:p>
        </w:tc>
        <w:tc>
          <w:tcPr>
            <w:tcW w:w="9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(390,283)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2,597,601</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There was no aggregate intrinsic value of stock options exercised during the three months and six months ended June 30, 2009. The aggregate intrinsic value of stock options outstanding at June 30, 2009 and exercisable at June 30, 2009 was approximately $846,000 and approximately $80,000, respectively. Of the total stock options outstanding as of June 30, 2009, options to purchase 1,715,416 shares of common stock are exercisable, with a weighted average exercise price of $11.68 per share and a weighted average contractual life of 7.1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MediciNova, Inc. 2008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The estimated fair value of each ESPP purchase is determined on the date the offering period begins using the Black-Scholes option valuation model. For the six months ended June 30, 2009, 21,079 shares of common stock were issued under the ESPP and 266,627 shares of common stock were available for future issuance.</w:t>
      </w:r>
    </w:p>
    <w:p>
      <w:pPr>
        <w:spacing w:after="0" w:line="191" w:lineRule="exact"/>
        <w:rPr>
          <w:sz w:val="20"/>
          <w:szCs w:val="20"/>
          <w:color w:val="auto"/>
        </w:rPr>
      </w:pPr>
    </w:p>
    <w:p>
      <w:pPr>
        <w:ind w:right="9820" w:firstLine="8"/>
        <w:spacing w:after="0" w:line="417" w:lineRule="auto"/>
        <w:tabs>
          <w:tab w:leader="none" w:pos="17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Redemption of ARS</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July 7, 2009 and August 4, 2009, $50,000, respectively, of our current investment securities were redeemed at par value with the total proceeds of $100,000 used to pay down our outstanding ARS Loan.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2008 included in our Annual Report on Form 10-K filed with the Securities and Exchange Commission, or SEC, on March 31, 2009.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June 30, 2009, from inception, our accumulated deficit was approximately $236.6 million, including $45.3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development programs which have been in clinical development for the treatment of acute exacerbations of asthma, multiple sclerosis, or MS, bronchial asthma, interstitial cystitis, solid tumor cancers, Generalized Anxiety Disorder/insomnia, preterm labor and urinary incontinence, and two development programs which have been in preclinical development for the treatment of thrombotic disorders. We also plan to initiate a new development program for MN-221 for the treatment of COPD exacerbations.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development of the following two prioritized product development programs:</w:t>
      </w:r>
    </w:p>
    <w:p>
      <w:pPr>
        <w:spacing w:after="0" w:line="90" w:lineRule="exact"/>
        <w:rPr>
          <w:sz w:val="20"/>
          <w:szCs w:val="20"/>
          <w:color w:val="auto"/>
        </w:rPr>
      </w:pPr>
    </w:p>
    <w:p>
      <w:pPr>
        <w:ind w:left="900" w:right="6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MN-221 for the treatment of acute exacerbations of asthma and COPD exacerbations, for which we initiated a Phase II clinical trial in the first quarter of 2009 to evaluate the safety and efficacy of MN-221 in patients with severe, acute exacerbations of asthma treated in the emergency room and completed a Phase II clinical trial in the second quarter of 2009 which evaluated MN-221 at planned escalating doses in patients with severe, acute exacerbations of asthma treated in the emergency room;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the treatment of MS, for which we completed a Phase II clinical trial in Eastern Europe in the second quarter of 2008.</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Upon completion of proof-of-concept Phase II clinical trials, we will either continue to pursue development independently in the United States, as we presently intend with MN-221, or establish a strategic collaboration to support further clinical development, as we presently intend with MN-166. Following the completion of the Phase II clinical trial for MN-166, we are not planning to pursue any further significant development of MN-166 until such time that we are able to secure a strategic collaboration to advance the clinical development of MN-166.</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April 22, 2009, we reported the final results from the Phase II clinical trial (MN-221-CL-006) which evaluated MN-221 at planned escalating doses of 240 to 1,080 micrograms in patients with severe, acute exacerbations of asthma treated in emergency departments. The study included 29 (13 treated with standard care only and 16 treated with MN-221 plus standard care) patients with severe, acute exacerbations of asthma. All patients received standardized care consisting of inhaled albuterol, ipratropium and oral steroid treatment. No safety concerns with adding MN-221 to standardized care were identified following review of electrocardiogram, or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As specified in the protocol for this clinical trial, no inferential statistics (i.e., p-values) were calculated for this study. Improvement in forced expiratory volume in 1 second, or FEV1, values generally appeared to be greater for patients receiving MN-221 in addition to standardized treatment.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22, 2009, we also announced that the Phase II clinical trial (MN-221-CL-007) designed to evaluate the safety and efficacy of MN-221 in patients with severe, acute exacerbations of asthma began enrolling patients in the United States. The study is designed to enroll approximately 200 patients at approximately 35 emergency department clinical sites, including the clinical sites rolled over from the MN-221-CL-006 study, in North America, Australia and New Zealand. The MN-221-CL-007 clinical trial was initially designed to compare standardized care to standardized care plus MN-221 at a dose of 1,200 micrograms administered over one hour. Once a patient has received the initial standardized care treatment regimen, the patient will be assessed for response to that treatment. If the patient’s FEV1 is less than or equal to 50 percent of predicted and the patient meets all other study entry criteria, the patient will be randomized to receive either MN-221 or placebo. Patients enrolled in the study will continue to receive standardized care as needed. The primary efficacy endpoint will be improvement in FEV1.</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28, 2009, we announced the modification of the dosing regimen for the Phase II clinical trial (MN-221-CL-007) for MN-221 in patients with severe, acute exacerbations of asthma. Dosing in the MN-221-CL-007 clinical trial was modified to compare standardized care only to standardized care plus MN-221 at a dose of 250 micrograms administered over 15 minutes rather than at a dose of 1,200 micrograms administered over one hour. The modification was based on further analysis of data from the recently completed Phase II clinical trial (MN-221-CL-006) which evaluated MN-221 at planned escalating doses in patients with severe, acute exacerbations of asthma treated in emergency departments and two earlier Phase II clinical trials (MN-221-CL-004 and MN-221-CL-005) which evaluated MN-221 in patients with stable asthma.</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intend to limit development activities for the balance of our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These eight non-prioritized product development programs consist of the following:</w:t>
      </w:r>
    </w:p>
    <w:p>
      <w:pPr>
        <w:spacing w:after="0" w:line="26" w:lineRule="exact"/>
        <w:rPr>
          <w:sz w:val="20"/>
          <w:szCs w:val="20"/>
          <w:color w:val="auto"/>
        </w:rPr>
      </w:pPr>
    </w:p>
    <w:p>
      <w:pPr>
        <w:ind w:left="900" w:right="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25, 2009, we jointly announced with Avigen, Inc., or Avigen, that the two companies confirmed a mutual understanding of certain key terms for our proposed acquisition of Avigen that would combine the companies’ broad neurological clinical development programs based on ibudilast (our MN-166 product candidate and Avigen’s AV-411 product candidate). The understanding reached by the two companies is nonbinding and subject to definitive documentation and due diligence. We remain involved in negotiations with Avigen over the terms of the business combination; however, no definitive agreements have been reached, and there can be no assurances that definitive agreements will be successfully negotiated, the proposed terms will not be revised from those previously announced to the public or that the proposed business combination will be completed.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13, 2009, we announced the proposed final protocol for the Phase II clinical trial (MN-221-CL-007) for MN-221 in patients with severe, acute exacerbations of asthma. Following a more comprehensive pharmacokinetic/pharmacodynamic analysis and model of data from previous Phase II clinical trials, we determined that the dose of 1,200 micrograms of MN-221 administered over one hour may provide greater potential efficacy without conferring additional risk to patients. As a result, the dosing in the MN-221-CL-007 clinical trial was changed to compare standardized care only to standardized care plus MN-221 at a dose of 1,200 micrograms administered over one hour rather than at a dose of 250 micrograms administered over 15 minutes. As of August 2009, patient enrollment had resumed, and we expect to complete enrollment within nine to 12 months from such point in time.</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July 20, 2009, we announced our plans to initiate the evaluation of MN-221 for the treatment of COPD exacerbations. This indication represents the second respiratory indication for which we are currently evaluating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MN-221. We plan to evaluate the use of MN-221 for the treatment of COPD under our existing Investigational New Drug Application, or IND, for MN-221.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or CROs,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2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3"/>
                <w:szCs w:val="13"/>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4"/>
                <w:szCs w:val="14"/>
                <w:color w:val="auto"/>
              </w:rPr>
            </w:pPr>
          </w:p>
        </w:tc>
        <w:tc>
          <w:tcPr>
            <w:tcW w:w="35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Disease/Indication</w:t>
            </w: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Candidate</w:t>
            </w:r>
          </w:p>
        </w:tc>
        <w:tc>
          <w:tcPr>
            <w:tcW w:w="1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120" w:type="dxa"/>
            <w:vAlign w:val="bottom"/>
            <w:gridSpan w:val="2"/>
          </w:tcPr>
          <w:p>
            <w:pPr>
              <w:spacing w:after="0"/>
              <w:rPr>
                <w:sz w:val="12"/>
                <w:szCs w:val="12"/>
                <w:color w:val="auto"/>
              </w:rPr>
            </w:pPr>
          </w:p>
        </w:tc>
        <w:tc>
          <w:tcPr>
            <w:tcW w:w="5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34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Acute exacerbations of asthma</w:t>
            </w:r>
          </w:p>
        </w:tc>
        <w:tc>
          <w:tcPr>
            <w:tcW w:w="3160" w:type="dxa"/>
            <w:vAlign w:val="bottom"/>
            <w:gridSpan w:val="4"/>
            <w:shd w:val="clear" w:color="auto" w:fill="CCEEFF"/>
          </w:tcPr>
          <w:p>
            <w:pPr>
              <w:jc w:val="right"/>
              <w:ind w:right="452"/>
              <w:spacing w:after="0"/>
              <w:rPr>
                <w:sz w:val="20"/>
                <w:szCs w:val="20"/>
                <w:color w:val="auto"/>
              </w:rPr>
            </w:pPr>
            <w:r>
              <w:rPr>
                <w:rFonts w:ascii="Arial" w:cs="Arial" w:eastAsia="Arial" w:hAnsi="Arial"/>
                <w:sz w:val="18"/>
                <w:szCs w:val="18"/>
                <w:color w:val="auto"/>
              </w:rPr>
              <w:t>$ 2,376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MN-166</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Multiple sclerosis</w:t>
            </w:r>
          </w:p>
        </w:tc>
        <w:tc>
          <w:tcPr>
            <w:tcW w:w="3160" w:type="dxa"/>
            <w:vAlign w:val="bottom"/>
            <w:gridSpan w:val="4"/>
          </w:tcPr>
          <w:p>
            <w:pPr>
              <w:jc w:val="right"/>
              <w:ind w:right="39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Bronchial asthma</w:t>
            </w:r>
          </w:p>
        </w:tc>
        <w:tc>
          <w:tcPr>
            <w:tcW w:w="3160" w:type="dxa"/>
            <w:vAlign w:val="bottom"/>
            <w:gridSpan w:val="4"/>
            <w:shd w:val="clear" w:color="auto" w:fill="CCEEFF"/>
          </w:tcPr>
          <w:p>
            <w:pPr>
              <w:jc w:val="right"/>
              <w:ind w:right="45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MN-001</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Interstitial cystitis</w:t>
            </w:r>
          </w:p>
        </w:tc>
        <w:tc>
          <w:tcPr>
            <w:tcW w:w="3160" w:type="dxa"/>
            <w:vAlign w:val="bottom"/>
            <w:gridSpan w:val="4"/>
          </w:tcPr>
          <w:p>
            <w:pPr>
              <w:jc w:val="right"/>
              <w:ind w:right="4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Solid tumors</w:t>
            </w:r>
          </w:p>
        </w:tc>
        <w:tc>
          <w:tcPr>
            <w:tcW w:w="3160" w:type="dxa"/>
            <w:vAlign w:val="bottom"/>
            <w:gridSpan w:val="4"/>
            <w:shd w:val="clear" w:color="auto" w:fill="CCEEFF"/>
          </w:tcPr>
          <w:p>
            <w:pPr>
              <w:jc w:val="right"/>
              <w:ind w:right="45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MN-305</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Generalized Anxiety Disorder/insomnia</w:t>
            </w:r>
          </w:p>
        </w:tc>
        <w:tc>
          <w:tcPr>
            <w:tcW w:w="3160" w:type="dxa"/>
            <w:vAlign w:val="bottom"/>
            <w:gridSpan w:val="4"/>
          </w:tcPr>
          <w:p>
            <w:pPr>
              <w:jc w:val="right"/>
              <w:ind w:right="4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Preterm labor</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MN-246</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Urinary incontinence</w:t>
            </w:r>
          </w:p>
        </w:tc>
        <w:tc>
          <w:tcPr>
            <w:tcW w:w="3160" w:type="dxa"/>
            <w:vAlign w:val="bottom"/>
            <w:gridSpan w:val="4"/>
          </w:tcPr>
          <w:p>
            <w:pPr>
              <w:jc w:val="right"/>
              <w:ind w:right="4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Thrombotic disorders</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MN-462</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Thrombotic disorders</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Unallocated</w:t>
            </w:r>
          </w:p>
        </w:tc>
        <w:tc>
          <w:tcPr>
            <w:tcW w:w="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4700" w:type="dxa"/>
            <w:vAlign w:val="bottom"/>
            <w:gridSpan w:val="5"/>
            <w:vMerge w:val="restart"/>
          </w:tcPr>
          <w:p>
            <w:pPr>
              <w:spacing w:after="0"/>
              <w:rPr>
                <w:sz w:val="20"/>
                <w:szCs w:val="20"/>
                <w:color w:val="auto"/>
              </w:rPr>
            </w:pPr>
            <w:r>
              <w:rPr>
                <w:rFonts w:ascii="Arial" w:cs="Arial" w:eastAsia="Arial" w:hAnsi="Arial"/>
                <w:sz w:val="18"/>
                <w:szCs w:val="18"/>
                <w:color w:val="auto"/>
              </w:rPr>
              <w:t>Total research and development</w:t>
            </w:r>
          </w:p>
        </w:tc>
        <w:tc>
          <w:tcPr>
            <w:tcW w:w="21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5"/>
            <w:vMerge w:val="continue"/>
          </w:tcPr>
          <w:p>
            <w:pPr>
              <w:spacing w:after="0"/>
              <w:rPr>
                <w:sz w:val="19"/>
                <w:szCs w:val="19"/>
                <w:color w:val="auto"/>
              </w:rPr>
            </w:pPr>
          </w:p>
        </w:tc>
        <w:tc>
          <w:tcPr>
            <w:tcW w:w="2120" w:type="dxa"/>
            <w:vAlign w:val="bottom"/>
            <w:gridSpan w:val="2"/>
          </w:tcPr>
          <w:p>
            <w:pPr>
              <w:spacing w:after="0"/>
              <w:rPr>
                <w:sz w:val="19"/>
                <w:szCs w:val="19"/>
                <w:color w:val="auto"/>
              </w:rPr>
            </w:pP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w w:val="83"/>
              </w:rPr>
              <w:t>$ 2,746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2,244</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vMerge w:val="restart"/>
          </w:tcPr>
          <w:p>
            <w:pPr>
              <w:jc w:val="right"/>
              <w:ind w:right="89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for the treatment of MS in the second quarter of 2008, we have not undertaken, nor do we plan to undertake, any further significant clinical development of MN-166 until such time that we secure a strategic collaboration to advance the clinical development of MN-166. We anticipate that our research and development expenses will increase with respect to MN-221 in future periods as we continue development and launch clinical trials in support of potential commercialization of this product candidate for the treatment of acute exacerbations of asthma and COPD exacerbations and decrease with respect to MN-166 in future periods as we will limit expenditures on this product candidate to those development activities deemed necessary, if any, to maximize its value for purposes of securing a partner for clinical development. However, at this time, due to the risks inherent in the clinical development process and given the early stage of our MN-221 product development programs, we are unable to estimate with any certainty the costs that we will incur in the continued development of such product candidate for potential commercialization.</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securities consist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municipal bonds, government-guaranteed student loans, insurance notes and portfolios of securities (primarily commercial paper). When our ARS were originally purchased, there was an active market for purchasing and selling ARS; therefore, we considered these investment securities to be available-for-sale.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Statement of Financial Accounting Standards, or SFAS, No. 157, “Fair Value Measurements,” or SFAS 157, we determine the fair value of our ARS portfolio primarily on Level 3 criteria, which results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Given the lack of a primary and secondary market for our ARS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investment securities, we designated all of our ARS investment securities as trading securities at December 31, 2008; as a result, any additional increase or decrease in the fair value of our ARS investment securities is recorded as either a gain or an impairment charge, respectively, in our consolidated statement of operations. For the three months ended June 30, 2009, we recorded a net gain on our investment securities of approximately $1.2 million to increase the carrying value of our investment securities. We have classified our investment securities covered by the ARS Rights Offer (as described below) as current assets given that they can be converted into cash within twelve months from June 30, 2009. Our remaining investment securities are considered long-term assets, as they cannot be readily converted to cash within 12 months from June 30, 2009.</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AG and its affiliates, or UBS, the brokerage firm through which we purchased the majority of our ARS,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outstanding balance of the ARS Loan was $17.9 million.</w:t>
      </w:r>
    </w:p>
    <w:p>
      <w:pPr>
        <w:spacing w:after="0" w:line="12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Although we have the right to sell to UBS the ARS subject to the ARS Put at par beginning June 30, 2010, we determined the fair market value of the ARS without consideration of the ARS Put because they are deemed separate contractual agreements under SFAS 157.</w:t>
      </w:r>
    </w:p>
    <w:p>
      <w:pPr>
        <w:spacing w:after="0" w:line="132"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We elected to measure the ARS Put under the fair value option of SFAS No. 159, “The Fair Value Option for Financial Assets and Financial Liabilities,” or SFAS 159, to mitigate the volatility in reported earnings due to the linkage of certain of our ARS and the ARS Put. Under SFAS 159, any subsequent increase or decrease in the fair value of the ARS Put would be recorded as either a gain or an impairment charge, respectively, in our consolidated statement of operations.</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fair value of the ARS Put was also determined by a discounted cash flow valuation model with assumptions being made related to interest rate, maturity and liquidity. For the three months ended June 30, 2009, based on our discounted cash flow valuation, we recorded a net impairment charge of approximately $1.1 million in our consolidated statement of operations due to a decrease in the carrying value of the ARS Put to $5.6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was conducted entirely in Eastern Europe. When we entered into the euro-denominated contract with the CRO managing this clinical trial on our behalf, the U.S. dollar to euro conversion rate had remained fairly constant; therefore, we did not enter into a hedging program to mitigate our foreign exchange exposure at such time. We completed this clinical trial in the second quarter of 2008. Foreign exchange gain or loss is attributable to the strengthening or weakening, respectively, of the U.S. dollar against the euro and is reflected in the remaining accrued payable for this foreign currency contract.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interest income consists primarily of interest earned on our cash, cash equivalents and investment securities, offset by the interest charged on the 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is based on our consolidated financial statements, which have been prepared in accordance with accounting principles generally accepted in the United States, or GAAP.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2008 as filed with the SEC on March 31,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April 2009, the Financial Accounting Standards Board, or FASB, issued several pronouncements related to fair value measurement, recording and disclosure in financial reporting. FASB Staff Position No. 107-1 and Accounting Principles Board 28-1, “Interim Disclosures about Fair Value of Financial Instruments,” were issued to outline the required financial statement disclosures relating to fair value of financial instruments during interim reporting periods. FASB Staff Position No. 157-4, “Determining Fair Value When the Volume and Level of Activity for the Asset or Liability Have Significantly Decreased and Identifying Transactions That Are Not Orderly,” was issued to provide additional guidance in evaluating the fair value of a financial instrument when the volume and level of activity for the asset or liability has significantly decreased. FASB Staff Position No. 115-2 and FASB Staff Position No. 124-2, “Recognition and Presentation of Other-Than-Temporary Impairments,” were issued to provide additional guidance on presenting impairment losses on securities. All of the fair value measurement pronouncements were effective for interim and annual reporting periods ending after June 15, 2009. The adoption of these new pronouncements did not have a material effect on our consolidated results of operations or financial condition.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May 2009, the FASB issued SFAS No. 165, “Subsequent Events,” or SFAS 165. SFAS 165 establishes general standards of accounting for and disclosure of events that occur after the balance sheet date but before financial statements are issued or are available to be issued. SFAS 165 is effective for interim or annual financial periods ending after June 15, 2009. The adoption of SFAS 165 did not have a material effect on our consolidated results of operations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2009, the FASB issued SFAS No. 168, “The FASB Accounting Standards Codification and the Hierarchy of Generally Accepted Accounting Principles,” or SFAS 168, which replaces FASB 162. The FASB Accounting Standards Codification, or Codification, establishes a single source of authoritative GAAP recognized by the FASB to be applied by nongovernmental entities. Rules and interpretive releases of the SEC under authority of federal securities laws are also sources of authoritative GAAP for SEC registrants. On the effective date of SFAS 168, the Codification will supersede all then-existing non-SEC accounting and reporting standards. All other non-grandfathered, non-SEC accounting literature not included in the Codification will become nonauthoritative. SFAS 168 is effective for financial statements issued for interim and annual periods ending after September 15, 2009. We do not expect the adoption of SFAS 168 to have a material effect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2009 and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June 30, 2009 or June 30,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Research and development expenses for the three months ended June 30, 2009 were $2.7 million, an increase of $0.5 million when compared to $2.2 million for the three months ended June 30, 2008. This increase in research and development expenses was primarily due to $1.4 million of costs associated with the two Phase II clinical trials related to MN-221 for the treatment of acute exacerbations of asthma in emergency departments, offset by a decrease of $0.6 million related to the completion of the two-year Phase II clinical trial for MN-166 for the treatment of MS and a decrease of $0.3 million related to our other clinical development programs as we continued to focus our resources on the clinical development program for MN-221 for the treatment of acute exacerbations of asthma.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expenses were $2.2 million for the three months ended June 30, 2009 and 2008,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months ended June 30, 2009, we recorded a net gain of approximately $114,000 on our overall ARS investment portfolio and the ARS Put based on fair value determined by our discounted cash flow models with liquidity discount, as compared to an impairment charge of approximately $936,000 on our overall ARS investment portfolio for the three months ended June 30, 2008. The net gain was primarily a result of an increase of approximately $1.2 million in the fair value of our current ARS investments, mitigated by a decrease of approximately $1.1 million in fair value of the ARS Put.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Gain/Loss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June 30, 2009, we recorded a foreign exchange loss of approximately $18,000 due to the revaluation of our euro-denominated liability, as compared to a foreign exchange loss of approximately $5,000 for the three months ended June 30, 2008. The foreign exchange loss was due to the weakening of the U.S. dollar at June 30,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income consisted of income earned on our cash and investment balances and totaled approximately $184,000 for the three months ended June 30, 2009, a decrease of approximately $326,000 when compared to approximately $510,000 for the three months ended June 30, 2008. The decrease was primarily due to a decrease in interest earned on most of our cash and investment balances due to lower interest rates. In addition, as of June 30, 2009, approximately $65,000 of interest was applied to the ARS Loan.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2009 and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six months ended June 30, 2009 or June 30,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Research and development expenses for the six months ended June 30, 2009 were $5.8 million, a decrease of $2.5 million when compared to $8.3 million for the six months ended June 30, 2008. This overall decrease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research and development expenses included an increase of $1.3 million of costs associated with the two Phase II clinical trials related to MN-221 for the treatment of acute exacerbations of asthma in emergency departments, offset by a decrease of $2.5 million due to the completion of the two-year Phase II clinical trial for MN-166 for the treatment of MS, a decrease of $0.5 million related to MN-029 for the treatment of solid tumors and a decrease of $0.8 million related to our other clinical development programs and unallocated R&amp;D personnel time as we continued to primarily focus our resources on the clinical development program for MN-221 for the treatment of acute exacerbations of asthma.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General and administrative expenses were $4.4 million for the six months ended June 30, 2009, a decrease of $0.4 million when compared to $4.8 million for the six months ended June 30, 2008. This decrease in general and administrative expenses was due to a $0.4 million decrease in corporate expenses related to fees paid to external consultants.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six months ended June 30, 2009, a net gain of approximately $141,000 on our ARS investment portfolio and the ARS Put was recorded based on fair value as determined by our discounted cash flow models with liquidity discounts, as compared to an impairment charge of approximately $3.3 million on our ARS investment portfolio for the six months ended June 30, 2008. The net gain was primarily a result of an increase of approximately $313,000 in the fair value of our current ARS investments, offset by a decrease of approximately $151,000 in the fair value of the ARS Put and a decrease of approximately $21,000 in fair value of our long-term ARS investments.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Gain/Loss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six months ended June 30, 2009, we recorded a foreign exchange gain of approximately $9,000 due to the revaluation of our euro-denominated liability, as compared to a foreign exchange loss of approximately $623,000 for the six months ended June 30, 2008. The foreign exchange gain was due to the strengthening of the U.S. dollar at March 31, 2009 being greater than the weakening of the U.S. dollar at June 30, 2009. In addition, there was a reduction in our outstanding accounts payable balance to the CRO involved with the completed Phase II clinical trial for MN-166 based on reconciliations performed as of the end of the first quarter of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Interest income consisted of income earned on our cash and investment balances and totaled approximately $402,000 for the six months ended June 30, 2009, a decrease of approximately $942,000 when compared to $1.3 million for the six months ended June 30, 2008. The decrease was primarily due to a decrease in interest earned on our cash and investment balances due to lower interest rates. In addition, as of June 30, 2009, approximately $108,000 of interest was applied to the ARS Loan.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Since our inception, we have primarily financed our operations through the private placement of our equity securities, the public sale of our common stock and the exercise of founders’ warrants, net of treasury stock repurchases. Through June 30, 2009, we received estimated net proceeds of $201.4 million from the sale of equity securities, the exercise of warrants and stock options and employee stock purchases.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June 30, 2009, we had approximately $40.7 million in cash, cash equivalents, investment securities and an ARS Put, net of the ARS Loan, as compared to $49.1 million of cash, cash equivalents, investment securities and ARS Put at December 31, 2008, which decrease of $8.4 million is primarily a result of our operating loss during the six months ended June 30, 2009. At June 30, 2009, $22.1 million of our ARS consisted primarily of municipal bonds and government-guaranteed student loan securities and $2.1 million of our ARS consisted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private placement securities. None of the underlying collateral for our ARS consisted of subprime mortgages or collateralized debt obligations. Based on our discounted cash flow models, our total ARS investment securities, which were designated as trading securities, increased in fair value overall and resulted in the recording of a gain of approximately $1.2 million in our consolidated statement of operations to increase their carrying value for the three months ended June 30, 2009. In addition, we also recorded an impairment charge of $1.1 million on the ARS Put to reduce its carrying value for the three months ended June 30, 2009.</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In addition, during the three months and six months ended June 30, 2009, $100,000 of our current investment securities was redeemed at par value, with the proceeds being used to pay down the outstanding amount of the ARS Loan.</w:t>
      </w:r>
    </w:p>
    <w:p>
      <w:pPr>
        <w:spacing w:after="0" w:line="12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elected to measure the ARS Put under the fair value option of SFAS 159 to mitigate the volatility in reported earnings due to the direct linkage between certain of our ARS and the ARS Put. The fair value of the ARS Put was also determined by using a discounted cash flow valuation model with assumptions related to interest rate, maturity and liquidity. For the three months ended June 30, 2009, based on our discounted cash flow valuation, we recorded an impairment charge of approximately $1.1 million in our consolidated statement of operations due to a decrease in the carrying value of the ARS Put to $5.6 million.</w:t>
      </w:r>
    </w:p>
    <w:p>
      <w:pPr>
        <w:spacing w:after="0" w:line="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in our models, a reduction of the expected term to redemption by two years for our ARS portfolio yielded a net increase in valuation of our ARS of $1.8 million and an increase in expected term to redemption by two years for our ARS portfolio yielded a decrease in valuation of our ARS of $1.6 million. Other factors that may impact the valuation of our ARS and the ARS Put include changes to the credit quality of the underlying assets, discount rates, counterparty risk and the condition of the overall credit market.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will continue to monitor closely our ARS, as the liquidity of such securities could impact our ability to fund our operations if we are unable to liquidate such securities, otherwise unable to obtain capital to fund our operations or UBS demands full or partial payment of the ARS Loan and does not timely provide us with alternative financing on substantially the same terms. In the event that the credit crisis continues or worsens and the ARS market remains illiquid, we may not be able to recover the full value of our ARS investments should we determine it is necessary to liquidate any such securities. Further, in such event, we may not be able to borrow the maximum available amount under the ARS Loan or, if we have borrowed the maximum available amount, maintain such loan outstanding.</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cash used in operating activities decreased to $8.6 million for the six months ended June 30, 2009 from $12.3 million for the six months ended June 30, 2008. The decrease was primarily due to a reduction in spending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research and development due to the completion of the Phase II clinical trial for MN-166 in the second quarter of 2008. Net cash provided by investing activities was approximately $87,000 for the six months ended June 30, 2009, as compared to $21.6 million provided by investing activities for the six months ended June 30, 2008. The decrease was primarily due to the illiquidity of the ARS market. Net cash provided by financing activities was $17.9 million for the six months ended June 30, 2009, as compared to less than $100,000 for the six months ended June 30, 2008. This increase was due to the net amount borrowed under the ARS Loan.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our current cash, cash equivalents and the ARS Loan are our principal sources of liquidity. At June 30, 2009, we believe that our existing cash and cash equivalents will be sufficient to fund our anticipated operating requirements, at a minimum, through June 30, 2010, including all of our planned research and development activities. We anticipate that we may require additional funding in the future to fund our operations and intended research and development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future uses and capital requirements will depend on, and could increase significantly as a result of, many factors, including the following:</w:t>
      </w:r>
    </w:p>
    <w:p>
      <w:pPr>
        <w:spacing w:after="0" w:line="113" w:lineRule="exact"/>
        <w:rPr>
          <w:sz w:val="20"/>
          <w:szCs w:val="20"/>
          <w:color w:val="auto"/>
        </w:rPr>
      </w:pPr>
    </w:p>
    <w:p>
      <w:pPr>
        <w:ind w:left="900" w:right="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progress of our clinical trials and other research and development activities, including expenses to support the clinical development of MN-221 for the treatment of acute exacerbations of asthma and COPD exacerbations and milestone payments that may become payable to Kissei Pharmaceutical Co., Ltd., or Kissei Pharmaceutical, based on the progress of such product development programs;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securities consist entirely of ARS, and we have the ARS Put. All of our ARS had AAA ratings at the time of purchase, were originally designated as available-for-sale and principally represent interests in municipal bonds, government-guaranteed student loans, insurance notes and portfolios of securities (primarily commercial paper). None of the underlying collateral for our ARS consisted of subprime mortgages or collateralized debt obligations. At June 30, 2009, $22.1 million of our ARS consisted primarily of municipal bonds and government-guaranteed student loan securities and $2.1 million of our ARS consisted of private placement securities.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did throughout 2008 and during the first half of 2009, the investments may not be readily convertible to cash until a future auction of these investments is successful, they are redeemed, repurchased or sold through a secondary market, or they mature. Because of the lack of a primary or secondary ARS market, we designated all of our ARS as trading securities at December 31, 2008. At June 30, 2009, we continued to designate all of our ARS as trading securities. In addition, during the three months ended June 30, 2009, $100,000 of our ARS was redeemed at par value, with the proceeds used to pay down the outstanding balance of the ARS Loan. At June 30, 2009, the ARS Loan balance was $17.9 million. Under the ARS Loan program, UBS may demand full or partial payment of the ARS Loan, at its sole option and without cause, at any time; however, the ARS Loan would remain in full force and effect until such time that UBS provided alternative financing at substantially the same terms. All cash received under the ARS Loan was invested in money market accounts.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were exposed to foreign currency exchange rate risk with respect to the Phase II clinical trial for MN-166 for the treatment of MS, which we completed in Eastern Europe in the second quarter of 2008. As of June 30, 2009, we remain in the process of finalizing our reconciliation for this study with the CRO who supported us in conducting this study. We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June 30, 2009, a hypothetical 100 basis point change in the exchange rate would not have a material impact on our consolidated financial statements.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22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three months and six months ended June 30, 2009, we had a net loss of approximately $4.7 million and $9.7 million, respectively. At June 30, 2009, our accumulated deficit was approximately $236.6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COPD exacerbations, and any other development activities that we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To date, we have funded our operations primarily from sales of our securities.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U.S. Food and Drug Administration, or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 for the treatment of MS,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 for the treatment of MS until such time that we are able to secure a strategic collaboration to advance the clinical development of MN-166, which may delay or impede the process of completing clinical trials and seeking regulatory approval for this product candidate.</w:t>
      </w:r>
    </w:p>
    <w:p>
      <w:pPr>
        <w:spacing w:after="0" w:line="12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MN-221 or MN-166 in a timely manner would have a material and adverse impact on our business and our stock price.</w:t>
      </w:r>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INDs were approved by the FDA and are active for seven of our product candidates. We also have obtained one Clinical Trial Authorization, or CTA, for the phase II clinical trial for MN-221 in Canada.</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 of MN-305 for the treatment of insomnia failed to achieve statistical significance in its primary endpoint;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or other regulatory authorities will consider an application for marketing approval.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we recently have experienced delays in the enrollment of patients for our Phase II clinical trial evaluating the safety and efficacy of MN-221 in patients with severe, acute exacerbations of asthma due to changes in the dosing regimen. These delays have extended the anticipated date for completion of enrollment by approximately two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5620" w:right="5620" w:hanging="5166"/>
        <w:spacing w:after="0" w:line="525" w:lineRule="auto"/>
        <w:tabs>
          <w:tab w:leader="none" w:pos="8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regulatory approval to commence or amend a clinical trial; 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clinical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patients who have chosen to participate in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institutional review board, or IRB, approval or approval from foreign counterparts to conduct or amend a clinical trial at a prospective site.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8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also have a material adverse effect on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consumed substantial amounts of capital since our inception. From our inception to June 30, 2009, we had an accumulated deficit of $236.6 million. Our cash, cash equivalents, investment securities and ARS Put, net of the ARS Loan, totaled approximately $40.7 million at June 30, 2009. We intend to manage our product development programs such that our existing cash, cash equivalents and investment securities as of June 30, 2009 will be sufficient to meet our operating requirements through at least June 30, 2010. We have based this estimate on assumptions that may prove to be wrong, and we could spend our available financial resources faster than we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currently anticipate. Our future capital requirements will depend on, and could increase significantly as a result of, many factors including:</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2008, all of our remaining marketable securities available-for-sale, which consisted of auction rate securities, or ARS, were designated as trading securities and were classified to long-term due to the time frame in which we can readily convert these securities into cash. Our long-term asset consisted of the 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Put (as described below). At June 30, 2009, $21.3 million of our ARS and the ARS Put were reclassified to current assets because they can be readily converted to cash within twelve months. Of the $3.0 million of ARS which continue to be classified as long-term assets, $2.1 million consist of private placement investment securities. None of the underlying collateral for our ARS consisted of subprime mortgages or collateralized debt obligations.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a result, we have been unable to liquidate our ARS that are not subject to the ARS Rights Offer, and we could be required to hold these securities until such time that they are redeemed by the issuer, successfully sold at auction, sold through a secondary market or ultimately mature. In addition, with the adoption of SFAS 157,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With all of our investment securities designated as trading securities, any additional increase or decrease in the fair value of our investment securities is recorded as either a gain or an impairment charge, respectively, in our consolidated statement of operations. For the three months ended June 30, 2009, we recorded a net gain on our investment securities of approximately $1.2 million to increase the carrying value of our investment securities. In addition, for the three months ended June 30, 2009, we recorded a $1.1 million impairment charge on the ARS Put to decrease its carrying value based on our discounted cash flow model with liquidity discount.</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our ARS Loan balance was $17.9 million.</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UBS will consummate the ARS Rights Offer and repurchase our ARS subject to such offer at par value, or that we will be able to renew this facility at maturity on similar terms, or at all.</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business combination transactions could have an adverse affect on our results of operations and financial condition.</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December 2008, we made a proposal to Avigen and its shareholders regarding a proposed merger between us and Avigen. On June 25, 2009, we jointly announced with Avigen that the two companies confirmed a mutual understanding of certain key terms of our proposed acquisition of Avigen. The understanding reached by the two companies is nonbinding and subject to definitive documentation and due diligence. We have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entered into, and we cannot assure you that we will enter into, a definitive transaction agreement with Avigen. If we do execute such an agreement, we cannot assure you we will be able to consummate the transaction due to the strong likelihood that the agreement will include conditions to closing, or that our results of operations, financial condition and outlook would improve as a result of the consummation of any merger transaction with Avigen. In addition, we cannot assure you that we will continue to pursue any acquisition activity in the future.</w:t>
      </w:r>
    </w:p>
    <w:p>
      <w:pPr>
        <w:spacing w:after="0" w:line="22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we have not undertaken, nor do we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rely on third parties to assist us with our clinical trials and other important aspects of our product development programs,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if the performance of any of these third parties is substandard,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or Hospira, for the development and supply of finished product of MN-221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6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studies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the federal Medicare and Medicaid Protection Act of 1987, as amended, or the Anti-Kickback Statute, and the False Claims Act,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amended. These laws may impact any proposed sales, marketing and education programs as well as other aspects of our operations.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August 11, 2009, we had 22 full-time employees, two part-time employees and one intern.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are required to comply with the Sarbanes-Oxley Act of 2002, as amended, or the Sarbanes-Oxley Act, as well as rules and regulations implemented by the SEC, The NASDAQ Stock Market, Inc.,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In addition, as a smaller reporting company, our report regarding internal control over financial reporting for the year ended December 31, 2008 was not subject to attestation by our registered public accounting firm pursuant to temporary SEC rules.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are aware that Avigen has conducted preclinical studies and clinical trials for a product which contains the same API as that found in our MN-166 product candidate to target the treatment of neuropathic pain.</w:t>
      </w:r>
    </w:p>
    <w:p>
      <w:pPr>
        <w:spacing w:after="0" w:line="12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Despite the listing of our common stock on the Nasdaq Global Market and the Hercules Market of the Osaka Securities Exchange in Japan, trading volume in our securities has been light and an active trading market may not develop for our common stock. In June 2009, our average trading volume was approximately 11,500 shares per day on the Nasdaq Global Market and approximately 53,900 shares per day on the Hercules Market of the Osaka Stock Exchange.</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June 30, 2009, our common stock has traded as high as approximately $42.00 and as low as approximately $1.50.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4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or the economy as a whole;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related to 1,285,657 shares were exercisable at $1.00 per share and a warrant held by a separate investor that related to 50,000 shares was exercisable at $10.00 per share. All of the warrants held by our founders have been exercised, and the warrant held by the separate investor of 50,000 shares expired in May 2009. All of such shares, other than shares held by our affiliates, may also be sold from time to time in exempt transactions pursuant to Rule 144 promulgated by the SEC.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These provisions may also make it difficult for stockholders to remove and replace our board of directors and management. These provisions:</w:t>
      </w:r>
    </w:p>
    <w:p>
      <w:pPr>
        <w:spacing w:after="0" w:line="113" w:lineRule="exact"/>
        <w:rPr>
          <w:sz w:val="20"/>
          <w:szCs w:val="20"/>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Our Annual Meeting of Stockholders was held on June 11, 2009. A summary of the matters voted at the Annual Meeting and the results were provided in Item 8.01 of our Current Report on Form 8-K filed with the Securities and Exchange Commission on June 16, 2009 and are incorporated by reference herein.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Consulting</w:t>
            </w:r>
          </w:p>
        </w:tc>
        <w:tc>
          <w:tcPr>
            <w:tcW w:w="9100" w:type="dxa"/>
            <w:vAlign w:val="bottom"/>
          </w:tcPr>
          <w:p>
            <w:pPr>
              <w:ind w:left="120"/>
              <w:spacing w:after="0"/>
              <w:rPr>
                <w:sz w:val="20"/>
                <w:szCs w:val="20"/>
                <w:color w:val="auto"/>
              </w:rPr>
            </w:pPr>
            <w:r>
              <w:rPr>
                <w:rFonts w:ascii="Arial" w:cs="Arial" w:eastAsia="Arial" w:hAnsi="Arial"/>
                <w:sz w:val="18"/>
                <w:szCs w:val="18"/>
                <w:color w:val="auto"/>
              </w:rPr>
              <w:t>Agreement dated June 12, 2009, by and between MediciNova, Inc. and Danerius, LLC.</w:t>
            </w:r>
          </w:p>
        </w:tc>
      </w:tr>
      <w:tr>
        <w:trPr>
          <w:trHeight w:val="316"/>
        </w:trPr>
        <w:tc>
          <w:tcPr>
            <w:tcW w:w="960" w:type="dxa"/>
            <w:vAlign w:val="bottom"/>
            <w:gridSpan w:val="2"/>
          </w:tcPr>
          <w:p>
            <w:pPr>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Separation Agreement and Release dated June 26, 2009, by and between MediciNova, Inc. and Richard E. Gammans, Ph.D.</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Separation Agreement and Release dated July 12, 2009, by and between MediciNova, Inc. and Michael Kalafer, M.D.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2009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16, 2009 and incorporated herein by reference.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6140" w:val="left"/>
          <w:tab w:leader="none" w:pos="8120" w:val="left"/>
          <w:tab w:leader="none" w:pos="8460" w:val="left"/>
        </w:tabs>
        <w:rPr>
          <w:sz w:val="20"/>
          <w:szCs w:val="20"/>
          <w:color w:val="auto"/>
        </w:rPr>
      </w:pPr>
      <w:r>
        <w:rPr>
          <w:rFonts w:ascii="Arial" w:cs="Arial" w:eastAsia="Arial" w:hAnsi="Arial"/>
          <w:sz w:val="18"/>
          <w:szCs w:val="18"/>
          <w:color w:val="auto"/>
        </w:rPr>
        <w:t>Date: August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Yuichi Iwaki, M.D., Ph.D.</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616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Shintaro Asako</w:t>
      </w:r>
    </w:p>
    <w:p>
      <w:pPr>
        <w:jc w:val="center"/>
        <w:ind w:left="652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240" w:top="459" w:right="8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00" w:type="dxa"/>
            <w:vAlign w:val="bottom"/>
          </w:tcPr>
          <w:p>
            <w:pPr>
              <w:ind w:left="29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Consulting</w:t>
            </w:r>
          </w:p>
        </w:tc>
        <w:tc>
          <w:tcPr>
            <w:tcW w:w="9100" w:type="dxa"/>
            <w:vAlign w:val="bottom"/>
          </w:tcPr>
          <w:p>
            <w:pPr>
              <w:ind w:left="120"/>
              <w:spacing w:after="0"/>
              <w:rPr>
                <w:sz w:val="20"/>
                <w:szCs w:val="20"/>
                <w:color w:val="auto"/>
              </w:rPr>
            </w:pPr>
            <w:r>
              <w:rPr>
                <w:rFonts w:ascii="Arial" w:cs="Arial" w:eastAsia="Arial" w:hAnsi="Arial"/>
                <w:sz w:val="18"/>
                <w:szCs w:val="18"/>
                <w:color w:val="auto"/>
              </w:rPr>
              <w:t>Agreement dated June 12, 2009, by and between MediciNova, Inc. and Danerius, LLC.</w:t>
            </w:r>
          </w:p>
        </w:tc>
      </w:tr>
      <w:tr>
        <w:trPr>
          <w:trHeight w:val="316"/>
        </w:trPr>
        <w:tc>
          <w:tcPr>
            <w:tcW w:w="1180" w:type="dxa"/>
            <w:vAlign w:val="bottom"/>
            <w:gridSpan w:val="2"/>
          </w:tcPr>
          <w:p>
            <w:pPr>
              <w:spacing w:after="0"/>
              <w:rPr>
                <w:sz w:val="20"/>
                <w:szCs w:val="20"/>
                <w:color w:val="auto"/>
              </w:rPr>
            </w:pPr>
            <w:r>
              <w:rPr>
                <w:rFonts w:ascii="Arial" w:cs="Arial" w:eastAsia="Arial" w:hAnsi="Arial"/>
                <w:sz w:val="18"/>
                <w:szCs w:val="18"/>
                <w:color w:val="auto"/>
              </w:rPr>
              <w:t>10.2(2)</w:t>
            </w: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Separation Agreement and Release dated June 26, 2009, by and between MediciNova, Inc. and Richard E. Gammans, Ph.D.</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10.3(3)</w:t>
            </w:r>
          </w:p>
        </w:tc>
        <w:tc>
          <w:tcPr>
            <w:tcW w:w="9800" w:type="dxa"/>
            <w:vAlign w:val="bottom"/>
            <w:gridSpan w:val="2"/>
          </w:tcPr>
          <w:p>
            <w:pPr>
              <w:spacing w:after="0"/>
              <w:rPr>
                <w:sz w:val="20"/>
                <w:szCs w:val="20"/>
                <w:color w:val="auto"/>
              </w:rPr>
            </w:pPr>
            <w:r>
              <w:rPr>
                <w:rFonts w:ascii="Arial" w:cs="Arial" w:eastAsia="Arial" w:hAnsi="Arial"/>
                <w:sz w:val="18"/>
                <w:szCs w:val="18"/>
                <w:color w:val="auto"/>
              </w:rPr>
              <w:t>Separation Agreement and Release dated July 12, 2009, by and between MediciNova, Inc. and Michael Kalafer, M.D.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2009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16, 2009 and incorporated herein by reference.</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240" w:top="459" w:right="6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2009,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2009,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7"/>
    </w:lvl>
  </w:abstractNum>
  <w:abstractNum w:abstractNumId="6">
    <w:nsid w:val="2D1D5AE9"/>
    <w:multiLevelType w:val="hybridMultilevel"/>
    <w:lvl w:ilvl="0">
      <w:lvlJc w:val="left"/>
      <w:lvlText w:val="%1."/>
      <w:numFmt w:val="decimal"/>
      <w:start w:val="8"/>
    </w:lvl>
  </w:abstractNum>
  <w:abstractNum w:abstractNumId="7">
    <w:nsid w:val="6763845E"/>
    <w:multiLevelType w:val="hybridMultilevel"/>
    <w:lvl w:ilvl="0">
      <w:lvlJc w:val="left"/>
      <w:lvlText w:val="%1."/>
      <w:numFmt w:val="decimal"/>
      <w:start w:val="9"/>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2019-12-10T22:29:30Z</dcterms:created>
  <dcterms:modified xsi:type="dcterms:W3CDTF">2019-12-10T22:29:30Z</dcterms:modified>
</cp:coreProperties>
</file>