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460" w:right="2380" w:hanging="452"/>
        <w:spacing w:after="0" w:line="32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0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3920" w:type="dxa"/>
            <w:vAlign w:val="bottom"/>
            <w:gridSpan w:val="3"/>
          </w:tcPr>
          <w:p>
            <w:pPr>
              <w:ind w:left="160"/>
              <w:spacing w:after="0"/>
              <w:rPr>
                <w:sz w:val="20"/>
                <w:szCs w:val="20"/>
                <w:color w:val="auto"/>
              </w:rPr>
            </w:pPr>
            <w:r>
              <w:rPr>
                <w:rFonts w:ascii="Arial" w:cs="Arial" w:eastAsia="Arial" w:hAnsi="Arial"/>
                <w:sz w:val="18"/>
                <w:szCs w:val="18"/>
                <w:b w:val="1"/>
                <w:bCs w:val="1"/>
                <w:color w:val="auto"/>
              </w:rPr>
              <w:t>to</w:t>
            </w:r>
          </w:p>
        </w:tc>
        <w:tc>
          <w:tcPr>
            <w:tcW w:w="2220" w:type="dxa"/>
            <w:vAlign w:val="bottom"/>
          </w:tcPr>
          <w:p>
            <w:pPr>
              <w:spacing w:after="0"/>
              <w:rPr>
                <w:sz w:val="19"/>
                <w:szCs w:val="19"/>
                <w:color w:val="auto"/>
              </w:rPr>
            </w:pPr>
          </w:p>
        </w:tc>
      </w:tr>
      <w:tr>
        <w:trPr>
          <w:trHeight w:val="151"/>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63"/>
        </w:trPr>
        <w:tc>
          <w:tcPr>
            <w:tcW w:w="3080" w:type="dxa"/>
            <w:vAlign w:val="bottom"/>
          </w:tcPr>
          <w:p>
            <w:pPr>
              <w:spacing w:after="0"/>
              <w:rPr>
                <w:sz w:val="22"/>
                <w:szCs w:val="22"/>
                <w:color w:val="auto"/>
              </w:rPr>
            </w:pPr>
          </w:p>
        </w:tc>
        <w:tc>
          <w:tcPr>
            <w:tcW w:w="3920" w:type="dxa"/>
            <w:vAlign w:val="bottom"/>
            <w:gridSpan w:val="3"/>
          </w:tcPr>
          <w:p>
            <w:pPr>
              <w:jc w:val="center"/>
              <w:ind w:left="327"/>
              <w:spacing w:after="0"/>
              <w:rPr>
                <w:sz w:val="20"/>
                <w:szCs w:val="20"/>
                <w:color w:val="auto"/>
              </w:rPr>
            </w:pPr>
            <w:r>
              <w:rPr>
                <w:rFonts w:ascii="Arial" w:cs="Arial" w:eastAsia="Arial" w:hAnsi="Arial"/>
                <w:sz w:val="18"/>
                <w:szCs w:val="18"/>
                <w:b w:val="1"/>
                <w:bCs w:val="1"/>
                <w:color w:val="auto"/>
                <w:w w:val="87"/>
              </w:rPr>
              <w:t>Commission file number: 001-33185</w:t>
            </w:r>
          </w:p>
        </w:tc>
        <w:tc>
          <w:tcPr>
            <w:tcW w:w="2220" w:type="dxa"/>
            <w:vAlign w:val="bottom"/>
          </w:tcPr>
          <w:p>
            <w:pPr>
              <w:spacing w:after="0"/>
              <w:rPr>
                <w:sz w:val="22"/>
                <w:szCs w:val="22"/>
                <w:color w:val="auto"/>
              </w:rPr>
            </w:pPr>
          </w:p>
        </w:tc>
      </w:tr>
      <w:tr>
        <w:trPr>
          <w:trHeight w:val="393"/>
        </w:trPr>
        <w:tc>
          <w:tcPr>
            <w:tcW w:w="3080" w:type="dxa"/>
            <w:vAlign w:val="bottom"/>
          </w:tcPr>
          <w:p>
            <w:pPr>
              <w:spacing w:after="0"/>
              <w:rPr>
                <w:sz w:val="24"/>
                <w:szCs w:val="24"/>
                <w:color w:val="auto"/>
              </w:rPr>
            </w:pPr>
          </w:p>
        </w:tc>
        <w:tc>
          <w:tcPr>
            <w:tcW w:w="3920" w:type="dxa"/>
            <w:vAlign w:val="bottom"/>
            <w:gridSpan w:val="3"/>
          </w:tcPr>
          <w:p>
            <w:pPr>
              <w:jc w:val="center"/>
              <w:ind w:left="347"/>
              <w:spacing w:after="0"/>
              <w:rPr>
                <w:sz w:val="20"/>
                <w:szCs w:val="20"/>
                <w:color w:val="auto"/>
              </w:rPr>
            </w:pPr>
            <w:r>
              <w:rPr>
                <w:rFonts w:ascii="Arial" w:cs="Arial" w:eastAsia="Arial" w:hAnsi="Arial"/>
                <w:sz w:val="32"/>
                <w:szCs w:val="32"/>
                <w:b w:val="1"/>
                <w:bCs w:val="1"/>
                <w:color w:val="auto"/>
              </w:rPr>
              <w:t>MEDICINOVA, INC.</w:t>
            </w:r>
          </w:p>
        </w:tc>
        <w:tc>
          <w:tcPr>
            <w:tcW w:w="2220" w:type="dxa"/>
            <w:vAlign w:val="bottom"/>
          </w:tcPr>
          <w:p>
            <w:pPr>
              <w:spacing w:after="0"/>
              <w:rPr>
                <w:sz w:val="24"/>
                <w:szCs w:val="24"/>
                <w:color w:val="auto"/>
              </w:rPr>
            </w:pPr>
          </w:p>
        </w:tc>
      </w:tr>
      <w:tr>
        <w:trPr>
          <w:trHeight w:val="174"/>
        </w:trPr>
        <w:tc>
          <w:tcPr>
            <w:tcW w:w="3080" w:type="dxa"/>
            <w:vAlign w:val="bottom"/>
          </w:tcPr>
          <w:p>
            <w:pPr>
              <w:spacing w:after="0"/>
              <w:rPr>
                <w:sz w:val="15"/>
                <w:szCs w:val="15"/>
                <w:color w:val="auto"/>
              </w:rPr>
            </w:pPr>
          </w:p>
        </w:tc>
        <w:tc>
          <w:tcPr>
            <w:tcW w:w="392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2220" w:type="dxa"/>
            <w:vAlign w:val="bottom"/>
          </w:tcPr>
          <w:p>
            <w:pPr>
              <w:spacing w:after="0"/>
              <w:rPr>
                <w:sz w:val="15"/>
                <w:szCs w:val="15"/>
                <w:color w:val="auto"/>
              </w:rPr>
            </w:pPr>
          </w:p>
        </w:tc>
      </w:tr>
      <w:tr>
        <w:trPr>
          <w:trHeight w:val="258"/>
        </w:trPr>
        <w:tc>
          <w:tcPr>
            <w:tcW w:w="3080" w:type="dxa"/>
            <w:vAlign w:val="bottom"/>
          </w:tcPr>
          <w:p>
            <w:pPr>
              <w:jc w:val="center"/>
              <w:ind w:left="1702"/>
              <w:spacing w:after="0"/>
              <w:rPr>
                <w:sz w:val="20"/>
                <w:szCs w:val="20"/>
                <w:color w:val="auto"/>
              </w:rPr>
            </w:pPr>
            <w:r>
              <w:rPr>
                <w:rFonts w:ascii="Arial" w:cs="Arial" w:eastAsia="Arial" w:hAnsi="Arial"/>
                <w:sz w:val="18"/>
                <w:szCs w:val="18"/>
                <w:b w:val="1"/>
                <w:bCs w:val="1"/>
                <w:color w:val="auto"/>
                <w:w w:val="88"/>
              </w:rPr>
              <w:t>Delaware</w:t>
            </w:r>
          </w:p>
        </w:tc>
        <w:tc>
          <w:tcPr>
            <w:tcW w:w="9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20" w:type="dxa"/>
            <w:vAlign w:val="bottom"/>
          </w:tcPr>
          <w:p>
            <w:pPr>
              <w:jc w:val="right"/>
              <w:ind w:right="522"/>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7000" w:type="dxa"/>
            <w:vAlign w:val="bottom"/>
            <w:gridSpan w:val="4"/>
          </w:tcPr>
          <w:p>
            <w:pPr>
              <w:jc w:val="center"/>
              <w:ind w:right="214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20" w:type="dxa"/>
            <w:vAlign w:val="bottom"/>
          </w:tcPr>
          <w:p>
            <w:pPr>
              <w:jc w:val="center"/>
              <w:ind w:left="8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80" w:type="dxa"/>
            <w:vAlign w:val="bottom"/>
          </w:tcPr>
          <w:p>
            <w:pPr>
              <w:jc w:val="center"/>
              <w:ind w:left="1702"/>
              <w:spacing w:after="0"/>
              <w:rPr>
                <w:sz w:val="20"/>
                <w:szCs w:val="20"/>
                <w:color w:val="auto"/>
              </w:rPr>
            </w:pPr>
            <w:r>
              <w:rPr>
                <w:rFonts w:ascii="Arial" w:cs="Arial" w:eastAsia="Arial" w:hAnsi="Arial"/>
                <w:sz w:val="14"/>
                <w:szCs w:val="14"/>
                <w:b w:val="1"/>
                <w:bCs w:val="1"/>
                <w:color w:val="auto"/>
                <w:w w:val="90"/>
              </w:rPr>
              <w:t>or Organization)</w:t>
            </w:r>
          </w:p>
        </w:tc>
        <w:tc>
          <w:tcPr>
            <w:tcW w:w="9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12"/>
        </w:trPr>
        <w:tc>
          <w:tcPr>
            <w:tcW w:w="700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88"/>
              </w:rPr>
              <w:t>4275 Executive Square, Suite 650, La Jolla, CA</w:t>
            </w:r>
          </w:p>
        </w:tc>
        <w:tc>
          <w:tcPr>
            <w:tcW w:w="2220" w:type="dxa"/>
            <w:vAlign w:val="bottom"/>
          </w:tcPr>
          <w:p>
            <w:pPr>
              <w:jc w:val="right"/>
              <w:ind w:right="722"/>
              <w:spacing w:after="0"/>
              <w:rPr>
                <w:sz w:val="20"/>
                <w:szCs w:val="20"/>
                <w:color w:val="auto"/>
              </w:rPr>
            </w:pPr>
            <w:r>
              <w:rPr>
                <w:rFonts w:ascii="Arial" w:cs="Arial" w:eastAsia="Arial" w:hAnsi="Arial"/>
                <w:sz w:val="18"/>
                <w:szCs w:val="18"/>
                <w:b w:val="1"/>
                <w:bCs w:val="1"/>
                <w:color w:val="auto"/>
              </w:rPr>
              <w:t>92037</w:t>
            </w:r>
          </w:p>
        </w:tc>
      </w:tr>
      <w:tr>
        <w:trPr>
          <w:trHeight w:val="174"/>
        </w:trPr>
        <w:tc>
          <w:tcPr>
            <w:tcW w:w="7000" w:type="dxa"/>
            <w:vAlign w:val="bottom"/>
            <w:gridSpan w:val="4"/>
          </w:tcPr>
          <w:p>
            <w:pPr>
              <w:jc w:val="center"/>
              <w:ind w:right="21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2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(Zip Code)</w:t>
            </w:r>
          </w:p>
        </w:tc>
      </w:tr>
      <w:tr>
        <w:trPr>
          <w:trHeight w:val="258"/>
        </w:trPr>
        <w:tc>
          <w:tcPr>
            <w:tcW w:w="3080" w:type="dxa"/>
            <w:vAlign w:val="bottom"/>
          </w:tcPr>
          <w:p>
            <w:pPr>
              <w:spacing w:after="0"/>
              <w:rPr>
                <w:sz w:val="22"/>
                <w:szCs w:val="22"/>
                <w:color w:val="auto"/>
              </w:rPr>
            </w:pPr>
          </w:p>
        </w:tc>
        <w:tc>
          <w:tcPr>
            <w:tcW w:w="3360" w:type="dxa"/>
            <w:vAlign w:val="bottom"/>
            <w:gridSpan w:val="2"/>
          </w:tcPr>
          <w:p>
            <w:pPr>
              <w:jc w:val="center"/>
              <w:ind w:left="887"/>
              <w:spacing w:after="0"/>
              <w:rPr>
                <w:sz w:val="20"/>
                <w:szCs w:val="20"/>
                <w:color w:val="auto"/>
              </w:rPr>
            </w:pPr>
            <w:r>
              <w:rPr>
                <w:rFonts w:ascii="Arial" w:cs="Arial" w:eastAsia="Arial" w:hAnsi="Arial"/>
                <w:sz w:val="18"/>
                <w:szCs w:val="18"/>
                <w:b w:val="1"/>
                <w:bCs w:val="1"/>
                <w:color w:val="auto"/>
                <w:w w:val="89"/>
              </w:rPr>
              <w:t>(858) 373-1500</w:t>
            </w:r>
          </w:p>
        </w:tc>
        <w:tc>
          <w:tcPr>
            <w:tcW w:w="5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167"/>
        </w:trPr>
        <w:tc>
          <w:tcPr>
            <w:tcW w:w="3080" w:type="dxa"/>
            <w:vAlign w:val="bottom"/>
          </w:tcPr>
          <w:p>
            <w:pPr>
              <w:spacing w:after="0"/>
              <w:rPr>
                <w:sz w:val="14"/>
                <w:szCs w:val="14"/>
                <w:color w:val="auto"/>
              </w:rPr>
            </w:pPr>
          </w:p>
        </w:tc>
        <w:tc>
          <w:tcPr>
            <w:tcW w:w="392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20" w:type="dxa"/>
            <w:vAlign w:val="bottom"/>
          </w:tcPr>
          <w:p>
            <w:pPr>
              <w:spacing w:after="0"/>
              <w:rPr>
                <w:sz w:val="14"/>
                <w:szCs w:val="14"/>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tcPr>
          <w:p>
            <w:pPr>
              <w:spacing w:after="0"/>
              <w:rPr>
                <w:sz w:val="14"/>
                <w:szCs w:val="1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6780" w:type="dxa"/>
            <w:vAlign w:val="bottom"/>
            <w:gridSpan w:val="3"/>
          </w:tcPr>
          <w:p>
            <w:pPr>
              <w:jc w:val="center"/>
              <w:ind w:right="1812"/>
              <w:spacing w:after="0"/>
              <w:rPr>
                <w:sz w:val="20"/>
                <w:szCs w:val="20"/>
                <w:color w:val="auto"/>
              </w:rPr>
            </w:pPr>
            <w:r>
              <w:rPr>
                <w:rFonts w:ascii="Arial" w:cs="Arial" w:eastAsia="Arial" w:hAnsi="Arial"/>
                <w:sz w:val="18"/>
                <w:szCs w:val="18"/>
                <w:color w:val="auto"/>
                <w:w w:val="87"/>
              </w:rPr>
              <w:t>Common Stock, par value $0.001 per share</w:t>
            </w: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75"/>
        </w:trPr>
        <w:tc>
          <w:tcPr>
            <w:tcW w:w="18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84"/>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7"/>
              </w:rPr>
              <w:t>Series A Participating Preferred Stock Purchase Rights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 No [X]</w:t>
            </w: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15(d) of the Act. Yes [  ]</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No</w:t>
            </w:r>
          </w:p>
        </w:tc>
        <w:tc>
          <w:tcPr>
            <w:tcW w:w="720" w:type="dxa"/>
            <w:vAlign w:val="bottom"/>
          </w:tcPr>
          <w:p>
            <w:pPr>
              <w:ind w:left="60"/>
              <w:spacing w:after="0"/>
              <w:rPr>
                <w:sz w:val="20"/>
                <w:szCs w:val="20"/>
                <w:color w:val="auto"/>
              </w:rPr>
            </w:pPr>
            <w:r>
              <w:rPr>
                <w:rFonts w:ascii="Arial" w:cs="Arial" w:eastAsia="Arial" w:hAnsi="Arial"/>
                <w:sz w:val="18"/>
                <w:szCs w:val="18"/>
                <w:color w:val="auto"/>
              </w:rPr>
              <w:t>[X]</w:t>
            </w:r>
          </w:p>
        </w:tc>
      </w:tr>
    </w:tbl>
    <w:p>
      <w:pPr>
        <w:spacing w:after="0" w:line="61"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6" w:lineRule="exact"/>
        <w:rPr>
          <w:sz w:val="24"/>
          <w:szCs w:val="24"/>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 ] No</w:t>
      </w:r>
    </w:p>
    <w:p>
      <w:pPr>
        <w:spacing w:after="0" w:line="46"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240" w:firstLine="45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460"/>
        <w:spacing w:after="0"/>
        <w:tabs>
          <w:tab w:leader="none" w:pos="2340" w:val="left"/>
          <w:tab w:leader="none" w:pos="3980" w:val="left"/>
          <w:tab w:leader="none" w:pos="5920" w:val="left"/>
        </w:tabs>
        <w:rPr>
          <w:sz w:val="20"/>
          <w:szCs w:val="20"/>
          <w:color w:val="auto"/>
        </w:rPr>
      </w:pPr>
      <w:r>
        <w:rPr>
          <w:rFonts w:ascii="Arial" w:cs="Arial" w:eastAsia="Arial" w:hAnsi="Arial"/>
          <w:sz w:val="18"/>
          <w:szCs w:val="18"/>
          <w:color w:val="auto"/>
        </w:rPr>
        <w:t>Large accelerated filer [</w:t>
        <w:tab/>
        <w:t>] Accelerated filer [</w:t>
        <w:tab/>
        <w:t>] Non-accelerated filer [</w:t>
      </w:r>
      <w:r>
        <w:rPr>
          <w:sz w:val="20"/>
          <w:szCs w:val="20"/>
          <w:color w:val="auto"/>
        </w:rPr>
        <w:tab/>
      </w:r>
      <w:r>
        <w:rPr>
          <w:rFonts w:ascii="Arial" w:cs="Arial" w:eastAsia="Arial" w:hAnsi="Arial"/>
          <w:sz w:val="16"/>
          <w:szCs w:val="16"/>
          <w:color w:val="auto"/>
        </w:rPr>
        <w:t>] Smaller reporting company [X]</w:t>
      </w:r>
    </w:p>
    <w:p>
      <w:pPr>
        <w:spacing w:after="0" w:line="77" w:lineRule="exact"/>
        <w:rPr>
          <w:sz w:val="24"/>
          <w:szCs w:val="24"/>
          <w:color w:val="auto"/>
        </w:rPr>
      </w:pPr>
    </w:p>
    <w:p>
      <w:pPr>
        <w:ind w:left="460"/>
        <w:spacing w:after="0"/>
        <w:tabs>
          <w:tab w:leader="none" w:pos="10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 Yes [</w:t>
      </w:r>
      <w:r>
        <w:rPr>
          <w:sz w:val="20"/>
          <w:szCs w:val="20"/>
          <w:color w:val="auto"/>
        </w:rPr>
        <w:tab/>
      </w:r>
      <w:r>
        <w:rPr>
          <w:rFonts w:ascii="Arial" w:cs="Arial" w:eastAsia="Arial" w:hAnsi="Arial"/>
          <w:sz w:val="18"/>
          <w:szCs w:val="18"/>
          <w:color w:val="auto"/>
        </w:rPr>
        <w:t>] No [X]</w:t>
      </w:r>
    </w:p>
    <w:p>
      <w:pPr>
        <w:spacing w:after="0" w:line="77"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approximately $22,014,000 based on the closing price of the registrant’s common stock on the Nasdaq Global Market of $1.63 per share on June 29, 2012.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outstanding shares of the registrant’s common stock, par value $0.001 per share, as of March 27, 2013 was 18,244,502.</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Portions of the registrant’s Proxy Statement to be filed with the Securities and Exchange Commission pursuant to Regulation 14A in connection with the registrant’s 2013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80" w:type="dxa"/>
            <w:vAlign w:val="bottom"/>
            <w:gridSpan w:val="8"/>
          </w:tcPr>
          <w:p>
            <w:pPr>
              <w:jc w:val="center"/>
              <w:ind w:right="4020"/>
              <w:spacing w:after="0"/>
              <w:rPr>
                <w:sz w:val="20"/>
                <w:szCs w:val="20"/>
                <w:color w:val="auto"/>
              </w:rPr>
            </w:pPr>
            <w:r>
              <w:rPr>
                <w:rFonts w:ascii="Arial" w:cs="Arial" w:eastAsia="Arial" w:hAnsi="Arial"/>
                <w:sz w:val="18"/>
                <w:szCs w:val="18"/>
                <w:b w:val="1"/>
                <w:bCs w:val="1"/>
                <w:color w:val="auto"/>
              </w:rPr>
              <w:t>MEDICINOVA, INC.</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w w:val="97"/>
              </w:rPr>
              <w:t>FORM 10-K—ANNUAL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2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88"/>
              </w:rPr>
              <w:t>For the Fiscal Year Ended December 31, 2012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w w:val="86"/>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89"/>
        </w:trPr>
        <w:tc>
          <w:tcPr>
            <w:tcW w:w="12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9720" w:type="dxa"/>
            <w:vAlign w:val="bottom"/>
            <w:gridSpan w:val="20"/>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Risk Factors</w:t>
              </w:r>
            </w:hyperlink>
          </w:p>
        </w:tc>
        <w:tc>
          <w:tcPr>
            <w:tcW w:w="884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Unresolved Staff Comments</w:t>
              </w:r>
            </w:hyperlink>
          </w:p>
        </w:tc>
        <w:tc>
          <w:tcPr>
            <w:tcW w:w="77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72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Properties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9">
              <w:r>
                <w:rPr>
                  <w:rFonts w:ascii="Arial" w:cs="Arial" w:eastAsia="Arial" w:hAnsi="Arial"/>
                  <w:sz w:val="18"/>
                  <w:szCs w:val="18"/>
                  <w:color w:val="0000EE"/>
                  <w:w w:val="85"/>
                </w:rPr>
                <w:t>Legal Proceedings</w:t>
              </w:r>
            </w:hyperlink>
          </w:p>
        </w:tc>
        <w:tc>
          <w:tcPr>
            <w:tcW w:w="842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2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3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Market for Registrant’s Common Equity, Related Stockholder Matters and Issuer Purchases of Equity Securities</w:t>
              </w:r>
            </w:hyperlink>
          </w:p>
        </w:tc>
        <w:tc>
          <w:tcPr>
            <w:tcW w:w="1840" w:type="dxa"/>
            <w:vAlign w:val="bottom"/>
          </w:tcPr>
          <w:p>
            <w:pPr>
              <w:spacing w:after="0"/>
              <w:rPr>
                <w:sz w:val="15"/>
                <w:szCs w:val="15"/>
                <w:color w:val="auto"/>
              </w:rPr>
            </w:pPr>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72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Management’s Discussion and Analysis of Financial Condition and Results of Operations</w:t>
              </w:r>
            </w:hyperlink>
          </w:p>
        </w:tc>
        <w:tc>
          <w:tcPr>
            <w:tcW w:w="34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72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548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720" w:type="dxa"/>
            <w:vAlign w:val="bottom"/>
            <w:gridSpan w:val="2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6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Controls and Procedures</w:t>
              </w:r>
            </w:hyperlink>
          </w:p>
        </w:tc>
        <w:tc>
          <w:tcPr>
            <w:tcW w:w="338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800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3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Directors, Executive Officers and Corporate Governance</w:t>
              </w:r>
            </w:hyperlink>
          </w:p>
        </w:tc>
        <w:tc>
          <w:tcPr>
            <w:tcW w:w="5720" w:type="dxa"/>
            <w:vAlign w:val="bottom"/>
            <w:gridSpan w:val="7"/>
          </w:tcPr>
          <w:p>
            <w:pPr>
              <w:spacing w:after="0"/>
              <w:rPr>
                <w:sz w:val="15"/>
                <w:szCs w:val="15"/>
                <w:color w:val="auto"/>
              </w:rPr>
            </w:pPr>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96">
              <w:r>
                <w:rPr>
                  <w:rFonts w:ascii="Arial" w:cs="Arial" w:eastAsia="Arial" w:hAnsi="Arial"/>
                  <w:sz w:val="18"/>
                  <w:szCs w:val="18"/>
                  <w:color w:val="0000EE"/>
                  <w:w w:val="87"/>
                </w:rPr>
                <w:t>Executive Compensation</w:t>
              </w:r>
            </w:hyperlink>
          </w:p>
        </w:tc>
        <w:tc>
          <w:tcPr>
            <w:tcW w:w="796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Security Ownership of Certain Beneficial Owners and Management and Related Stockholder Matters</w:t>
              </w:r>
            </w:hyperlink>
          </w:p>
        </w:tc>
        <w:tc>
          <w:tcPr>
            <w:tcW w:w="26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Certain Relationships and Related Transactions, and Director Independence</w:t>
              </w:r>
            </w:hyperlink>
          </w:p>
        </w:tc>
        <w:tc>
          <w:tcPr>
            <w:tcW w:w="44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720" w:type="dxa"/>
            <w:vAlign w:val="bottom"/>
            <w:gridSpan w:val="2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Principal Accounting Fees and Services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3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720" w:type="dxa"/>
            <w:vAlign w:val="bottom"/>
            <w:gridSpan w:val="20"/>
          </w:tcPr>
          <w:p>
            <w:pPr>
              <w:spacing w:after="0" w:line="184" w:lineRule="exact"/>
              <w:rPr>
                <w:rFonts w:ascii="Arial" w:cs="Arial" w:eastAsia="Arial" w:hAnsi="Arial"/>
                <w:sz w:val="18"/>
                <w:szCs w:val="18"/>
                <w:color w:val="0000EE"/>
              </w:rPr>
            </w:pPr>
            <w:hyperlink w:anchor="page98">
              <w:r>
                <w:rPr>
                  <w:rFonts w:ascii="Arial" w:cs="Arial" w:eastAsia="Arial" w:hAnsi="Arial"/>
                  <w:sz w:val="18"/>
                  <w:szCs w:val="18"/>
                  <w:color w:val="0000EE"/>
                </w:rPr>
                <w:t>Exhibits, Financial Statement Schedules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This Annual Report on Form 10-K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and maintain relationships with one or more strategic partners and terms of any related transactions; intense competition if any of our product candidates are ever commercialized; our ability to realize the anticipated strategic and financial benefits of our acquisition of Avigen, Inc., or Avigen; the potential impact of uncertainties in the credit and capital markets or a future deterioration of these markets on our investment portfolio; and our ability to raise sufficient capital or debt financing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20" w:firstLine="456"/>
        <w:spacing w:after="0" w:line="278" w:lineRule="auto"/>
        <w:rPr>
          <w:sz w:val="20"/>
          <w:szCs w:val="20"/>
          <w:color w:val="auto"/>
        </w:rPr>
      </w:pPr>
      <w:r>
        <w:rPr>
          <w:rFonts w:ascii="Arial" w:cs="Arial" w:eastAsia="Arial" w:hAnsi="Arial"/>
          <w:sz w:val="16"/>
          <w:szCs w:val="16"/>
          <w:color w:val="auto"/>
        </w:rPr>
        <w:t>We are a development stage biopharmaceutical company focused on developing novel, small molecule therapeutics for the treatment of serious diseases with unmet medical needs with a commercial focus on the U.S. market. We are currently focusing our development activities on MN-166, an ibudilast-based drug candidate for the treatment of neurological disorders, and obtaining additional funding to advance clinical trial development of MN-221, a novel, highly selective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 being developed for the treatment of acute exacerbations of asthma and chronic obstructive pulmonary disease, or COPD.</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completed a Phase 2 clinical trial of MN-166 for the treatment of multiple sclerosis (MS) in 2008. Positive safety and neuroprotective efficacy indicators were observed in that trial and we are seeking collaborations to resume a clinical development program for the treatment of progressive multiple sclerosis. In the area of drug dependence, in 2010, investigators at Columbia University and the New York State Psychiatric Institute completed a double blinded, placebo controlled, Phase 1b/2a opioid withdrawal clinical trial that was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funded by the National Institute on Drug Abuse, or NIDA. Investigators at Columbia and the New York State Psychiatric Institute recently commenced a NIDA funded, double blinded, placebo controlled, Phase 2a clinical trial to determine the effect of MN-166 for the withdrawal treatment of patients addicted to prescription opioids or heroin. This trial is expected to proceed through mid-2014 and, assuming a positive outcome, is expected to be followed by a Phase 2 trial for opioid dependence. Investigators at UCLA recently completed enrollment of a Phase 1b NIDA funded clinical trial of MN-166 in methamphetamine-dependent volunteers. We expect results from the trial to be announced in the second quarter of 2013. In September 2012 we announced approval and funding by NIDA of a Phase 2 clinical trial studying the use of MN-166 for the treatment of methamphetamine addiction. In collaboration with UCLA, this clinical trial will build on the UCLA Phase 1b trial. A Phase 2 investigator sponsored clinical trial of MN-166 in the treatment of chronic medication overuse headache (MOH) pain has been initiated by a headache and pain specialist in Australia and is expected to be completed by mid-2013. We have provided supplies of MN-166 and safety and regulatory support for the drug dependence trials and MOH trial. We intend to complement additional grant supported clinical development with targeted MediciNova support.</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completed a Phase 2 clinical trial of MN-221 for the treatment of acute exacerbations of asthma treated in the emergency room in 2012 and conducted an End-of-Phase 2 meeting with the U.S. Food and Drug Administration, or FDA, in October 2012. We plan to conduct the MN-221 program according to the feedback received from the FDA following the End-of-Phase 2 meeting. In that meeting, the FDA identified the risk/benefit profile of MN-221 as a focal point for further development and advised that a clinical outcome, such as a reduction in hospitalizations, would need to be a pivotal trial primary endpoint. Previously completed Phase 2 studies have evaluated the potential for MN-221 to reduce hospitalizations due to acute exacerbations of asthma. We believe the appropriate clinical development for MN-221 will involve conducting dose regimen and acute exacerbations of asthma trial design optimization studies prior to commencing pivotal trials. Currently, we are working to address the manufacturing requirements before further clinical development is commenced. In the area of COPD exacerbations, we have completed two Phase 1b clinical trials of MN-221. We have determined that any future MN-221 clinical trial development will be partner-dependent from a funding perspective.</w:t>
      </w:r>
    </w:p>
    <w:p>
      <w:pPr>
        <w:spacing w:after="0" w:line="10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Including MN-166 and MN-221 and our other product development programs, we have acquired licenses to eight compounds for the development of ten product candidates which include clinical development for the treatment of acute exacerbations of asthma, MS and other central nervous system (CNS) disorders, bronchial asthma, interstitial cystitis (IC), solid tumor cancers, generalized anxiety disorders/insomnia, preterm labor and urinary incontinence.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goal is to build a sustainable biopharmaceutical business through the successful development of differentiated products for the treatment of serious diseases with unmet medical needs in high-value therapeutic areas. Our focus is on the U.S. market. Key elements of our strategy are as follows:</w:t>
      </w:r>
    </w:p>
    <w:p>
      <w:pPr>
        <w:spacing w:after="0" w:line="72" w:lineRule="exact"/>
        <w:rPr>
          <w:sz w:val="20"/>
          <w:szCs w:val="20"/>
          <w:color w:val="auto"/>
        </w:rPr>
      </w:pPr>
    </w:p>
    <w:p>
      <w:pPr>
        <w:ind w:left="780" w:hanging="326"/>
        <w:spacing w:after="0" w:line="254"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Pursue the development of MN166 for multiple potential indications primarily through non-dilutive financings. </w:t>
      </w:r>
      <w:r>
        <w:rPr>
          <w:rFonts w:ascii="Arial" w:cs="Arial" w:eastAsia="Arial" w:hAnsi="Arial"/>
          <w:sz w:val="18"/>
          <w:szCs w:val="18"/>
          <w:color w:val="auto"/>
        </w:rPr>
        <w:t>We intend to advance our diverse MN-166 (ibudilast) program through a combination of investigator sponsored trials and trials funded through government grants or private and public grants. In addition to providing drug supply and safety regulatory support, we may fund portions of the investigator or consortium sponsored trials. For example, we intend to increase our financial participation in the Phase 2 clinical trial of MN-166 for the treatment of methamphetamine addiction that investigators at UCLA will conduct primarily with funding from NIDA. We intend to enter into additional strategic alliances to support further clinical development of MN-166.</w:t>
      </w:r>
    </w:p>
    <w:p>
      <w:pPr>
        <w:spacing w:after="0" w:line="49" w:lineRule="exact"/>
        <w:rPr>
          <w:rFonts w:ascii="Arial" w:cs="Arial" w:eastAsia="Arial" w:hAnsi="Arial"/>
          <w:sz w:val="18"/>
          <w:szCs w:val="18"/>
          <w:color w:val="auto"/>
        </w:rPr>
      </w:pPr>
    </w:p>
    <w:p>
      <w:pPr>
        <w:ind w:left="780" w:right="60" w:hanging="326"/>
        <w:spacing w:after="0" w:line="370" w:lineRule="auto"/>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Strategically partner with one or more leading pharmaceutical companies to complete late stage product development and successfully commercialize our products. </w:t>
      </w:r>
      <w:r>
        <w:rPr>
          <w:rFonts w:ascii="Arial" w:cs="Arial" w:eastAsia="Arial" w:hAnsi="Arial"/>
          <w:sz w:val="15"/>
          <w:szCs w:val="15"/>
          <w:color w:val="auto"/>
        </w:rPr>
        <w:t>We develop and maintain relationships with pharmaceutical therapeutic area leaders. Upon completion of proof-of-concept Phase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2 clinical trials, we intend to enter into strategic alliances with leading pharmaceutical companies who seek late stage product candidates, such as MN-</w:t>
      </w:r>
    </w:p>
    <w:p>
      <w:pPr>
        <w:spacing w:after="0" w:line="5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221, to support further clinical development and product commercialization.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16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2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U.S. We utilize the existing data in preparing Investigational New Drug Applications, or INDs, or their foreign equivalents, and in designing and implementing additional preclinical or clinical trials to advance the regulatory approval process in the U.S. or abroad.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MN-166 is a novel, first-in-class, non-opioid drug for the treatment of several indications with potentially large addressable patient populations including drug addiction, progressive MS and pain. MN-166 is a relatively potent and selective inhibitor of macrophage migration inhibitory factor (MIF) and phosphodiesterases (PDEs) -4 and -10. It is a first-in-class, orally bioavailable small molecule, glial attenuator that suppresses pro-inflammatory cytokines IL-1ß, TNF-a, and IL-6, and may increase the release of the anti-inflammatory cytokine IL-10 and neuroprotective growth factors (e.g. GDNF). It has additionally been shown to be a toll-like receptor 4 (TLR4) functional antagonist, which property may contribute to its attenuation of neuroinflammation. While considered a New Molecular Entity, or NME, in the U.S. and Europe, ibudilast was first approved in Japan more than 20 years ago for the treatment of cerebrovascular disorders and bronchial asthma. Ibudilast has been prescribed to over three million patients and has an established post-marketing safety profile as reported in nearly 15,000 patients studied at the prescribed doses in Japan.</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our research, we have filed patent applications for multiple uses of MN-166 (ibudilast) for the treatment of neurological conditions, as well as patents on analogs which we believe have the potential to be effective second generation molecules. Some of the patent estate has received allowance in the U.S. and foreign countries.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Opioid withdrawal: </w:t>
      </w:r>
      <w:r>
        <w:rPr>
          <w:rFonts w:ascii="Arial" w:cs="Arial" w:eastAsia="Arial" w:hAnsi="Arial"/>
          <w:sz w:val="16"/>
          <w:szCs w:val="16"/>
          <w:color w:val="auto"/>
        </w:rPr>
        <w:t>According to the Substance Abuse and Mental Health Services Administration’s (SAMHSA) 2011 National Survey on Drug Use and</w:t>
      </w:r>
      <w:r>
        <w:rPr>
          <w:rFonts w:ascii="Arial" w:cs="Arial" w:eastAsia="Arial" w:hAnsi="Arial"/>
          <w:sz w:val="16"/>
          <w:szCs w:val="16"/>
          <w:i w:val="1"/>
          <w:iCs w:val="1"/>
          <w:color w:val="auto"/>
        </w:rPr>
        <w:t xml:space="preserve"> </w:t>
      </w:r>
      <w:r>
        <w:rPr>
          <w:rFonts w:ascii="Arial" w:cs="Arial" w:eastAsia="Arial" w:hAnsi="Arial"/>
          <w:sz w:val="16"/>
          <w:szCs w:val="16"/>
          <w:color w:val="auto"/>
        </w:rPr>
        <w:t>Health, there are approximately 1.4 million people with nonmedical pain reliever dependence and approximately 369,000 people with heroin dependence in the U.S. The economic costs of nonmedical use of prescription opioids in the U.S. was estimated at $53.4 billion in 2006, according to a study published in The Clinical Journal of Pain. Most of the medications currently approved by the FDA for the treatment of opioid dependence are opioid agonists which carry the risk of secondary dependence or abuse and have opioid-related safety risks. Accordingly, there is an unmet need for a safe, effective, non-addictive therapy for the treatment of opioid withdrawal and dependence. In 2010, investigators at Columbia University and New York State Psychiatric Institute completed a Phase 1b/2a double blinded placebo-controlled clinical trial of MN-166 for the treatment of opioid withdrawal and analgesia, or OWA, in which 30 patients were enrolled. The trial was funded by NIDA. Investigators at Columbia University and New York State Psychiatric Institute recently commenced an investigator led double-blinded, placebo-controlled, Phase 2a clinical trial of MN-166 for the treatment of addictions to prescription opioids or heroin in which 24 patients were enrolled. This trial is expected to proceed through mid 2014 and, assuming a positive outcome, is expected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be followed by a Phase 2 trial for opioid dependence. MN-166 and analogs have been shown in preclinical models of opioid (morphine or oxycodone) withdrawal to reduce significantly patient withdrawal symptoms. MN-166 and analogs are differentiated from other drug candidates in clinical trials that may demonstrate similar effects, in that MN-166 and analogs are not narcotics and do not, themselves, provide reward or “reinforcement” in behavioral models of dependence. Thus, while current therapies involve substitution of one opioid for another (e.g. methadone for heroin), MN-166 represents a novel non-opioid approach for the treatment of opioid withdrawal and dependence. Results from the recently-completed OWA trial indicated dose-related attenuation of the opioid withdrawal syndrome relative to the placebo control for the 80mg dose of MN-166, measured using the Subjective Opioid Withdrawal Scale (SOWS). SOWS is a rating scale for measuring the signs and symptoms of opiate withdrawal. SOWS contains 16 symptoms that patients rate for intensity on a scale of 0 (not at all) to 4 (extremely). The trial also observed an enhanced opioid analgesia relative to the placebo control for the 80mg dose of MN-166, measured using the McGill Pain Questionnaire. Other measures of withdrawal (Clinicians Opioid Withdrawal Scale) or analgesia (quantitative time endpoints for cold pressor test) did not demonstrate a dose-related response.</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Methamphetamine addiction: </w:t>
      </w:r>
      <w:r>
        <w:rPr>
          <w:rFonts w:ascii="Arial" w:cs="Arial" w:eastAsia="Arial" w:hAnsi="Arial"/>
          <w:sz w:val="16"/>
          <w:szCs w:val="16"/>
          <w:color w:val="auto"/>
        </w:rPr>
        <w:t>Methamphetamine is a highly addictive stimulant that is closely related to amphetamine. It is long lasting and toxic to</w:t>
      </w:r>
      <w:r>
        <w:rPr>
          <w:rFonts w:ascii="Arial" w:cs="Arial" w:eastAsia="Arial" w:hAnsi="Arial"/>
          <w:sz w:val="16"/>
          <w:szCs w:val="16"/>
          <w:i w:val="1"/>
          <w:iCs w:val="1"/>
          <w:color w:val="auto"/>
        </w:rPr>
        <w:t xml:space="preserve"> </w:t>
      </w:r>
      <w:r>
        <w:rPr>
          <w:rFonts w:ascii="Arial" w:cs="Arial" w:eastAsia="Arial" w:hAnsi="Arial"/>
          <w:sz w:val="16"/>
          <w:szCs w:val="16"/>
          <w:color w:val="auto"/>
        </w:rPr>
        <w:t>dopamine nerve terminals in the central nervous system. It is a white, odorless, bitter-tasting powder taken orally or by snorting or injecting, or a rock “crystal” that is heated and smoked. Methamphetamine increases wakefulness and physical activity, produces rapid heart rate, irregular heartbeat and increased blood pressure and body temperature. Long-term use can lead to memory loss, aggression, psychotic behavior, heart damage, malnutrition and severe dental problems. All users, but particularly those who inject the drug, risk infectious diseases such as HIV/AIDS and hepatitis. According to the Substance Abuse and Mental Health Services Administration’s (SAMHSA) 2011 National Survey on Drug Use and Health, there are approximately 439,000 methamphetamine abusers in the U.S. An independent study conducted by the Rand Corporation estimated the economic burden of methamphetamine use in the U.S. at $23.4 billion in 2005. There are no medications currently approved by the FDA for the treatment of methamphetamine dependence. We, in collaboration with NIDA, have demonstrated MN-166 (ibudilast)’s utility in methamphetamine relapse in animals. As a result of the animal studies, NIDA funded an exploratory Phase 1b methamphetamine interaction clinical trial of MN-166 led by investigators at UCLA. This trial has now completed enrollment with results expected to be publicly released in the second quarter of 2013. In September 2012 we announced approval and funding by NIDA of a Phase 2 clinical trial studying the use of MN-166 for the treatment of methamphetamine addiction. Investigators at UCLA will lead the planned Phase 2 trial with our participation.</w:t>
      </w:r>
    </w:p>
    <w:p>
      <w:pPr>
        <w:spacing w:after="0" w:line="1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recently received Fast Track designation from the FDA for MN-166 (ibudilast) for the treatment of methamphetamine dependence. Fast Track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29" w:lineRule="exact"/>
        <w:rPr>
          <w:sz w:val="20"/>
          <w:szCs w:val="20"/>
          <w:color w:val="auto"/>
        </w:rPr>
      </w:pPr>
    </w:p>
    <w:p>
      <w:pPr>
        <w:ind w:right="700" w:firstLine="456"/>
        <w:spacing w:after="0" w:line="286" w:lineRule="auto"/>
        <w:rPr>
          <w:sz w:val="20"/>
          <w:szCs w:val="20"/>
          <w:color w:val="auto"/>
        </w:rPr>
      </w:pPr>
      <w:r>
        <w:rPr>
          <w:rFonts w:ascii="Arial" w:cs="Arial" w:eastAsia="Arial" w:hAnsi="Arial"/>
          <w:sz w:val="16"/>
          <w:szCs w:val="16"/>
          <w:i w:val="1"/>
          <w:iCs w:val="1"/>
          <w:color w:val="auto"/>
        </w:rPr>
        <w:t xml:space="preserve">Progressive Multiple Sclerosis (MS): </w:t>
      </w:r>
      <w:r>
        <w:rPr>
          <w:rFonts w:ascii="Arial" w:cs="Arial" w:eastAsia="Arial" w:hAnsi="Arial"/>
          <w:sz w:val="16"/>
          <w:szCs w:val="16"/>
          <w:color w:val="auto"/>
        </w:rPr>
        <w:t>MS is an inflammatory disease of the CNS in which the body’s immune system attacks the protective sheath</w:t>
      </w:r>
      <w:r>
        <w:rPr>
          <w:rFonts w:ascii="Arial" w:cs="Arial" w:eastAsia="Arial" w:hAnsi="Arial"/>
          <w:sz w:val="16"/>
          <w:szCs w:val="16"/>
          <w:i w:val="1"/>
          <w:iCs w:val="1"/>
          <w:color w:val="auto"/>
        </w:rPr>
        <w:t xml:space="preserve"> </w:t>
      </w:r>
      <w:r>
        <w:rPr>
          <w:rFonts w:ascii="Arial" w:cs="Arial" w:eastAsia="Arial" w:hAnsi="Arial"/>
          <w:sz w:val="16"/>
          <w:szCs w:val="16"/>
          <w:color w:val="auto"/>
        </w:rPr>
        <w:t>surrounding nerve fibers. According to the National Multiple Sclerosis Society, MS affects approximately 400,000 people in the U.S. and approximately</w:t>
      </w:r>
    </w:p>
    <w:p>
      <w:pPr>
        <w:ind w:right="120"/>
        <w:spacing w:after="0" w:line="290" w:lineRule="auto"/>
        <w:rPr>
          <w:sz w:val="20"/>
          <w:szCs w:val="20"/>
          <w:color w:val="auto"/>
        </w:rPr>
      </w:pPr>
      <w:r>
        <w:rPr>
          <w:rFonts w:ascii="Arial" w:cs="Arial" w:eastAsia="Arial" w:hAnsi="Arial"/>
          <w:sz w:val="16"/>
          <w:szCs w:val="16"/>
          <w:color w:val="auto"/>
        </w:rPr>
        <w:t>2.5 million people worldwide. The most obvious effect of MS is its destruction of nerve fibers leading to the loss of muscle control. However, MS also affects multiple CNS functions. Currently, there is no known cure for the disease. According to the National Multiple Sclerosis Society, relapsing-remitting MS, or RRMS, is the most common type of the disease, and 85 percent of people with MS are initially diagnosed with RRMS. A majority of RRMS patients progress to secondary progressive MS (SPMS). The most severe type of MS, primary progressive MS (PPMS), represents about 10% of all MS. According to sales data included in most recent annual reports of leading MS drug companies, including Biogen Idec Inc., Merck Serono S.A., Reva Pharmaceutical Industries Ltd., Bayer AG, Novartis AG and Sanofi, worldwide sales of drugs to treat MS exceeded $13.9 billion in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Based on its anti-inflammatory activity and safety profile, MN-166 was evaluated for potential activity in MS in two pilot clinical trials sponsored by academic investigators in Japan. In the first pilot trial, the average relapse rate was reduced, there was no significant change in the mean Expanded Disability Status Score, or EDSS, a measure of MS drug efficacy and disease progression, and no side effects of MN-166 were reported. In a second pilot trial, MN-166 tended to normalize the levels of several chemical mediators of inflammation, including TNF-a and interferon gamma.</w:t>
      </w:r>
    </w:p>
    <w:p>
      <w:pPr>
        <w:spacing w:after="0" w:line="9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completed a two-year Phase 2 multi-center, randomized, double-blind, placebo-controlled clinical trial of MN-166 for the treatment of patients with relapsing MS in April 2008. This clinical trial involved 297 patients with relapsing MS in several countries in Eastern Europe. Patients received either 30 mg of MN-166 per day, 60 mg of MN-166 per day or a placebo. In the second year of the study, all patients received active drugs. Patients who received 30 or 60 mg of MN-166 per day during the first year of the study remained on the assigned dose for the second 12 months of the study; patients who received placebo during the first 12 months of the study were randomized to receive either 30 or 60 mg of MN-166 per day (double-blind maintained) during the second 12 months of the study. Clinical and radiological outcomes were evaluated. MN-166 treatment resulted in positive findings on three independent measures indicative of a potential disease-progression modifying effect. First, sustained disability progression was significantly less likely (by approximately 50 percent) in those patients receiving MN-166 at either 30 or 60 mg per day for 24 months than in those patients receiving the drug for 12 months (p=0.026). Sustained disability progression was measured as a greater than or equal to 1.0 point increase from baseline in the EDSS score for four consecutive months. Second, the significant reduction in brain volume loss (p=0.035), as measured by cranial MRI scans, observed after 12 months in patients treated with 60 mg per day of MN-166 compared to placebo was again demonstrated in year two of the study. Brain volume loss was significantly less (p=0.030) in patients receiving 60 mg per day of MN-166 for 24 months compared to the other treatment groups. Third, MN-166 treatment at 60 mg per day significantly reduced the relative risk for conversion of new inflammatory lesions identified at month two to PBHs eight months later at month ten by 37 percent (p=0.011); such lesions that remain unchanged for eight months are considered PBHs as compared to transient inflammatory lesions that are more closely associated with relapses. MN-166 treatment at 30 mg per day resulted in a trend toward reducing evolution to PBH (p=0.074). MN-166 was well tolerated at all doses over the two years of this clinical trial, with the most common adverse events possibly related to MN-166 involving mild, transient gastrointestinal disturbances and depression. Of the 297 patients enrolled in this clinical trial, 245 patients completed the full two years of treatment. In September 2008, data from this completed two-year clinical trial was presented at the World Congress for Treatment and Research in MS.</w:t>
      </w:r>
    </w:p>
    <w:p>
      <w:pPr>
        <w:spacing w:after="0" w:line="1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on some of our prior Phase 2 trial outcomes and opinions provided by multiple sclerosis experts and advisors, MN-166 may be well positioned as a therapy for progressive MS. It is our intent to advance MN-166 into a Phase 2 proof-of-concept trial for the treatment of progressive MS and to fund that development via strategic collaborations or other means of raising additional capital. There can be no assurance that we will be able to successfully secure such strategic collaborations or fundraising activities.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Neuropathic pain: </w:t>
      </w:r>
      <w:r>
        <w:rPr>
          <w:rFonts w:ascii="Arial" w:cs="Arial" w:eastAsia="Arial" w:hAnsi="Arial"/>
          <w:sz w:val="16"/>
          <w:szCs w:val="16"/>
          <w:color w:val="auto"/>
        </w:rPr>
        <w:t>Neuropathic pain is a complex chronic pain in which the nerve fibers are damaged or dysfunctional. Although precise estimates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prevalence of neuropathic pain are not available, there are approximately 3 million people with painful diabetic neuropathy in the U.S., according to a study published in the Clinical Journal of Pain. Effective treatment of chronic neuropathic pain remains an unmet and serious need. Until recently, conceptualization of neuropathic pain had been neuronically-based with most drugs approved or in development being related to neuronal targets. This approach has been revised significantly in light of recognition of the profound role glial activation has in creating and sustaining enhanced pain states. Accordingly, a pharmacotherapy that is orally administered daily and directed at attenuating glial activation may offer pain relief as a stand-alone medication or as an additive to existing drug therapies and would have significant utility. MN0166 (ibudilast) is a chronic pain drug candidate that may meet all of these criteria. Microphage migration inhibitory factor (MIF) activity and glial activation in the brain and spinal cord contribute to the establishment and amplification of the chronic pain state. MN-166 (Ibudilast) has demonstrated activity in preclinical models of neuropathic pain and may be effective in a wide range of neuropathic pain syndromes including neuropathy,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post-herpetic neuralgia, HIV neuropathy, radiculopathy, spinal cord injury and chemotherapy-induced neuropathy. While ibudilast was initially developed as a non-selective phosphodiesterase (PDE) inhibitor for the treatment of bronchial asthma, its efficacy in some neuropathic pain models appears to be independent of this activity and yet still linked to glial attenuation. Ibudilast has advanced through multiple Phase 1 and 2a clinical trials in both healthy volunteers and patients for neuropathic pain, inclusive of a Phase 1b/2a clinical trial in diabetic neuropathic pain. The program, under current FDA standards, is able to enter Phase 2 development for neuropathic pain in the U.S. based on our completed preclinical and clinical development. A Phase 2 investigator sponsored, double-blind, placebo-controlled clinical trial of MN-166 in the treatment of chronic medication overuse headache (MOH) pain in which 40 patients are enrolled has been initiated by a headache and pain specialist in Australia and is expected to be completed by mid-2013.</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(bedoradrine)</w:t>
      </w:r>
    </w:p>
    <w:p>
      <w:pPr>
        <w:spacing w:after="0" w:line="95" w:lineRule="exact"/>
        <w:rPr>
          <w:sz w:val="20"/>
          <w:szCs w:val="20"/>
          <w:color w:val="auto"/>
        </w:rPr>
      </w:pPr>
    </w:p>
    <w:p>
      <w:pPr>
        <w:ind w:firstLine="456"/>
        <w:spacing w:after="0" w:line="262" w:lineRule="auto"/>
        <w:rPr>
          <w:sz w:val="20"/>
          <w:szCs w:val="20"/>
          <w:color w:val="auto"/>
        </w:rPr>
      </w:pPr>
      <w:r>
        <w:rPr>
          <w:rFonts w:ascii="Arial" w:cs="Arial" w:eastAsia="Arial" w:hAnsi="Arial"/>
          <w:sz w:val="16"/>
          <w:szCs w:val="16"/>
          <w:color w:val="auto"/>
        </w:rPr>
        <w:t>MN-221 is a novel, highly selective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 being developed for the treatment of acute exacerbations of asthma and COPD. We licensed MN-221 from Kissei Pharmaceutical Co., Ltd., or Kissei, in February 2004. Preclinical studies conducted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showed MN-221 to be highly selective for the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In these studies, the ß</w:t>
      </w:r>
      <w:r>
        <w:rPr>
          <w:rFonts w:ascii="Arial" w:cs="Arial" w:eastAsia="Arial" w:hAnsi="Arial"/>
          <w:sz w:val="20"/>
          <w:szCs w:val="20"/>
          <w:color w:val="auto"/>
          <w:vertAlign w:val="subscript"/>
        </w:rPr>
        <w:t>1</w:t>
      </w:r>
      <w:r>
        <w:rPr>
          <w:rFonts w:ascii="Arial" w:cs="Arial" w:eastAsia="Arial" w:hAnsi="Arial"/>
          <w:sz w:val="16"/>
          <w:szCs w:val="16"/>
          <w:color w:val="auto"/>
        </w:rPr>
        <w:t xml:space="preserve"> -adrenergic receptor stimulating activity of MN-221 was less than that of other ß </w:t>
      </w:r>
      <w:r>
        <w:rPr>
          <w:rFonts w:ascii="Arial" w:cs="Arial" w:eastAsia="Arial" w:hAnsi="Arial"/>
          <w:sz w:val="20"/>
          <w:szCs w:val="20"/>
          <w:color w:val="auto"/>
          <w:vertAlign w:val="subscript"/>
        </w:rPr>
        <w:t>2</w:t>
      </w:r>
      <w:r>
        <w:rPr>
          <w:rFonts w:ascii="Arial" w:cs="Arial" w:eastAsia="Arial" w:hAnsi="Arial"/>
          <w:sz w:val="16"/>
          <w:szCs w:val="16"/>
          <w:color w:val="auto"/>
        </w:rPr>
        <w:t xml:space="preserve">-adrenergic receptor agonists in isolated rat atrium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function tests in rats, dogs and sheep, thereby suggesting that the stimulating action of older, less selective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agonists on the heart via ß</w:t>
      </w:r>
      <w:r>
        <w:rPr>
          <w:rFonts w:ascii="Arial" w:cs="Arial" w:eastAsia="Arial" w:hAnsi="Arial"/>
          <w:sz w:val="20"/>
          <w:szCs w:val="20"/>
          <w:color w:val="auto"/>
          <w:vertAlign w:val="subscript"/>
        </w:rPr>
        <w:t>1</w:t>
      </w:r>
      <w:r>
        <w:rPr>
          <w:rFonts w:ascii="Arial" w:cs="Arial" w:eastAsia="Arial" w:hAnsi="Arial"/>
          <w:sz w:val="16"/>
          <w:szCs w:val="16"/>
          <w:color w:val="auto"/>
        </w:rPr>
        <w:t xml:space="preserve"> -adrenergic receptors may be reduced with MN-221. </w:t>
      </w:r>
      <w:r>
        <w:rPr>
          <w:rFonts w:ascii="Arial" w:cs="Arial" w:eastAsia="Arial" w:hAnsi="Arial"/>
          <w:sz w:val="16"/>
          <w:szCs w:val="16"/>
          <w:i w:val="1"/>
          <w:iCs w:val="1"/>
          <w:color w:val="auto"/>
        </w:rPr>
        <w:t>Some in vitro</w:t>
      </w:r>
      <w:r>
        <w:rPr>
          <w:rFonts w:ascii="Arial" w:cs="Arial" w:eastAsia="Arial" w:hAnsi="Arial"/>
          <w:sz w:val="16"/>
          <w:szCs w:val="16"/>
          <w:color w:val="auto"/>
        </w:rPr>
        <w:t xml:space="preserve"> studies also suggested that MN-221 may act as only a partial ß</w:t>
      </w:r>
      <w:r>
        <w:rPr>
          <w:rFonts w:ascii="Arial" w:cs="Arial" w:eastAsia="Arial" w:hAnsi="Arial"/>
          <w:sz w:val="20"/>
          <w:szCs w:val="20"/>
          <w:color w:val="auto"/>
          <w:vertAlign w:val="subscript"/>
        </w:rPr>
        <w:t>1</w:t>
      </w:r>
      <w:r>
        <w:rPr>
          <w:rFonts w:ascii="Arial" w:cs="Arial" w:eastAsia="Arial" w:hAnsi="Arial"/>
          <w:sz w:val="16"/>
          <w:szCs w:val="16"/>
          <w:color w:val="auto"/>
        </w:rPr>
        <w:t xml:space="preserve"> -adrenergic receptor agonist in cardiac tissue, while acting as a full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in lung tissue. In addition, a preclinical drug interaction study in dogs completed during 2008 demonstrated that, while each of albuterol and MN-221 induced an increase in heart rate independently, the addition of MN-221 by intravenous administration in combination with inhaled albuterol did not add to the heart rate increase associated with inhaled albuterol alone. We believe that this improved receptor binding and functional selectivity provides good pharmacological specificity and may result in fewer cardiovascular side effects than are commonly observed with 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agonists used to treat this condition. We have developed and studied an intravenous formulation of MN-221 appropriate for hospital use.</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Acute Exacerbations of Asthma:</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 acute exacerbation of asthma is an acute asthma symptom episode such as shortness of breath, wheezing and chest tightness due to constricted airways. Severe acute exacerbation of asthma is an emergency situation that can lead to emergency department treatment and, in some cases, hospital admission or, more rarely, death. Inhaled short acting beta-agonist agents are the mainstays of acute treatment for these types of asthma attacks and are included in the recommended standard of care according to the National Asthma Education and Prevention Program guidelines from the U.S. Department of Health and Human Services, or DHSS, for patients suffering from acute exacerbations of asthma.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Data from the National Center for Health Statistics show that in the U.S., annual visits to emergency departments for asthma are approximately</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1.75 million, and there were approximately 456,000 hospitalizations and approximately 3,447 deaths due to asthma in 2007. According to the National Heart, Lung and Blood Institute, the direct costs associated with hospital care due to asthma were estimated at $5.5 billion in the U.S. in 2010. Despite significant improvement in the long-term control treatment for asthma, we believe that the number of patients presenting to emergency departments with asthma exacerbations who do not respond to initial standard of care for asthma exacerbations and who may be admitted to the hospital for further care are very similar to these prior figures. Accordingly, we believe that there remains an unmet medical need for a safe and effective treatment for acute exacerbations of asthma that could prevent some of these hospitalizations.</w:t>
      </w:r>
    </w:p>
    <w:p>
      <w:pPr>
        <w:spacing w:after="0" w:line="135"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In March 2012 we completed enrollment of a randomized, double-blind, placebo-controlled Phase 2 clinical trial designed to evaluate the safety and efficacy of MN-221 in patients with acute exacerbations of asthma treated in the emergency room, which involved 176 patients. The trial was designed to compare standardized care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standardized care plus MN-221 at a dose of 1,200 micrograms administered intravenously over one hour. Once a patient received the initial standardized care treatment regimen, the patient was assessed for response to that treatment. If the patient’s FEV1 (Forced Expiratory Volume in One Second) was less than or equal to 50 percent of predicted and the patient met all other study entry criteria, the patient was randomized to receive either MN-221 or placebo. MN-221 did not statistically meet the primary endpoint in the trial, which was improvement in FEV1 (compared to placebo). MN-221, however, showed a significant benefit over placebo for FEV1 (liters), Area Under the Curve (AUC Hour 0-1, 0-2, 0-3) of change from baseline (p=0.043, p=0.050, p=0.066 respectively). The trial also demonstrated a reduction in hospital admissions with MN-221 added to standard drug treatments. There was also significant improvement in clinical symptoms with MN-221 treated patients and the safety profile of MN-221 continues to be positive as no safety/tolerability issues of clinical significance were observed. Patients enrolled in the clinical trial continued to receive standardized care as needed. In October 2012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In the area of COPD exacerbations, we have completed two Phase 1b clinical trials. We have determined that any future MN-221 clinical trial development will be partner-dependent from a funding perspective.</w:t>
      </w:r>
    </w:p>
    <w:p>
      <w:pPr>
        <w:spacing w:after="0" w:line="11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We completed a randomized, double-blind, placebo-controlled, dose escalation, multi-center Phase 2 clinical trial of MN-221 in 23 stable mild-to-moderate asthmatics in August 2007. At each dose level in the escalation, patients were randomized to receive either a 15-minute intravenous infusion of MN-221 or placebo. This clinical trial achieved statistical significance in its primary endpoint of mean change in FEV1 from baseline to measurement at 15 minutes (the end of the infusion) at doses of 10, 16, 30 and 60 micrograms per minute of MN-221 (p-value less than or equal to 0.0006) compared to placebo. MN-221 produced a significant linear, dose-related increase in mean change in post-infusion FEV1 from baseline (p-value less than or equal to 0.0001) following a 15-minute intravenous infusion of MN-221. Significant improvements in mean change in post-infusion (15 minute) FEV1 from baseline were observed at doses of 10, 16, 30 and 60 micrograms per minute (p-value less than or equal to 0.0006) and at the dose of 3.5 micrograms per minute (p-value=0.0106) compared to placebo. In the protocol correct population for this clinical trial, which consisted of 21 patients, the dose-related increases in FEV1 were maintained for four hours (p-value =</w:t>
      </w:r>
    </w:p>
    <w:p>
      <w:pPr>
        <w:spacing w:after="0" w:line="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0.0393) and at eight hours (p-value = 0.0424) following the 15-minute infusion of MN-221. MN-221 was well tolerated in this Phase 2 clinical trial, with only the expected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pharmacology noted in some patients (</w:t>
      </w:r>
      <w:r>
        <w:rPr>
          <w:rFonts w:ascii="Arial" w:cs="Arial" w:eastAsia="Arial" w:hAnsi="Arial"/>
          <w:sz w:val="18"/>
          <w:szCs w:val="18"/>
          <w:i w:val="1"/>
          <w:iCs w:val="1"/>
          <w:color w:val="auto"/>
        </w:rPr>
        <w:t>e.g.</w:t>
      </w:r>
      <w:r>
        <w:rPr>
          <w:rFonts w:ascii="Arial" w:cs="Arial" w:eastAsia="Arial" w:hAnsi="Arial"/>
          <w:sz w:val="18"/>
          <w:szCs w:val="18"/>
          <w:color w:val="auto"/>
        </w:rPr>
        <w:t>, fall in serum potassium, elevation in plasma glucose, mild headache and mild tremors). There were no clinically significant cardiovascular, electrocardiogram, or ECG, or vital sign changes observed at any dose tested. In addition, no serious adverse effects were observed in this clinical trial.</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completed a randomized, open-label, placebo-controlled Phase 2a clinical trial to evaluate the safety and efficacy of MN-221 in patients with moderate to severe, but stable asthma, which involved 17 patients in two dose cohorts, in September 2008. In one dosing cohort, each patient received MN-221 at a dose of 1,125 micrograms or placebo over one hour by a continuous intravenous infusion. In the other dosing cohort, each patient received MN-221 at a dose of 1,080 micrograms or placebo over two hours by a continuous intravenous infusion. Both infusion rates of MN-221 produced a marked and clinically significant improvement in FEV1. FEV1 results were expressed as “percent predicted” based on standard reference equations accounting for an individual’s race, gender, age and height. At the end of the one-hour infusion, FEV1 increased by 17.5 percent predicted for MN-221 compared to an increase of three percent predicted for placebo. At the end of the two-hour infusion, FEV1 increased by an average of 12.1 percent predicted for MN-221 compared to an increase of 1.4 percent predicted for placebo. In accordance with the study protocol, no inferential statistical testing was performed. MN-221 was well tolerated by the patients who received either infusion rate of MN-221. There were no clinically significant safety concerns noted among adverse events, ECG data, vital sign data or laboratory assessments collected throughout this clinical trial.</w:t>
      </w:r>
    </w:p>
    <w:p>
      <w:pPr>
        <w:spacing w:after="0" w:line="10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completed a randomized, modified single-blind, placebo-controlled, dose escalation Phase 2 clinical trial to evaluate MN-221 in patients with severe, acute exacerbations of asthma in emergency departments,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included 29 patients (13 treated with standard care only and 16 treated with MN-221 plus standard care) at planned escalating doses of 240 to 1,080 micrograms, in April 2009. All patients received standardized care consisting of inhaled albuterol, ipratropium and oral steroid treatment. No safety concerns with adding MN-221 to standardized care were identified following review of ECG laboratory and adverse experience data. The hospitalization rate among patients treated with standardized care only was 46 percent (six of 13), which was the anticipated rate, compared to a hospitalization rate of 25 percent (four of 16) among patients receiving MN-221 plus standardized care. Improvement in FEV1 values generally appeared to be greater for patients receiving MN-221 in addition to standardized treatment. As specified in the protocol for this clinical trial, no inferential statistics (</w:t>
      </w:r>
      <w:r>
        <w:rPr>
          <w:rFonts w:ascii="Arial" w:cs="Arial" w:eastAsia="Arial" w:hAnsi="Arial"/>
          <w:sz w:val="16"/>
          <w:szCs w:val="16"/>
          <w:i w:val="1"/>
          <w:iCs w:val="1"/>
          <w:color w:val="auto"/>
        </w:rPr>
        <w:t>e.g.</w:t>
      </w:r>
      <w:r>
        <w:rPr>
          <w:rFonts w:ascii="Arial" w:cs="Arial" w:eastAsia="Arial" w:hAnsi="Arial"/>
          <w:sz w:val="16"/>
          <w:szCs w:val="16"/>
          <w:color w:val="auto"/>
        </w:rPr>
        <w:t>, p-values) were calculated for this study.</w:t>
      </w:r>
    </w:p>
    <w:p>
      <w:pPr>
        <w:spacing w:after="0" w:line="107"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 sublicense will be required under which Zhejiang Sunmy will license MN-221 from us.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Obstructive Pulmonary Disease Exacerbations: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COPD exacerbation is a sustained worsening of the patient’s condition that is acute in onset and necessitates a change in regular medication in a patient with underlying COPD. Exacerbations are associated with a significant increase in mortality, hospitalization and healthcare utilization. The number of deaths due to COPD in the U.S. has more than doubled since 1980 to more than 124,000, according to a 2011 report on COPD from the American Lung Association, which used data from the Centers for Disease Control and Prevention. In 2010, according to the American Lung Association, the direct health care costs for COPD were $29.5 billion and indirect costs were $20.4 billion in the U.S. We believe there remains an unmet medical need for a safe and effective treatment for COPD exacerbations that could relieve bronchospasm and prevent some of these hospitalizations.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2009 we announced our plan to evaluate MN-221 for the treatment of COPD exacerbations. Inhaled ß2-adrenergic receptor agonists, which are the current standard of care, are often inadequate to control the symptoms of COPD exacerbations. We believe that MN-221 may offer an immediate intravenous delivery for this life-threatening condition for patients who cannot get the full benefit from treatment with inhaled ß2-adrenergic receptor agonists due to severe bronchoconstriction. In addition, we believe that MN-221 may offer the potential for fewer cardiovascular side effects than older ß2-adrenergic receptor agonists due to its greater selectivity for the ß2-adrenergic receptor. This could be very significant due to the relative older age population seen in COPD patients who tend to have more underlying heart disease. On October 13, 2011, we entered into an agreement with Kissei to expand research and development services pertaining to the use of MN-221, including MN-221 for the treatment of COPD exacerbations.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completed a randomized, double-blind, placebo-controlled Phase 1b study involving 48 moderate-to-severe COPD patients who received a one hour intravenous infusion of MN-221 at three different escalating dose levels (300 micrograms, 600 micrograms, or 1200 micrograms) or placebo in the first quarter of 2010. In March 2010, based on preliminary findings, we announced that all doses of MN-221 produced a clinically significant improvement in FEV1 (L) as compared to the baseline and placebo. At the end of the one hour infusion, FEV1(L) increased as compared to baseline by an average of 21.5 percent (p=0.0025) for the 1200 micrograms dose, 16.2 percent (p=0.020) for the 600 micrograms dose, and 9.2 percent (p=NS) for the 300 micrograms dose compared to a decrease of 4.0 percent for the placebo. MN-221 at doses of 600 micrograms and 1200 micrograms appeared to have an effect for at least six hours as compared to placebo. MN-221 was well tolerated by all patients who received infusions of MN-221.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August 2012 we completed a Phase 1b/2a clinical trial of MN-221 for the treatment of moderate to severe COPD patients. A total of 25 subjects were randomized to placebo (5 subjects) or MN-221 (20 subjects) treatment groups; with similar enrollment at each of two clinical research units. The patient group included those who had concomitant illnesses and were using other medications that are typical in this disease population. In addition, we tested the safety, tolerability, pharmacokinetics, and preliminary efficacy of repeat-administration placebo or MN-221 (1,200 micrograms) over a few days of residence in a clinical trial unit, and we assessed the correlation and potential future clinical trial utility of certain respiratory function test devices. Efficacy results indicated moderately improved pulmonary function (FEV1) in the MN-221 recipients but not the placebo recipients. Moreover, the improvement of FEV1 on subsequent MN-221 dosing days was as good as or better than treatment on day one. Our comparison of the simple hand-held FEV1 monitor with the spirometer machine used in our other clinical trials of MN-221 indicated good correlation and pharmacokinetic analyses indicated no significant accumulation of plasma MN-221 over the multiple dosing intervals.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product development programs consist of the following:</w:t>
      </w:r>
    </w:p>
    <w:p>
      <w:pPr>
        <w:spacing w:after="0" w:line="158" w:lineRule="exact"/>
        <w:rPr>
          <w:sz w:val="20"/>
          <w:szCs w:val="20"/>
          <w:color w:val="auto"/>
        </w:rPr>
      </w:pPr>
    </w:p>
    <w:p>
      <w:pPr>
        <w:ind w:left="780" w:right="30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1 clinical trial in the fourth quarter of 2007;</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MN-305 for which we completed a Phase 2 clinical trial for the treatment of generalized anxiety disorder in the second quarter of 2006 and a Phase 2 clinical trial for the treatment of insomnia in the fourth quarter of 2007;</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37"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currently have no marketing and sales capabilities and we expect to rely on a strategic partner to complete late stage product development and commercialize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rely on third parties to manufacture bulk active pharmaceutical ingredients, or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9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For the MN-166 (ibudilast) development program, we have sourced and imported delayed-release ibudilast capsules, marketed in Japan as Pinatos</w:t>
      </w:r>
      <w:r>
        <w:rPr>
          <w:rFonts w:ascii="Arial" w:cs="Arial" w:eastAsia="Arial" w:hAnsi="Arial"/>
          <w:sz w:val="10"/>
          <w:szCs w:val="10"/>
          <w:color w:val="auto"/>
        </w:rPr>
        <w:t>R</w:t>
      </w:r>
      <w:r>
        <w:rPr>
          <w:rFonts w:ascii="Arial" w:cs="Arial" w:eastAsia="Arial" w:hAnsi="Arial"/>
          <w:sz w:val="16"/>
          <w:szCs w:val="16"/>
          <w:color w:val="auto"/>
        </w:rPr>
        <w:t>, from Taisho-Teva Pharmaceuticals (Taisho). We are currently working with Taisho on further formulation development to address our future clinical trial needs.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the terms of our license agreement with Kissei for MN-221, Kissei has the exclusive right to manufacture the commercial supply of the API for MN-221. If we enter into a supply agreement with Kissei, we will purchase from Kissei all API that we require for the commercial supply of MN-221, if such product candidate is approved for commercial sale by the FDA or other regulatory authorities. In September 2011, we entered into a letter agreement with Kissei pursuant to which, among other provisions, we agreed upon a new price for clinical supplies of API.</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2009, we entered into an agreement with Hospira Worldwide, Inc., or Hospira, for the completion of pre-commercialization manufacturing development activities and the manufacture of commercial supplies of finished product for MN-221 utilizing Hospira’s proprietary ADD-Vantage drug delivery system, if such product candidate is approved for commercial sale by the FDA or other regulatory authorities. Pursuant to the terms of the agreement with Hospira, Hospira will receive development fees from us upon completion of specified development activities, which we will expense as the costs are incurred. We are also obligated under the agreement to purchase a minimum number of units each year following regulatory approval, which number will be based on our forecasts submitted to Hospira on a rolling basis. In addition to the agreement with Hospira, we anticipate entering into a commercial supply agreement with a contract manufacturer for finished product of MN-221 in standard vials. However, at present, we do not have an established agreement regarding the commercial supply of MN-221 in standard vials or for the API or finished product of any of our product candidates.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6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Since our inception in September 2000, we have entered into eight license agreements with pharmaceutical companies which cover our current product candidates. We have also entered into license agreements with universities, including the University of Colorado and the University of Adelaide, which cover additional intellectual property related to our product candidates. In general, we seek to procure patent protection for our anticipated products, or obtain such protection from the relevant patents owned by our licensors. To date, we have obtained licensed rights under 14 issued U.S. patents. We also have obtained licensed rights to 93 issued and pending foreign patents and applications corresponding to these U.S. patents and patent applications. In addition to these licensed rights, we hold 15 issued U.S. patents and have filed 17 additional U.S. patent applications. We also hold 151 issued and pending foreign patents and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October 22, 2004, we entered into an exclusive license agreement with Kyorin Pharmaceutical for the development and commercialization of MN-166. Kyorin Pharmaceutical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MN-166 is not covered by a composition of matter patent. The U.S. method of use patent for MN-166 in MS underlying the license is set to expire on August 10, 2018. Corresponding method of use patents in certain foreign countries are set to expire on August 10, 2018. Under the terms of the agreement, we granted to Kyorin Pharmaceutical an exclusive, royalty-free, sub-licensable license to use the preclinical, clinical and regulatory databases to develop ophthalmic products incorporating the MN-166 compound anywhere in the world and non-ophthalmic products incorporating the MN-166 compound outside of our territory.</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Pharmaceutical or, in the event that a third party claims that MN-166 infringes upon such third party’s intellectual property rights, with 30 days’ written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$700,000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own, co-own or hold licenses to seven issued U.S. patents and ten pending U.S. patent applications as well as corresponding pending foreign patent applications covering MN-166 (ibudilast) and its analogs. These patents and patent applications are primarily related to our development portfolio of small molecule-based products and are currently directed to methods of treating various indications using ibudilast and its analogs.</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been granted a U.S. patent which covers the use of MN-166 (ibudilast) for the treatment of progressive forms of MS. The patent, which was granted in March 2012, will expire no earlier than November 2029, which does not include a potential extension under patent term restoration rules, and covers a method of treating primary progressive multiple sclerosis (PPMS) or secondary progressive MS (SPMS) by administering ibudilast either alone or in combination with other drugs. Counterparts of this patent application have been granted in certain foreign jurisdictions. We have been granted a patent which covers the use of MN-166 (ibudilast) for the treatment of neuropathic pain in the U.S. and it expires no earlier than December 2025. Counterparts of this patent application have been granted in certain foreign jurisdictions. We have been granted a patent which covers the use of MN-166 (ibudilast) for the treatment of drug addiction or drug dependence or withdrawal syndrome in the U.S. and it expires no earlier than January 2030. We received a Notice of Allowance for a pending patent application, based on this U.S. patent in drug addiction, from the European Patent Office (EPO) and a patent maturing from this application is expected to expire no earlier than September 2026. We received a Notice of Allowance for a pending patent application that covers the use of MN-166 (ibudilast) to enhance opioid analgesia in acute pain settings from the European Patent Office (EPO) and a patent maturing from this application is expected to expire no earlier than January 2028. A similar patent application to this allowed European patent is pending in the U.S.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February 25, 2004, we entered into an exclusive license agreement with Kissei for the development and commercialization of MN-221. Kissei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certain corresponding patents and patent applications in foreign countries and is sub-licensable upon receipt of the written consent of Kissei. The U.S. patent for MN-221 has composition of matter and method of use claims. The U.S. composition of matter patent underlying the license issued on October 17, 2000 and is set to expire no earlier than February 18, 2017. Corresponding composition of matter patents in various other countries are set to expire no earlier than February 18, 2017.</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licensed patents, we have filed patent applications in the U.S. and certain foreign countries regarding additional uses and formulations of MN-221. We have received a Notice of Allowance from the U.S. Patent and Trademark Office for a pending patent application, which covers the use of MN-221 for the treatment of acute exacerbations of asthma. The MN-221 patent maturing from this allowed patent application is expected to expire no earlier than November 2030 and includes claims covering the use of MN-221 (bedoradrine)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combination with a standard of care (SOC) treatment regimen. The allowed claims include specific coverage for different routes of administration, including intravenous, oral and inhalation. Counterparts of this patent application are pending in certain foreign jurisdictions.</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license agreement, we have paid Kissei $1.0 million to date, and are obligated to make payments of up to $17.0 million based on the achievement of certain clinical and regulatory milestones. We are also obligated to pay a royalty on net sales of the licensed products. Under the terms of the letter agreement we entered into with Kissei in September 2011, we agree to renegotiate in good faith with Kissei the existing levels of the milestone payment amounts and royalty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14, 2002, we entered into an exclusive license agreement with Kyorin Pharmaceutical for the development and commercialization of MN-001. We obtained an exclusive, worldwide (excluding Japan, China, South Korea and Taiwan) sub-licensable license to the patent rights and know-how related to MN-001 and its active metabolite, MN-002, disclosed and included in, or covered by, these patents, in all indications, except for ophthalmic solution formulations. This license includes an exclusive, sub-licensable license under two U.S. patent and certain corresponding patents in foreign countries. The U.S. composition of matter patent for MN-001 underlying the license expired on February 23, 2009, and the U.S. composition of matter patent for MN-002 underlying the license expired on December 30, 2011. Foreign composition of matter patents for MN-001 and MN-002 have also expired. We intend to rely upon the applicable period of post-approval exclusivity, in addition to any patents that may issue from our own patent applications. Under the terms of the agreement, we granted to Kyorin Pharmaceutical an exclusive, royalty-free, sub-licensable license to use the preclinical, clinical and regulatory databases to develop ophthalmic products incorporating the MN-001 compound anywhere in the world and non-ophthalmic products incorporating the MN-001 compound outside of our territory.</w:t>
      </w:r>
    </w:p>
    <w:p>
      <w:pPr>
        <w:spacing w:after="0" w:line="10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$4.0 million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filed and the U.S. Patent and Trademark Office issued eight U.S. patents covering certain compositions, uses and manufacturing processes associated with MN-001 and its metabolite, MN-002. Patent applications corresponding to these U.S. patents were filed in certain foreign countries and some of the foreign patents have issued.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June 19, 2002, we entered into an exclusive license agreement with Angiogene Pharmaceuticals for the development and commercialization of the ANG-600 series of compounds. Angiogene Pharmaceuticals is a privately held, British drug discovery company. We obtained an exclusive, worldwide, sub-licensable license to the patent rights and know-how related to the ANG-600 series of compounds disclosed in and included or covered by these patents for all indications. MN-029 is one of the ANG-600 series compounds covered by this license. This license includes an exclusive, sub-licensable license under -four U.S. patents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and some of those foreign patents have been issued. The U.S. patent covering methods of treating solid cancer tumors by administering MN-029, which issued on July 25, 2006, is set to expire in July, 2020.</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 Pharmaceuticals.</w:t>
      </w:r>
    </w:p>
    <w:p>
      <w:pPr>
        <w:spacing w:after="0" w:line="118" w:lineRule="exact"/>
        <w:rPr>
          <w:sz w:val="20"/>
          <w:szCs w:val="20"/>
          <w:color w:val="auto"/>
        </w:rPr>
      </w:pPr>
    </w:p>
    <w:p>
      <w:pPr>
        <w:ind w:right="1160" w:firstLine="456"/>
        <w:spacing w:after="0" w:line="370" w:lineRule="auto"/>
        <w:rPr>
          <w:sz w:val="20"/>
          <w:szCs w:val="20"/>
          <w:color w:val="auto"/>
        </w:rPr>
      </w:pPr>
      <w:r>
        <w:rPr>
          <w:rFonts w:ascii="Arial" w:cs="Arial" w:eastAsia="Arial" w:hAnsi="Arial"/>
          <w:sz w:val="15"/>
          <w:szCs w:val="15"/>
          <w:color w:val="auto"/>
        </w:rPr>
        <w:t>The term of this agreement is determined on a country-by-country basis and extends until the earlier of the expiration of the last Angiogene Pharmaceuticals patent (or equivalent) under license which has a valid claim to expire or 15 years from the date of first commercial sale.</w:t>
      </w:r>
    </w:p>
    <w:p>
      <w:pPr>
        <w:spacing w:after="0" w:line="49"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Under the license agreement, we have paid Angiogene Pharmaceuticals $1.4 million to date and are obligated to make payments of up to $16.5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27, 2004, we entered into an exclusive license agreement with Mitsubishi Pharma Corporation, the predecessor to Mitsubishi Tanabe Pharma Corporation, for the development and commercialization of MN-305. Mitsubishi Tanabe Pharma Corporation is a fully integrated Japanese pharmaceutical company and is listed on the First Section of the Tokyo Stock Exchange. We obtained an exclusive, worldwide (excluding Japan, Singapore, Brunei, Thailand, Malaysia, Indonesia, the Philippines, Vietnam, Bangladesh, Pakistan, South Korea, China and Taiwan), sub-licensable license to the patent rights and know-how related to MN-305 and its active metabolite disclosed and included or covered by these patents for all indications. The license is sub-licensable upon receipt of the written consent of Mitsubishi Tanabe Pharma Corporation. This license includes an exclusive, sub-licensable license under five U.S. patents and certain corresponding patents and patent applications in foreign countries. The U.S. composition of matter patent for MN-305, which issued on December 1, 1992, expired on March 14, 2011. Patent applications corresponding to this U.S. patent were filed in certain foreign countries, and these foreign counterparts expired on or before March 14, 2011. The U.S. patent covering the use of MN-305 to treat anxiety, which issued on August 10, 1993, expired on March 14, 2011.</w:t>
      </w:r>
    </w:p>
    <w:p>
      <w:pPr>
        <w:spacing w:after="0" w:line="10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Under the terms of the agreement, we granted to Mitsubishi Tanabe Pharma Corporation a license to use our know-how and patents relating to MN-305 to develop products incorporating the MN-305 compound outside of our territory. Mitsubishi Tanabe Pharma Corporation also has the right to co-promote licensed products in our territory on terms to be agreed upon by the parties.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MN-305 does not justify continued development with 90 days’ written notice to Mitsubishi Tanabe Pharma Corporation or, in the event that a third party claims that the licensed intellectual property related to MN-305 infringes such third party’s intellectual property rights, with 30 days’ written notice.</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the license agreement, we have paid Mitsubishi Tanabe Pharma Corporation $1.0 million to date, and we are obligated to make payments of up to $18.8 million based on the achievement of certain clinical, regulatory and sales milestones. We are also obligated to pay a royalty on net sales of the licensed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December 8, 2004, we entered into an exclusive license agreement with Mitsubishi Pharma Corporation, the predecessor to Mitsubishi Tanabe Pharma Corporation, for the development and commercialization of MN-246. We obtained an exclusive, worldwide (excluding Japan, Singapore, Brunei, Thailand, Malaysia, Indonesia, the Philippines, Vietnam, Bangladesh, Pakistan, South Korea, China and Taiwan), sub-licensable license to the intellectual property surrounding MN-246, its derivatives and any other compounds disclosed or claimed in the licensed Mitsubishi Tanabe Pharma Corporation patent assets. The license is sub-licensable upon receipt of the written consent of Mitsubishi Tanabe Pharma Corporation and includes an exclusive license under one U.S. patent and certain corresponding patents in foreign countries. The U.S. patent covering MN-246 and methods of making and using MN-246, which issued on May 30, 2000, is set to expire on October 24, 2016. Patent applications corresponding to this U.S. patent were filed in certain foreign countries, and these foreign counterparts are set to expire no earlier than October 24, 2016.</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issued U.S. patent covers generic phenylethanolamines encompassed by a given chemical formula, including MN-246, processes for the production of such phenylethanolamines, a pharmaceutical composition of such phenylethanolamines and methods of use for such phenylethanolamines for the treatment of a variety of human or animal ailments, including accelerated or spasmodic gastrointestinal motility, dysuria, pollakisuria, urinary incontinence, obesity and diabetes. Under the terms of the agreement, we granted to Mitsubishi Tanabe Pharma Corporation a license to use our know-how and patents relating to MN-246 to develop products incorporating the MN-246 compound outside of our territory. Mitsubishi Tanabe Pharma Corporation also has the right to co-promote licensed products in our territory on terms to be agreed upon by the parties.</w:t>
      </w:r>
    </w:p>
    <w:p>
      <w:pPr>
        <w:spacing w:after="0" w:line="10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MN-246 does not justify continued development with 90 days’ written notice to Mitsubishi Tanabe Pharma Corporation or in the event that a third party claims that the licensed intellectual property related to MN-246 infringes such third party’s intellectual property rights with 30 days’ written notice.</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the license agreement, we have paid Mitsubishi Tanabe Pharma Corporation $750,000 to date, and we are obligated to make payments of up to $14.5 million based on the achievement of certain clinical, regulatory and sales milestones. We are also obligated to pay a royalty on net sales of the licensed products.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w:t>
      </w:r>
    </w:p>
    <w:p>
      <w:pPr>
        <w:spacing w:after="0" w:line="15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MN-447. Meiji Seika Kaisha is a fully integrated Japanese pharmaceutical company and is listed on the First Section of the Tokyo Stock Exchange. We obtained an exclusive, worldwide (excluding Japan, Bangladesh, Brunei, Cambodia, People’s Republic of China, Indonesia, Laos, Malaysia, Myanmar, the Philippines, Singapore, South Korea, Taiwan, Thailand and Vietnam), sub-licensable license from Meiji Seika Kaisha for MN-447 (and any other compound claimed or covered by U.S. patent 6,420,558) for any human use. This license includes an exclusive sub-licensable license under one U.S. patent and certain corresponding patents in foreign countries. The U.S. patent covering MN-447 and methods of treating an integrin avß3-mediated disease, platelet thrombosis, aggregation and related disorders, which issued on July 16, 2002, is set to expire on April 9, 2019. Patent applications corresponding to this U.S. patent were granted in certain foreign countries. Under the terms of the license, we granted a license to Meiji Seika Kaisha to use our know-how and patents relating to MN-447 to develop products incorporating the MN-447 compound outside of our territory.</w:t>
      </w:r>
    </w:p>
    <w:p>
      <w:pPr>
        <w:spacing w:after="0" w:line="1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MN-447 does not justify continued development. Meiji Seika Kaisha also has the right to terminate the agreement in the event that we cease development of MN-447 for a period of one year or longer.</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The agreement expires on the expiration of the royalty term in each country. The royalty term starts on the first date of the first commercial sale and expires on the later of (1) the expiration of market exclusivity, or (2) 15 years after the date of the first commercial sale.</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MN-462</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MN-462. We obtained an exclusive, worldwide (excluding Japan, Bangladesh, Brunei, Cambodia, People’s Republic of China, Indonesia, Laos, Malaysia, Myanmar, the Philippines, Singapore, South Korea, Taiwan, Thailand and Vietnam), sub-licensable license from Meiji Seika Kaisha for MN-462 (and any other compound claimed or covered by U.S. patent 6,576,627) for any human use. This license includes an exclusive sub-licensable license under certain corresponding patents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granted in certain foreign countries. Under the terms of the license, we granted a license to Meiji Seika Kaisha to use our know-how and patents relating to MN-462 to develop products incorporating the MN-462 compound outside of our territory.</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commercial viability of MN-462 does not justify continued development. Meiji Seika Kaisha also has the right to terminate the agreement in the event that we cease development of MN-462 for a period of one year or longer.</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The agreement expires on the expiration of the royalty term in each country. The royalty term starts on the first date of the first commercial sale and expires on the later of (1) the expiration of market exclusivity, or (2) 15 years after the date of the first commercial sale.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this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licenses and have not received any material claims by third parties of infringement by us of such parties’ intellectual property rights.</w:t>
      </w:r>
    </w:p>
    <w:p>
      <w:pPr>
        <w:spacing w:after="0" w:line="1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to treat MS, the method of using MN-166 to treat addiction and the method of using MN-166 to treat neuropathic pain, but we do not have any composition of matter patent claims for MN-166 because it has expired. As a result, unrelated third parties may develop products with the same API as MN-166 so long as such parties do not infringe our method of use patents, other patents we have exclusive rights to through our licensor or any patents we may obtain for MN-166.</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five-year chemical entity exclusivity provisions of Hatch-Waxman Act for such products in the U.S. and/or 10-year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Drug Addiction</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MN-166 product candidate has been in development for treatment of opioid withdrawal and methamphetamine addiction. Current treatments for opioid withdrawal symptoms include narcotics such as generic methadone and Reckitt Benckiser Pharmaceuticals, Inc.’s Subutex</w:t>
      </w:r>
      <w:r>
        <w:rPr>
          <w:rFonts w:ascii="Arial" w:cs="Arial" w:eastAsia="Arial" w:hAnsi="Arial"/>
          <w:sz w:val="10"/>
          <w:szCs w:val="10"/>
          <w:color w:val="auto"/>
        </w:rPr>
        <w:t>®</w:t>
      </w:r>
      <w:r>
        <w:rPr>
          <w:rFonts w:ascii="Arial" w:cs="Arial" w:eastAsia="Arial" w:hAnsi="Arial"/>
          <w:sz w:val="16"/>
          <w:szCs w:val="16"/>
          <w:color w:val="auto"/>
        </w:rPr>
        <w:t xml:space="preserve"> (buprenorphine) and Suboxone</w:t>
      </w:r>
      <w:r>
        <w:rPr>
          <w:rFonts w:ascii="Arial" w:cs="Arial" w:eastAsia="Arial" w:hAnsi="Arial"/>
          <w:sz w:val="10"/>
          <w:szCs w:val="10"/>
          <w:color w:val="auto"/>
        </w:rPr>
        <w:t>®</w:t>
      </w:r>
      <w:r>
        <w:rPr>
          <w:rFonts w:ascii="Arial" w:cs="Arial" w:eastAsia="Arial" w:hAnsi="Arial"/>
          <w:sz w:val="16"/>
          <w:szCs w:val="16"/>
          <w:color w:val="auto"/>
        </w:rPr>
        <w:t xml:space="preserve"> (buprenorphine + the opioid antagonist naloxone) and Alkermes’ Vivitrol</w:t>
      </w:r>
      <w:r>
        <w:rPr>
          <w:rFonts w:ascii="Arial" w:cs="Arial" w:eastAsia="Arial" w:hAnsi="Arial"/>
          <w:sz w:val="10"/>
          <w:szCs w:val="10"/>
          <w:color w:val="auto"/>
        </w:rPr>
        <w:t>®</w:t>
      </w:r>
      <w:r>
        <w:rPr>
          <w:rFonts w:ascii="Arial" w:cs="Arial" w:eastAsia="Arial" w:hAnsi="Arial"/>
          <w:sz w:val="16"/>
          <w:szCs w:val="16"/>
          <w:color w:val="auto"/>
        </w:rPr>
        <w:t xml:space="preserve"> (naltrexone monthly injection). We are aware of additional compounds in development for the treatment of opioid dependence at companies including Titan Pharmaceuticals, Orexo, and BioDelivery Sciences. Limited non-narcotic drug candidates for opioid withdrawal symptoms exist. Britannia Pharmaceuticals Limited’s BritLofex</w:t>
      </w:r>
      <w:r>
        <w:rPr>
          <w:rFonts w:ascii="Arial" w:cs="Arial" w:eastAsia="Arial" w:hAnsi="Arial"/>
          <w:sz w:val="10"/>
          <w:szCs w:val="10"/>
          <w:color w:val="auto"/>
        </w:rPr>
        <w:t>®</w:t>
      </w:r>
      <w:r>
        <w:rPr>
          <w:rFonts w:ascii="Arial" w:cs="Arial" w:eastAsia="Arial" w:hAnsi="Arial"/>
          <w:sz w:val="16"/>
          <w:szCs w:val="16"/>
          <w:color w:val="auto"/>
        </w:rPr>
        <w:t xml:space="preserve"> (Lofexidine), licensed for development in U.S. clinical trials to US WorldMeds LLC, is an alpha adrenoceptor agonist like clonidine which may have somewhat less orthostatic hypotension limitations. There are no pharmaceuticals currently approved for the treatment of methamphetamine addiction.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MN-166 product candidate is pending development for the treatment of progressive MS. Only one drug, mitoxantrone, is approved for treating this disease.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Neuropathic Pain</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MN-166 product candidate has been in development for treatment of neuropathic pain. Current treatments for neuropathic pain include anti-epileptics such as Pfizer Inc.’s Neurontin</w:t>
      </w:r>
      <w:r>
        <w:rPr>
          <w:rFonts w:ascii="Arial" w:cs="Arial" w:eastAsia="Arial" w:hAnsi="Arial"/>
          <w:sz w:val="10"/>
          <w:szCs w:val="10"/>
          <w:color w:val="auto"/>
        </w:rPr>
        <w:t>®</w:t>
      </w:r>
      <w:r>
        <w:rPr>
          <w:rFonts w:ascii="Arial" w:cs="Arial" w:eastAsia="Arial" w:hAnsi="Arial"/>
          <w:sz w:val="16"/>
          <w:szCs w:val="16"/>
          <w:color w:val="auto"/>
        </w:rPr>
        <w:t xml:space="preserve"> (gabapentin) and Lyrica</w:t>
      </w:r>
      <w:r>
        <w:rPr>
          <w:rFonts w:ascii="Arial" w:cs="Arial" w:eastAsia="Arial" w:hAnsi="Arial"/>
          <w:sz w:val="10"/>
          <w:szCs w:val="10"/>
          <w:color w:val="auto"/>
        </w:rPr>
        <w:t>®</w:t>
      </w:r>
      <w:r>
        <w:rPr>
          <w:rFonts w:ascii="Arial" w:cs="Arial" w:eastAsia="Arial" w:hAnsi="Arial"/>
          <w:sz w:val="16"/>
          <w:szCs w:val="16"/>
          <w:color w:val="auto"/>
        </w:rPr>
        <w:t xml:space="preserve"> (pregabalin), and antidepressants, including Eli Lilly &amp; Co.’s Cymbalta</w:t>
      </w:r>
      <w:r>
        <w:rPr>
          <w:rFonts w:ascii="Arial" w:cs="Arial" w:eastAsia="Arial" w:hAnsi="Arial"/>
          <w:sz w:val="10"/>
          <w:szCs w:val="10"/>
          <w:color w:val="auto"/>
        </w:rPr>
        <w:t>®</w:t>
      </w:r>
      <w:r>
        <w:rPr>
          <w:rFonts w:ascii="Arial" w:cs="Arial" w:eastAsia="Arial" w:hAnsi="Arial"/>
          <w:sz w:val="16"/>
          <w:szCs w:val="16"/>
          <w:color w:val="auto"/>
        </w:rPr>
        <w:t xml:space="preserve"> (duloxetine). We are aware of additional compounds for chronic neuropathic pain that are currently in development at numerous companies including GlaxoSmithKline plc, Pfizer Inc., Cognetix, Inc., GW Pharmaceuticals plc, Endo Pharmaceuticals Holdings Inc., Avanir Pharmaceuticals, Pain Therapeutics, Inc., and XenoPort,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firstLine="456"/>
        <w:spacing w:after="0" w:line="227" w:lineRule="auto"/>
        <w:rPr>
          <w:sz w:val="20"/>
          <w:szCs w:val="20"/>
          <w:color w:val="auto"/>
        </w:rPr>
      </w:pPr>
      <w:r>
        <w:rPr>
          <w:rFonts w:ascii="Arial" w:cs="Arial" w:eastAsia="Arial" w:hAnsi="Arial"/>
          <w:sz w:val="18"/>
          <w:szCs w:val="18"/>
          <w:color w:val="auto"/>
        </w:rPr>
        <w:t>Our MN-221 product candidate is being developed for the treatment of acute exacerbations of asthma in the emergency room setting. The current standard of care for acute exacerbations of asthma is inhaled albuterol (a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agonist), inhaled ipratropium (an anticholinergic) and oral or injected corticosteroids. In addition, subcutaneously administered terbutaline (a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agonist) is sometimes used to treat this condition, particularly in pediatric patients.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Chronic Obstructive Pulmonary Disease Exacerbations</w:t>
      </w:r>
    </w:p>
    <w:p>
      <w:pPr>
        <w:spacing w:after="0" w:line="15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MN-221 product candidate is also being developed for the treatment of COPD exacerbations. The standard of care for COPD exacerbations is similar to that of acute exacerbations of asthma in that inhaled bronchodilators and anticholinergics are administered; however, antibiotics are also administered and parenteral terbutaline is excluded because of the exclusively adult patient population. A greater percentage of patients diagnosed with COPD exacerbations are hospitalized than patients diagnosed with asthma exacerbations, and such patients continue the same treatment paradigm as in the emergency department.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Government authorities in the U.S. and other countries extensively regulate the research, development, testing, manufacture, labeling, promotion, advertising, distribution, sampling, marketing and import and export of pharmaceutical products and biologics such as those we are developing. In the U.S.,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the U.S., drugs and drug testing are regulated by the FDA under the Federal Food, Drug and Cosmetic Act, as well as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authorities. All of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02"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submission of an Investigational New Drug Application, or IND, which must become effective before human clinical trials may begin in the U.S.;</w:t>
      </w:r>
    </w:p>
    <w:p>
      <w:pPr>
        <w:spacing w:after="0" w:line="126"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accompanied by a substantial user fee;</w:t>
      </w:r>
    </w:p>
    <w:p>
      <w:pPr>
        <w:spacing w:after="0" w:line="103" w:lineRule="exact"/>
        <w:rPr>
          <w:rFonts w:ascii="Arial" w:cs="Arial" w:eastAsia="Arial" w:hAnsi="Arial"/>
          <w:sz w:val="18"/>
          <w:szCs w:val="18"/>
          <w:color w:val="auto"/>
        </w:rPr>
      </w:pPr>
    </w:p>
    <w:p>
      <w:pPr>
        <w:ind w:left="780" w:right="22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development of manufacturing processes which conform to FDA-mandated commercial good manufacturing practices, or cGMPs, and satisfactory completion of FDA inspections to assess cGMP compliance and clinical investigator compliance with good clinical practices; and</w:t>
      </w:r>
    </w:p>
    <w:p>
      <w:pPr>
        <w:spacing w:after="0" w:line="1" w:lineRule="exact"/>
        <w:rPr>
          <w:rFonts w:ascii="Arial" w:cs="Arial" w:eastAsia="Arial" w:hAnsi="Arial"/>
          <w:sz w:val="16"/>
          <w:szCs w:val="16"/>
          <w:color w:val="auto"/>
        </w:rPr>
      </w:pPr>
    </w:p>
    <w:p>
      <w:pPr>
        <w:ind w:left="780" w:right="5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such approvals. The FDA may not act quickly or favorably in reviewing our applications, and we may encounter significant difficulties and costs in our efforts to obtain FDA approvals that could delay or preclude us from marketing our products.</w:t>
      </w:r>
    </w:p>
    <w:p>
      <w:pPr>
        <w:spacing w:after="0" w:line="13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 animal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The Investigational New Drug Application, or IND Process. </w:t>
      </w:r>
      <w:r>
        <w:rPr>
          <w:rFonts w:ascii="Arial" w:cs="Arial" w:eastAsia="Arial" w:hAnsi="Arial"/>
          <w:sz w:val="16"/>
          <w:szCs w:val="16"/>
          <w:color w:val="auto"/>
        </w:rPr>
        <w:t>An IND must be effective to administer an investigational drug to humans. The IND will</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become effective 30 days 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products. Moreover, positive results in preclinical tests or prior human studies do not necessarily predict positive results in subsequent clinical trials.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58" w:lineRule="exact"/>
        <w:rPr>
          <w:sz w:val="20"/>
          <w:szCs w:val="20"/>
          <w:color w:val="auto"/>
        </w:rPr>
      </w:pPr>
    </w:p>
    <w:p>
      <w:pPr>
        <w:ind w:left="780" w:right="6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1: The drug is initially introduced into a small number of human subjects or patients and tested for safety, dosage tolerance, absorption, distribution, excretion and metabolism.</w:t>
      </w:r>
    </w:p>
    <w:p>
      <w:pPr>
        <w:spacing w:after="0" w:line="37"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 The drug is introduced into a limited patient population to assess the efficacy of the drug in specific, targeted indications, assess dosage tolerance and optimal dosage, and to identify possible adverse effects and safety risks.</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3: The drug is introduced into an expanded patient population at geographically dispersed clinical trial sites to further evaluate clinical efficacy and safety.</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Prior to initiation of each clinical trial, an independent Institutional Review Board, or IRB, for each medical site proposing to conduct the clinical trials must review and approve the study protocol and study subjects must provide informed consent for participation in the study.</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cannot be certain that we will successfully complete Phase 1, 2 or 3 testing of our drug candidates within any specific time period, if at all. Clinical trials must be conducted in accordance with the FDA’s good clinical practices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w:t>
      </w:r>
    </w:p>
    <w:p>
      <w:pPr>
        <w:spacing w:after="0" w:line="10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i w:val="1"/>
          <w:iCs w:val="1"/>
          <w:color w:val="auto"/>
        </w:rPr>
        <w:t xml:space="preserve">The NDA Process. </w:t>
      </w:r>
      <w:r>
        <w:rPr>
          <w:rFonts w:ascii="Arial" w:cs="Arial" w:eastAsia="Arial" w:hAnsi="Arial"/>
          <w:sz w:val="15"/>
          <w:szCs w:val="15"/>
          <w:color w:val="auto"/>
        </w:rPr>
        <w:t>If clinical trials are successful, the next step in the drug regulatory approval process is the preparation and submission to the FDA of an</w:t>
      </w:r>
      <w:r>
        <w:rPr>
          <w:rFonts w:ascii="Arial" w:cs="Arial" w:eastAsia="Arial" w:hAnsi="Arial"/>
          <w:sz w:val="15"/>
          <w:szCs w:val="15"/>
          <w:i w:val="1"/>
          <w:iCs w:val="1"/>
          <w:color w:val="auto"/>
        </w:rPr>
        <w:t xml:space="preserve"> </w:t>
      </w:r>
      <w:r>
        <w:rPr>
          <w:rFonts w:ascii="Arial" w:cs="Arial" w:eastAsia="Arial" w:hAnsi="Arial"/>
          <w:sz w:val="15"/>
          <w:szCs w:val="15"/>
          <w:color w:val="auto"/>
        </w:rPr>
        <w:t>NDA. The NDA is the vehicle through which drug sponsors formally propose that the FDA approve a new pharmaceutical product for marketing and sale in the U.S. The NDA must contain a description of the manufacturing process and quality control methods, as well as results of preclinical tests, toxicology studies, clinical trials and proposed labeling, among other things. A substantial user fee must also be paid with the submission of the NDA, unless an exemption applies.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Upon submission of the NDA, the FDA makes a threshold determination as to whether the application is sufficiently complete to permit review and, if not, will issue a refuse to file letter. If the submission is accepted for filing, the FDA begins an in-depth review of the NDA and will attempt to review and take action on the application in accordance with performance goals established in connection with the user fee laws. Among the conditions for NDA approval is the requirement that the prospective manufacturer’s quality control and manufacturing procedures conform on an ongoing basis with cGMPs.</w:t>
      </w:r>
    </w:p>
    <w:p>
      <w:pPr>
        <w:spacing w:after="0" w:line="99"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the FDA’s evaluations of the NDA and the clinical and manufacturing procedures and facilities’ cGMPs are favorable, the FDA may issue either an approval letter or a complete response letter containing guidance on the conditions that must be met in order to secure approval of the NDA. If and when those conditions have been met to the FDA’s satisfaction, the FDA will issue an approval letter, authorizing commercial marketing of the drug for certain indications. The FDA may also grant approval with requirements to complete post-marketing studies, referred to as Phase 4 clinical trials, or restrictive product labeling, or may impose other restrictions on marketing or distribution, such as the adoption of a Risk Evaluation and Mitigation Strategy, or REMS. The FDA may deny or delay approval of applications that do not meet applicable regulatory criteria or if the FDA determines that the clinical data do not adequately establish the safety and efficacy of the drug.</w:t>
      </w:r>
    </w:p>
    <w:p>
      <w:pPr>
        <w:spacing w:after="0" w:line="13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The Hatch-Waxman Act</w:t>
      </w:r>
      <w:r>
        <w:rPr>
          <w:rFonts w:ascii="Arial" w:cs="Arial" w:eastAsia="Arial" w:hAnsi="Arial"/>
          <w:sz w:val="16"/>
          <w:szCs w:val="16"/>
          <w:color w:val="auto"/>
        </w:rPr>
        <w:t>. Under the Hatch-Waxman Act, certain newly approved drugs and indications benefit from a statutory period of non-patent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also provides three years of marketing exclusivity for the approval of new and supplemental NDAs for, among other things, new indications, dosages or strengths of an existing drug, if new clinical investigations that were conducted or sponsored by the applicant are essential to the approval of the application. Pediatric exclusivity of six months may also be available if agreement is reached with the FDA and qualifying studies of product candidates in pediatric populations are conducted.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Manufacturing and Other Regulatory Requirements. </w:t>
      </w:r>
      <w:r>
        <w:rPr>
          <w:rFonts w:ascii="Arial" w:cs="Arial" w:eastAsia="Arial" w:hAnsi="Arial"/>
          <w:sz w:val="16"/>
          <w:szCs w:val="16"/>
          <w:color w:val="auto"/>
        </w:rPr>
        <w:t>Both before and after approval, we and our third-party manufacturers must comply with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For example, if we seek to make certain changes to an approved product, such as promoting or labeling a product for a new indication, manufacturing changes or additional labeling claims, we will need FDA review and approval. Advertising and other promotional materials must comply with FDA requirements and established requirements applicable to drug samples. In addition, we may not label or promote the product for an indication that has not been approved by the FDA. Securing FDA approval for new indications or product enhancements and, in some cases, for new labeling claims, is generally a time-consuming and expensive process that may require us to conduct clinical trials under the FDA’s IND regulations. Even if such studies are conducted, the FDA may not approve any change in a timely fashion, or at all. In addition, adverse experiences associated with use of the products must be reported to the FDA, and FDA rules govern how we can label, advertise or otherwise commercialize our products.</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NDA holders and manufacturers of approved products will be subject to continual review and periodic inspections by the FDA and other authorities, where applicable, and must comply with ongoing requirements, including the FDA’s cGMP requirements. Manufacturers must provide certain safety and efficacy information and make certain other required reports. To comply with cGMP requirements, manufacturers must continue to spend time, money and effort to meet requirements relating to personnel, facilities, equipment, production and process, labeling and packaging, quality control, record-keeping and other requirements. The FDA periodically inspects drug manufacturing facilities to evaluate compliance with cGMP requirements. Product approvals may 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FDA restrictions on marketing of pharmaceutical products, several other state and federal laws have been applied to restrict certain sales and marketing practices in the pharmaceutical industry.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laws include licensing requirements, compliance program requirements, annual certificates and disclosures, anti-kickback statutes and false claims statutes. The federal Anti-Kickback Statute prohibits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have a false claim paid. Several pharmaceutical and other health care companies have been prosecuted under these laws for allegedly promoting their products for off-label uses, which in turn led to claims being submitted to and paid by the Medicare and Medicaid programs. The majority of states also have statutes or regulations similar to the Anti-Kickback Statue and false claims laws, which apply to items and services reimbursed under Medicaid and other state programs, or, in several states, apply regardless of the payer.</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Regulatory Approval</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In addition, regulatory approval of prices is required in most countries other than the U.S. We face the risk that the resulting prices would be insufficient to generate an acceptable return to us or our collaborators.</w:t>
      </w:r>
    </w:p>
    <w:p>
      <w:pPr>
        <w:spacing w:after="0" w:line="9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93"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Under European Union regulatory systems, marketing authorizations may be submitted either under a centralized or decentralized procedure. The centralized procedure is currently mandatory for products developed by means of a biotechnological process and optional for new active substances and other “innovative medicinal 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9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12 full-time employees as of the date of this report. We believe that our relations with our employees are good, and we have no history of work stoppages.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64"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 xml:space="preserve">We were originally incorporated in the State of Delaware in September 2000. Our principal executive offices are located at 4275 Executive Square, Suite 650, La Jolla, CA 92037. Our telephone number is 858-373–1500. Our website is </w:t>
      </w:r>
      <w:r>
        <w:rPr>
          <w:rFonts w:ascii="Arial" w:cs="Arial" w:eastAsia="Arial" w:hAnsi="Arial"/>
          <w:sz w:val="18"/>
          <w:szCs w:val="18"/>
          <w:u w:val="single" w:color="auto"/>
          <w:color w:val="auto"/>
        </w:rPr>
        <w:t>www.medicinova.com</w:t>
      </w:r>
      <w:r>
        <w:rPr>
          <w:rFonts w:ascii="Arial" w:cs="Arial" w:eastAsia="Arial" w:hAnsi="Arial"/>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incurred significant net losses since our inception. For the year ended December 31, 2012, we had a net loss of $11.0 million. At December 31, 2012, from inception, our accumulated deficit was $296.2 million, including $50.4 million of non-cash stock-based compensation charges.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 As of December 31, 2012, we had available cash and cash equivalents of $4.0 million and working capital of $3.4 million. We expect to have approximately $3 million in available cash as of March 31, 2013, and, assuming we raise additional capital, we expect to spend approximately $6 million from April 1, 2013 through December 31, 2013 to execute our strategic plan and fund operations. As of the date of this report, we have working capital sufficient to fund operations through June 30, 2013. These factors raise substantial doubt about our ability to continue as a going concern. Between August 21, 2012 and the date of this report we have generated proceeds of $3.0 million under the Common Stock Purchase Agreement with Aspire Capital Fund LLC (“Aspire”) including proceeds of $1.5 million on the sale 800,000 shares of our common stock subsequent to December 31, 2012. We have the right, subject to the terms of the Common Stock Purchase Agreement, to cause Aspire to acquire up to 3,231,096 shares for total gross proceeds not to exceed $20 million (including the 2,019,696 shares issued or sold to Aspire to date for $3.0 million)) subject to daily dollar limitations and subject to the maximum dollar amount we can sell from time to time under our registration statement on Form S-3. We expect to sell additional shares under this agreement during 2013. We are also pursuing other opportunities to raise capital through the sale of our common stock or through other strategic initiatives. There can be no assurances that there will be adequate financing available to us on acceptable terms, or at all. If the Company is unable to obtain additional financing, we may have to sell one or more of our programs or cease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158"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our research and development expenses to decline in 2013 relative to 2012 as we completed our Phase 2 clinical trial of MN-221 for the treatment of acute exacerbations of asthma in 2012. Our estimate of cash requirements for future operating expenses assumes that we do not incur significant clinical development expenditures unless we are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we have taxable income in the future, utilization of the net operating losses, or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We have consumed substantial amounts of capital since our inception. From our inception to December 31, 2012, we had an accumulated deficit of $296.2 million. Our cash and cash equivalents were $4.0 million at December 31, 2012.</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business will continue to require us to incur substantial research and development expenses, such as the costs of advancing our MN-166 development program.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07"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MN-166 product candidate and we cannot be certain that this product candidate will receive regulatory approval or be successfully commercialized.</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on the successful development and commercialization of our MN-166 product candidate, for the treatment of neurological disorders including opioid withdrawal, methamphetamine addiction, chronic MOH pain and MS. This product candidate has not completed the clinical development process, and therefore we have not submitted an NDA or foreign equivalent or received marketing approval. We plan to focus our resources on accelerating and optimizing MN-166 development in collaboration with the investigators conducting multiple grant-funded, proof-of-concept clinical trials.</w:t>
      </w:r>
    </w:p>
    <w:p>
      <w:pPr>
        <w:spacing w:after="0" w:line="1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clinical development program for MN-166 may not lead to commercial products for a number of reasons, including our clinical trials’ failure to demonstrate to the FDA’s satisfaction that this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MN-166 in a timely manner would have a material and adverse impact on our business and our stock price.</w:t>
      </w:r>
    </w:p>
    <w:p>
      <w:pPr>
        <w:spacing w:after="0" w:line="1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Because the results of early clinical trials are not necessarily predictive of future results, MN-166 or any other product candidate we advance into clinical trials in any indication may not have favorable results in later clinical trials, if any, or receive regulatory approval.</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product candidates are subject to the risks of failure inherent in drug development. We will be required to demonstrate through well-controlled clinical trials that our product candidates are safe and effective for use in a diverse population for its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Companies frequently suffer significant setbacks in advanced clinical trials, even after earlier clinical trials have shown promising results. Any of our planned clinical trials for MN-166 or our other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secure a collaboration for MN-221, we may be unable to complete its clinical development.</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Following our May 2012 announcement of the preliminary results of the Phase 2 MN-221-CL-007 clinical trial,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We have also determined that future MN-221 clinical trial development will be partner-dependent from a funding perspective.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will rely on the joint venture company formed in China in 2011 to develop and commercialize MN-221 in China and there is no assurance that the joint venture will be able to successful in doing so.</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We have invested $680,000 for 30% interest in the joint venture company, Zhejiang Sunmy. A sublicense agreement under which Zhejiang Sunmy will license MN-221 from us will be required. We have no assurances that Zhejiang Sunmy will be successful in its efforts to conduct clinical trials necessary to gain regulatory approval in China, will be able to successfully manufacture drug candidates for the Chinese market or will receive the future funding it will require to conduct operations. We have not entered into the sublicense of MN-221 with Zhejiang Sunmy as of the date of this report. There is no assurance the sublicense will be executed and there is no assurance that Zhejiang Sunmy will be able to proceed with the development of MN-221 in China or that we will someday recover our investment in Zhejiang Sunmy.</w:t>
      </w:r>
    </w:p>
    <w:p>
      <w:pPr>
        <w:spacing w:after="0" w:line="10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7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obtained Clinical Trial Authorizations, or CTAs, for the MN-221-CL-007 Phase 2 clinical trial for MN-221 in Canada, Australia and New Zealand. Through the acquisition of Avigen, we have assumed responsibility for clinical trials including one active IND for neuropathic pain and cross-reference and drug product support of the NIDA-funded opioid withdrawal investigator-initiated IND with Columbia University drug addiction clinical researchers. In the third quarter of 2010, the FDA approved a NIDA-funded investigator-initiated IND with University of California Los Angeles (“UCLA”) to proceed with an initial trial of our neurological drug candidate, MN-166 (ibudilast), as a potential new pharmacotherapy for methamphetamine addiction. In the third quarter of 2012 UCLA and MediciNova announced approval and funding by NIDA of a Phase 2 clinical trial studying the use of MN-166 for the treatment of methamphetamine addiction.</w:t>
      </w:r>
    </w:p>
    <w:p>
      <w:pPr>
        <w:spacing w:after="0" w:line="11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May 2012, we announced the preliminary results from our Phase 2b clinical trial of MN-221 for patients with acute exacerbations of asthma failed to statistically meet its primary endpoint.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158" w:lineRule="exact"/>
        <w:rPr>
          <w:sz w:val="20"/>
          <w:szCs w:val="20"/>
          <w:color w:val="auto"/>
        </w:rPr>
      </w:pPr>
    </w:p>
    <w:p>
      <w:pPr>
        <w:ind w:left="5620" w:right="4560" w:hanging="5166"/>
        <w:spacing w:after="0" w:line="472" w:lineRule="auto"/>
        <w:tabs>
          <w:tab w:leader="none" w:pos="77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 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26"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9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U.S. and by comparable authorities in other countries. None of our product candidates can be marketed in the U.S.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U.S. or abroad.</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order to market any of our products outside of the U.S., we and our strategic partners and licensees must establish and comply with numerous and varying regulatory requirements of other countries regarding safety and efficacy. Approval procedures vary among countries and can involve additional product testing and additional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U.S. Regulatory approval in one country, including FDA approval in the U.S,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5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MN-166, our other product candidates or any other product candidates that we may in-license or acquire, if any, may include a restriction on the terms of its use, or it may not include one or more of our intended indications.</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10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MN-166 or any other product candidate that we advance into clinical trials may cause undesirable side effects or have other properties that could delay or prevent regulatory approval or commercialization or limit its commercial potential.</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Undesirable side effects caused MN-166 or any other product candidate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if MN-166 or any other product candidate we may develop receives marketing approval and we or others later identify undesirable side effects caused by the product, a number of significant negative consequences could result, including:</w:t>
      </w:r>
    </w:p>
    <w:p>
      <w:pPr>
        <w:spacing w:after="0" w:line="118"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103"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18"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158"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81" w:lineRule="exact"/>
        <w:rPr>
          <w:sz w:val="20"/>
          <w:szCs w:val="20"/>
          <w:color w:val="auto"/>
        </w:rPr>
      </w:pPr>
    </w:p>
    <w:p>
      <w:pPr>
        <w:ind w:left="780" w:right="20" w:hanging="326"/>
        <w:spacing w:after="0" w:line="306"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2"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45"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103"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license the rights to certain compounds to develop and market our product candidates. Currently, we have licensed rights relating to eight compounds for the development of ten product candidates.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the license agreements related to MN-166 would significantly and adversely affect our business. The termination of any of the remainder of our license agreements could materially and adversely affect our business.</w:t>
      </w:r>
    </w:p>
    <w:p>
      <w:pPr>
        <w:spacing w:after="0" w:line="127"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0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9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12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have sufficient resources or decides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9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sale of additional common stock to Aspire Capital may cause substantial dilution to our existing shareholders and/or the price of our common stock to decline.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a common stock purchase agreement with Aspire Capital Fund, LLC (“Aspire”) dated August, 20, 2012, we may sell additional shares of our common stock to Aspire over a period of up to 24 months. Depending upon market liquidity at the time, sales of shares of our common stock under the agreement may cause the trading price of our common stock to decline and may result in substantial dilution to the interests of other holders of our common stock. The sale of a substantial number of shares of our common stock to Aspire in this offering, or anticipation of such sales, could make it more difficult for us to sell equity or equity-related securities in the future at a time and at a price that we might otherwise wish to effect sales.</w:t>
      </w:r>
    </w:p>
    <w:p>
      <w:pPr>
        <w:spacing w:after="0" w:line="10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9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0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7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payers, our ability to generate revenues from that product would be substantially reduced. In addition, our efforts to educate the medical community and third-party payers on the benefits of our product candidates may require significant resources and may never be successful.</w:t>
      </w:r>
    </w:p>
    <w:p>
      <w:pPr>
        <w:spacing w:after="0" w:line="1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payers, our revenues and profitability will suffer.</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payers are increasingly challenging the prices charged for medical products and services. We cannot provide any assurances that third-party payers will consider our products cost-effective or provide coverage of and reimbursement for our products, in whole or in part.</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payers may conclude that our products are less safe, less clinically effective or less cost-effective than existing products, and third-party payers may not approve our products for coverage and reimbursement. If we are unable to obtain adequate coverage of and reimbursement for our products from third-party payers, physicians may limit how much or under what circumstances they will prescribe or administer them. Such reduction or limitation in the use of our products could cause our sales to suffer. Even if third-party payers make reimbursement available, payment levels may not be sufficient to make the sale of our products profitable.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U.S. and other key international markets. For example, continuing health care reform in the U.S. will control or significantly influence the purchase of medical services and products, and may result in inadequate coverage of and reimbursement for our products. Many third-party payers are pursuing various ways to reduce pharmaceutical costs, including the use of formularies. The market for our products depends on access to such formularies, which are lists of medications for which third-party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payers, including government payers, are instituting could have a material adverse effect on our ability to operate profitably.</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Internationally, the success of our product candidates, if approved, will depend largely on obtaining and maintaining government reimbursement, because in many European countries patients are unlikely to use prescription drugs that are not reimbursed by their governments. Negotiating prices with governmental authorities can delay commercialization by 12 months or more. Reimbursement policies may adversely affect our ability to sell our product candidates, if approved, on a profitable basis. In many international markets, governments control the prices of prescription pharmaceuticals, including through the implementation of reference pricing, price cuts, rebates, revenue-related taxes and profit control, and expect prices of prescription pharmaceuticals to decline over the life of the product or as volumes increase. Recently, many countries in the European Union have increased the amount of discounts required on pharmaceutical products, which may impact the reimbursement rates and timing to launch product candidates. Such pricing practices may affect our ability to achieve profitability or expected rates of growth in revenue or results of operations, which in turn could adversely affect our business, financial condition and results of operations.</w:t>
      </w:r>
    </w:p>
    <w:p>
      <w:pPr>
        <w:spacing w:after="0" w:line="10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If we fail to obtain and maintain approval from regulatory authorities in international markets for any of our current or future product candidates for which we have rights in international markets, our market opportunities will be limited and our business will be adversely impacted.</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Sales of our product candidates outside of the U.S. will be subject to foreign regulatory requirements governing clinical trials and marketing approval. Even if the FDA grants marketing approval for a product candidate, comparable regulatory authorities of foreign countries must also approve the manufacturing and marketing of our product candidates in those countries. Approval procedures vary among jurisdictions and can involve requirements and administrative review periods different from, and greater than, those in the U.S., including additional preclinical studies or clinical trials. In many countries outside the U.S., a product candidate must be approved for reimbursement before it can be approved for sale in that country.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15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127"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spacing w:after="0" w:line="4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with the company. Following termination of employment, these individuals may engage in other businesses that may compete with us.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 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0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successfully commercialize our product candidates.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U.S., we may be required to market our product candidates outside of the U.S. directly if we are unable to establish such collaborations. In that event, we may need to build a corresponding international sales and marketing capability with technical expertise and with supporting distribution capabilities.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U.S. to continue. Another example of proposed reform that could affect our business is drug reimportation into the U.S.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8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93"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12 full-time employees as of the date of this report. If we are successful in securing a strategic collaboration or raising additional capital, our management, personnel, systems and facilities currently in place may not be adequate to support the company’s needs.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129"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that our consultants, CROs and other service providers successfully carry out their contractual obligations, provide high quality results and meet expected deadlines;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8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right="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37" w:lineRule="exact"/>
        <w:rPr>
          <w:rFonts w:ascii="Arial" w:cs="Arial" w:eastAsia="Arial" w:hAnsi="Arial"/>
          <w:sz w:val="18"/>
          <w:szCs w:val="18"/>
          <w:color w:val="auto"/>
        </w:rPr>
      </w:pPr>
    </w:p>
    <w:p>
      <w:pPr>
        <w:ind w:left="780" w:right="102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Our listing obligations under the Jasdaq Market (formerly the Hercules Market until its closure in 2010) of the Osaka Securities Exchange, or OSE,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registered public accounting firm on our report regarding internal control over financial reporting for the year ended December 31, 2012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such as “say on pay” and proxy access.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operating our business and marketing our products internationally could materially adversely affect our business.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127"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780" w:right="7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and foreign government tariffs, trade restrictions, price and exchange controls and other regulatory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economic weakness, including inflation, natural disasters, war, events of terrorism or political instability in particular foreign countries;</w:t>
      </w:r>
    </w:p>
    <w:p>
      <w:pPr>
        <w:spacing w:after="0" w:line="126"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regulations and restrictions for employees living or traveling abroad;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method of use patents for MN-166.</w:t>
      </w:r>
    </w:p>
    <w:p>
      <w:pPr>
        <w:spacing w:after="0" w:line="10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72"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45"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U.S. may be less willing to protect trade secrets or know-how. The failure to obtain or maintain trade secret protection could adversely affect our competitive position.</w:t>
      </w:r>
    </w:p>
    <w:p>
      <w:pPr>
        <w:spacing w:after="0" w:line="1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U.S. may be maintained in secrecy until the patents are issued, and because patent applications in the U.S.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07" w:lineRule="exact"/>
        <w:rPr>
          <w:sz w:val="20"/>
          <w:szCs w:val="20"/>
          <w:color w:val="auto"/>
        </w:rPr>
      </w:pPr>
    </w:p>
    <w:p>
      <w:pPr>
        <w:ind w:left="78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Jasdaq Market of the Osaka Securities Exchange in Japan, trading volume in our securities has been light and an active trading market may not develop for our common stock. In December 2012, our average trading volume was approximately 28,000 shares per day on the Nasdaq Global Market and approximately 63,000 shares per day on the Jasdaq Market.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2012,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99" w:lineRule="exact"/>
        <w:rPr>
          <w:sz w:val="20"/>
          <w:szCs w:val="20"/>
          <w:color w:val="auto"/>
        </w:rPr>
      </w:pPr>
    </w:p>
    <w:p>
      <w:pPr>
        <w:ind w:left="780" w:right="4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initiation, termination, or reduction in the scope of any collaboration arrangements or any disputes or developments regarding such collaborations;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U.S. and in foreign countries.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5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0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30" w:lineRule="exact"/>
        <w:rPr>
          <w:sz w:val="20"/>
          <w:szCs w:val="20"/>
          <w:color w:val="auto"/>
        </w:rPr>
      </w:pPr>
    </w:p>
    <w:p>
      <w:pPr>
        <w:ind w:left="780" w:right="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xml:space="preserve"> percent stockholder approval;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leased approximately 5,089 square feet of office space at our headquarters at 4350 La Jolla Village Drive, Suite 950, San Diego, California under a lease that expired on February 28, 2013. On February 27, 2013, we entered into a sublease agreement effective March 1, 2013 (the “Sublease”) with Denali Advisors, LLC, the sublessor, to which Irvine Company, the master landlord, has provided its consent. The Sublease is for 5,219 square feet, and is for the Company’s new headquarters located at 4275 Executive Square, Suite 650, La Jolla, California, 92037. The Sublease has a term of 4 years and 9 months and provides that the Company will pay Irvine Company a monthly base rent of $10,699 for the premises during the first year. In addition to our headquarters, we also lease 1,726 square feet of office space in Tokyo, Japan under a lease that expires in May 2013 and provides for six month extensions thereafter.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March 3, 2011, we received a letter, in which certain allegations were made, from a former employee who had been terminated in January 2011 pursuant to our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On August 1, 2012, the arbitrator stayed all proceedings to allow the plaintiff time to obtain new counsel. The plaintiff has since obtained new counsel and the arbitrator has continued the stay to allow our legal counsel and the plaintiff’s new counsel to work out some final details regarding documents and property previously held by the plaintiff’s former counsel. Based on our current assessment, we do not expect its outcome to have a material adverse effect on our business, financial condition and results of operations.</w:t>
      </w:r>
    </w:p>
    <w:p>
      <w:pPr>
        <w:spacing w:after="0" w:line="10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may become involved in various other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common stock is traded on the Jasdaq Market under the symbol “4875” and on the Nasdaq Global Market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60" w:type="dxa"/>
            <w:vAlign w:val="bottom"/>
            <w:gridSpan w:val="2"/>
          </w:tcPr>
          <w:p>
            <w:pPr>
              <w:ind w:left="440"/>
              <w:spacing w:after="0"/>
              <w:rPr>
                <w:sz w:val="20"/>
                <w:szCs w:val="20"/>
                <w:color w:val="auto"/>
              </w:rPr>
            </w:pPr>
            <w:r>
              <w:rPr>
                <w:rFonts w:ascii="Arial" w:cs="Arial" w:eastAsia="Arial" w:hAnsi="Arial"/>
                <w:sz w:val="18"/>
                <w:szCs w:val="18"/>
                <w:color w:val="auto"/>
                <w:w w:val="91"/>
              </w:rPr>
              <w:t>The following table sets forth the high and low sale prices per share of our common stock as reported on the Nasdaq Global Market.</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340" w:type="dxa"/>
            <w:vAlign w:val="bottom"/>
            <w:gridSpan w:val="4"/>
          </w:tcPr>
          <w:p>
            <w:pPr>
              <w:ind w:left="280"/>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340" w:type="dxa"/>
            <w:vAlign w:val="bottom"/>
            <w:gridSpan w:val="4"/>
          </w:tcPr>
          <w:p>
            <w:pPr>
              <w:ind w:left="200"/>
              <w:spacing w:after="0"/>
              <w:rPr>
                <w:sz w:val="20"/>
                <w:szCs w:val="20"/>
                <w:color w:val="auto"/>
              </w:rPr>
            </w:pPr>
            <w:r>
              <w:rPr>
                <w:rFonts w:ascii="Arial" w:cs="Arial" w:eastAsia="Arial" w:hAnsi="Arial"/>
                <w:sz w:val="18"/>
                <w:szCs w:val="18"/>
                <w:b w:val="1"/>
                <w:bCs w:val="1"/>
                <w:color w:val="auto"/>
              </w:rPr>
              <w:t>Stock Price</w:t>
            </w:r>
          </w:p>
        </w:tc>
        <w:tc>
          <w:tcPr>
            <w:tcW w:w="0" w:type="dxa"/>
            <w:vAlign w:val="bottom"/>
          </w:tcPr>
          <w:p>
            <w:pPr>
              <w:spacing w:after="0"/>
              <w:rPr>
                <w:sz w:val="1"/>
                <w:szCs w:val="1"/>
                <w:color w:val="auto"/>
              </w:rPr>
            </w:pPr>
          </w:p>
        </w:tc>
      </w:tr>
      <w:tr>
        <w:trPr>
          <w:trHeight w:val="212"/>
        </w:trPr>
        <w:tc>
          <w:tcPr>
            <w:tcW w:w="10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December 31, 2011</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High</w:t>
            </w: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8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$5.90</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spacing w:after="0"/>
              <w:rPr>
                <w:sz w:val="20"/>
                <w:szCs w:val="20"/>
                <w:color w:val="auto"/>
              </w:rPr>
            </w:pPr>
            <w:r>
              <w:rPr>
                <w:rFonts w:ascii="Arial" w:cs="Arial" w:eastAsia="Arial" w:hAnsi="Arial"/>
                <w:sz w:val="18"/>
                <w:szCs w:val="18"/>
                <w:color w:val="auto"/>
                <w:w w:val="84"/>
              </w:rPr>
              <w:t>$2.72</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$3.08</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spacing w:after="0"/>
              <w:rPr>
                <w:sz w:val="20"/>
                <w:szCs w:val="20"/>
                <w:color w:val="auto"/>
              </w:rPr>
            </w:pPr>
            <w:r>
              <w:rPr>
                <w:rFonts w:ascii="Arial" w:cs="Arial" w:eastAsia="Arial" w:hAnsi="Arial"/>
                <w:sz w:val="18"/>
                <w:szCs w:val="18"/>
                <w:color w:val="auto"/>
                <w:w w:val="84"/>
              </w:rPr>
              <w:t>$2.44</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2012</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$3.38</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spacing w:after="0"/>
              <w:rPr>
                <w:sz w:val="20"/>
                <w:szCs w:val="20"/>
                <w:color w:val="auto"/>
              </w:rPr>
            </w:pPr>
            <w:r>
              <w:rPr>
                <w:rFonts w:ascii="Arial" w:cs="Arial" w:eastAsia="Arial" w:hAnsi="Arial"/>
                <w:sz w:val="18"/>
                <w:szCs w:val="18"/>
                <w:color w:val="auto"/>
                <w:w w:val="84"/>
              </w:rPr>
              <w:t>$3.95</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$2.45</w:t>
            </w:r>
          </w:p>
        </w:tc>
        <w:tc>
          <w:tcPr>
            <w:tcW w:w="8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spacing w:after="0"/>
              <w:rPr>
                <w:sz w:val="20"/>
                <w:szCs w:val="20"/>
                <w:color w:val="auto"/>
              </w:rPr>
            </w:pPr>
            <w:r>
              <w:rPr>
                <w:rFonts w:ascii="Arial" w:cs="Arial" w:eastAsia="Arial" w:hAnsi="Arial"/>
                <w:sz w:val="18"/>
                <w:szCs w:val="18"/>
                <w:color w:val="auto"/>
                <w:w w:val="84"/>
              </w:rPr>
              <w:t>$2.19</w:t>
            </w:r>
          </w:p>
        </w:tc>
        <w:tc>
          <w:tcPr>
            <w:tcW w:w="8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filing there were approximately 6,300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never declared or paid any cash dividends on our capital stock, and we do not anticipate paying any cash dividends in the foreseeable future. We expect to retain our future earnings, if any, to fund the growth and development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March 23, 2011, we consummated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approximately $7.7 million, after underwriter discount and underwriter expenses and no warrants exercised.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Daily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issued to Aspire in consideration of entering into the agreement. Our net proceeds will depend on the frequency and number of shares of our common stock sold to Aspire and the per share purchase price of each transaction. As of December 31, 2012, the Company had completed sales to Aspire totaling 856,060 shares of common stock at prices ranging from $1.65 to $1.93 per share, generating gross proceeds of $1.5 million. Between August 21, 2012 and the date of this report, we have generated proceeds of $3.0 million under the Common Stock Purchase Agreement with Aspire including proceeds of $1.5 million on the sale 800,000 shares of our common stock subsequent to December 31, 2012.</w:t>
      </w:r>
    </w:p>
    <w:p>
      <w:pPr>
        <w:spacing w:after="0" w:line="10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have used and intend to continue to use the net proceeds from the above transactions to fund our product development programs and for general corporate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February 8, 2005, which is the date our common stock first began trading on the Hercules Market of the Osaka Securities Exchange, to two indices: the Hercules Total Index and the Hercules Standard Index., through December 31, 2009. The graph assumes an initial investment of $100 on February 8, 2005,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124460</wp:posOffset>
            </wp:positionV>
            <wp:extent cx="5196840" cy="3319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9684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2/8/2005</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12/30/2005</w:t>
            </w:r>
          </w:p>
        </w:tc>
        <w:tc>
          <w:tcPr>
            <w:tcW w:w="5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12/29/2006</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12/28/2007</w:t>
            </w:r>
          </w:p>
        </w:tc>
        <w:tc>
          <w:tcPr>
            <w:tcW w:w="5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12/30/2008</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12/30/2009</w:t>
            </w:r>
          </w:p>
        </w:tc>
        <w:tc>
          <w:tcPr>
            <w:tcW w:w="100" w:type="dxa"/>
            <w:vAlign w:val="bottom"/>
          </w:tcPr>
          <w:p>
            <w:pPr>
              <w:spacing w:after="0"/>
              <w:rPr>
                <w:sz w:val="19"/>
                <w:szCs w:val="19"/>
                <w:color w:val="auto"/>
              </w:rPr>
            </w:pPr>
          </w:p>
        </w:tc>
      </w:tr>
      <w:tr>
        <w:trPr>
          <w:trHeight w:val="212"/>
        </w:trPr>
        <w:tc>
          <w:tcPr>
            <w:tcW w:w="28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MediciNova, Inc.</w:t>
            </w: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Hercules Total Index</w:t>
            </w:r>
          </w:p>
        </w:tc>
        <w:tc>
          <w:tcPr>
            <w:tcW w:w="1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153</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90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Hercules Standard Index</w:t>
            </w:r>
          </w:p>
        </w:tc>
        <w:tc>
          <w:tcPr>
            <w:tcW w:w="1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0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right="420" w:hanging="212"/>
        <w:spacing w:after="0" w:line="268"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Due to the closure of the Hercules Market of the Osaka Securities Exchange and the inability to retrieve our stock’s performance from the Hercules Market in 2010, the following graph illustrates a comparison of the total cumulative stockholder return on our common stock since March 31, 2010, to the Jasdaq Market (total index). The graph assumes an initial investment of $100 on March 31, 2010,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124460</wp:posOffset>
            </wp:positionV>
            <wp:extent cx="5196840" cy="3310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9684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3/31/2010</w:t>
            </w: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12/30/2010</w:t>
            </w: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12/30/2011</w:t>
            </w:r>
          </w:p>
        </w:tc>
        <w:tc>
          <w:tcPr>
            <w:tcW w:w="7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12/30/2012</w:t>
            </w:r>
          </w:p>
        </w:tc>
        <w:tc>
          <w:tcPr>
            <w:tcW w:w="100" w:type="dxa"/>
            <w:vAlign w:val="bottom"/>
          </w:tcPr>
          <w:p>
            <w:pPr>
              <w:spacing w:after="0"/>
              <w:rPr>
                <w:sz w:val="19"/>
                <w:szCs w:val="19"/>
                <w:color w:val="auto"/>
              </w:rPr>
            </w:pPr>
          </w:p>
        </w:tc>
      </w:tr>
      <w:tr>
        <w:trPr>
          <w:trHeight w:val="212"/>
        </w:trPr>
        <w:tc>
          <w:tcPr>
            <w:tcW w:w="60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MediciNova, Inc.</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Jasdaq Total Index</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72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19"/>
                <w:szCs w:val="19"/>
                <w:color w:val="auto"/>
              </w:rPr>
            </w:pP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20" w:right="420" w:hanging="212"/>
        <w:spacing w:after="0" w:line="268"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graph illustrates a comparison of the total cumulative stockholder return on our common stock since December 7, 2006 which is the date our common stock first began trading on the Nasdaq Global Market, to two indices: the NASDAQ Composite Index and the NASDAQ Biotechnology Index. The graph assumes an initial investment of $100 on December 7, 2006,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226175" cy="3387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2617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right="420" w:hanging="212"/>
        <w:spacing w:after="0" w:line="268"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12/7/2006</w:t>
            </w:r>
          </w:p>
        </w:tc>
        <w:tc>
          <w:tcPr>
            <w:tcW w:w="1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12/31/2007</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12/31/2008</w:t>
            </w: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12/31/2009</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12/31/2010</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12/30/2011</w:t>
            </w: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12/31/2012</w:t>
            </w:r>
          </w:p>
        </w:tc>
        <w:tc>
          <w:tcPr>
            <w:tcW w:w="100" w:type="dxa"/>
            <w:vAlign w:val="bottom"/>
          </w:tcPr>
          <w:p>
            <w:pPr>
              <w:spacing w:after="0"/>
              <w:rPr>
                <w:sz w:val="19"/>
                <w:szCs w:val="19"/>
                <w:color w:val="auto"/>
              </w:rPr>
            </w:pPr>
          </w:p>
        </w:tc>
      </w:tr>
      <w:tr>
        <w:trPr>
          <w:trHeight w:val="212"/>
        </w:trPr>
        <w:tc>
          <w:tcPr>
            <w:tcW w:w="34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MediciNova, Inc.</w:t>
            </w: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NASDAQ Biotechnologies Index</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50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74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7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4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r>
      <w:tr>
        <w:trPr>
          <w:trHeight w:val="363"/>
        </w:trPr>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2"/>
          </w:tcPr>
          <w:p>
            <w:pPr>
              <w:jc w:val="right"/>
              <w:ind w:right="203"/>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4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(17,734)</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(10,961)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16,522,929</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14,813,156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As of December 31,</w:t>
            </w:r>
          </w:p>
        </w:tc>
      </w:tr>
      <w:tr>
        <w:trPr>
          <w:trHeight w:val="212"/>
        </w:trPr>
        <w:tc>
          <w:tcPr>
            <w:tcW w:w="4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7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4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cash equivalents and current investment securities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   4,011</w:t>
            </w:r>
          </w:p>
        </w:tc>
        <w:tc>
          <w:tcPr>
            <w:tcW w:w="4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15,093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12,010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19,568</w:t>
            </w:r>
          </w:p>
        </w:tc>
        <w:tc>
          <w:tcPr>
            <w:tcW w:w="4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30,787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5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(296,234)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(285,272)</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14,880</w:t>
            </w:r>
          </w:p>
        </w:tc>
        <w:tc>
          <w:tcPr>
            <w:tcW w:w="40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23,498</w:t>
            </w:r>
          </w:p>
        </w:tc>
      </w:tr>
      <w:tr>
        <w:trPr>
          <w:trHeight w:val="356"/>
        </w:trPr>
        <w:tc>
          <w:tcPr>
            <w:tcW w:w="4800" w:type="dxa"/>
            <w:vAlign w:val="bottom"/>
          </w:tcPr>
          <w:p>
            <w:pPr>
              <w:spacing w:after="0"/>
              <w:rPr>
                <w:sz w:val="24"/>
                <w:szCs w:val="24"/>
                <w:color w:val="auto"/>
              </w:rPr>
            </w:pPr>
          </w:p>
        </w:tc>
        <w:tc>
          <w:tcPr>
            <w:tcW w:w="4320" w:type="dxa"/>
            <w:vAlign w:val="bottom"/>
          </w:tcPr>
          <w:p>
            <w:pPr>
              <w:jc w:val="right"/>
              <w:ind w:right="3232"/>
              <w:spacing w:after="0"/>
              <w:rPr>
                <w:sz w:val="20"/>
                <w:szCs w:val="20"/>
                <w:color w:val="auto"/>
              </w:rPr>
            </w:pPr>
            <w:r>
              <w:rPr>
                <w:rFonts w:ascii="Arial" w:cs="Arial" w:eastAsia="Arial" w:hAnsi="Arial"/>
                <w:sz w:val="18"/>
                <w:szCs w:val="18"/>
                <w:color w:val="auto"/>
              </w:rPr>
              <w:t>53</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5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are a development stage biopharmaceutical company focused on acquiring and developing novel, small molecule therapeutics for the treatment of serious diseases with unmet medical needs with a commercial focus on the U.S. market. We were incorporated in Delaware in September 2000.</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incurred significant net losses since our inception. For the year ended December 31, 2012, we had a net loss of $11.0 million. At December 31, 2012, from inception, our accumulated deficit was $296.2 million, including $50.4 million of non-cash stock-based compensation charges.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 As of December 31, 2012, we had available cash and cash equivalents of $4.0 million and working capital of $3.4 million. We expect to have approximately $3 million in available cash as of March 31, 2013, and, assuming we raise additional capital, we expect to spend approximately $6 million from April 1, 2013 through December 31, 2013 to execute our strategic plan and fund operations. As of the date of this report, we have working capital sufficient to fund operations through June 30, 2013. These factors raise substantial doubt about the Company’s ability to continue as a going concern.</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Between August 21, 2012 and the date of this report we have generated proceeds of $3.0 million under the Common Stock Purchase Agreement with Aspire Capital Fund LLC (“Aspire”) including proceeds of $1.5 million on the sale 800,000 shares of our common stock subsequent to December 31, 2012. We have the right, subject to the terms of the Common Stock Purchase Agreement, to cause Aspire to acquire up to 3,231,096 shares for total gross proceeds not to exceed $20 million (including the 2,019,696 shares issued or sold to Aspire to date for $3.0 million), subject to daily dollar limitations and subject to the maximum dollar amount we can sell from time to time under our registration statement on Form S-3. We expect to sell additional shares under this agreement during 2013. We are also pursuing other opportunities to raise capital through the sale of our common stock or through other strategic initiatives. There can be no assurances that there will be adequate financing available to us on acceptable terms, or at all. If the Company is unable to obtain additional financing, we may have to sell one or more of our programs or cease operations.</w:t>
      </w:r>
    </w:p>
    <w:p>
      <w:pPr>
        <w:spacing w:after="0" w:line="105" w:lineRule="exact"/>
        <w:rPr>
          <w:sz w:val="20"/>
          <w:szCs w:val="20"/>
          <w:color w:val="auto"/>
        </w:rPr>
      </w:pPr>
    </w:p>
    <w:p>
      <w:pPr>
        <w:ind w:right="200" w:firstLine="456"/>
        <w:spacing w:after="0" w:line="235" w:lineRule="auto"/>
        <w:rPr>
          <w:sz w:val="20"/>
          <w:szCs w:val="20"/>
          <w:color w:val="auto"/>
        </w:rPr>
      </w:pPr>
      <w:r>
        <w:rPr>
          <w:rFonts w:ascii="Arial" w:cs="Arial" w:eastAsia="Arial" w:hAnsi="Arial"/>
          <w:sz w:val="18"/>
          <w:szCs w:val="18"/>
          <w:color w:val="auto"/>
        </w:rPr>
        <w:t>We are currently focusing our development activities on MN-166, an ibudilast-based drug candidate for the treatment of neurological disorders, and obtaining additional funding to advance clinical trial development of MN-221, a novel, highly selective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agonist being developed for the treatment of acute exacerbations of asthma and COPD.</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Including MN-166 and MN-221 and our other product development programs, we have acquired licenses to eight compounds for the development of ten product candidates which include clinical development for the treatment of acute exacerbations of asthma, MS and other central nervous system (CNS) disorders, bronchial asthma, interstitial cystitis (IC), solid tumor cancers, generalized anxiety disorders/insomnia, preterm labor and urinary incontinence.</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entered into an agreement to form a joint venture company with Zhejiang Medicine Co., Ltd. and Beijing Make-Friend Medicine Technology Co., Ltd. effective September 27, 2011. The joint venture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provides for the joint venture company, Zhejiang Sunmy Bio-Medical Co., Ltd. (“Zhejiang Sunmy”), to develop and commercialize MN-221 in China. A sublicense will be required under which Zhejiang Sunmy will license MN-221 from us. In accordance with the joint venture agreement, in March 2012 we paid $680,000 for our 30% interest in Zhejiang Sunmy. The other parties to the joint venture agreement provided funding for their combined 70% interest. We have not entered into the sublicense of MN-221 with the joint venture company as of the date of this report. There is no assurance the sublicense will be executed and there is no assurance that Zhejiang Sunmy will be able to proceed with the development of MN-221 in China. A. 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December 31, 2012 we reflect a long-term asset on our consolidated balance sheet which represents our investment in Zhejiang Sunmy, net of our portion of any generated loss or income.</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 companies who seek late stage product candidates, such as MN-221, to support further clinical development and product commercialization. Depending on decisions we may make as to further clinical development, we may seek to raise addition capital. We may also pursue potential partnerships and potential acquirers of license rights to our programs in markets outside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Firm Commitment Public Offering</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March 2011 we completed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 which may require cash settlement.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May 5, 2011, we entered into an at-the-market (or ATM) issuance sales agreement, or sales agreement, with McNicoll, Lewis &amp; Vlak LLC, or MLV, pursuant to which we could issue and sell shares of our common stock having an aggregate offering price of up to $15.0 million from time to time through MLV as our sales agent. The issuance and sale of these shares by us under the sales agreement, if any, would be subject to the effectiveness of our shelf registration statement on Form S-3 (File No. 333-163116), initially filed with the Securities and Exchange Commission on November 13, 2009. Effective October 23, 2011, we terminated the ATM between us and MLV. No shares of common stock were issued under the ATM.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October 2011, pursuant to a stock purchase agreement by and between us and Kissei Pharmaceutical Co., Ltd., or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owned less than three percent of our outstanding voting stock. Each share of the Series B Preferred Stock is convertible into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Under the terms of the agreement, we are responsible for all costs to be incurred in the performance of these services. As such, we are recognizing as revenue the $2.5 million payment as the research and development services are performed. Certain of these research and development services were completed in 2012 and the remaining services are expected to be delivered and completed after 2013.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Daily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issued to Aspire in consideration of entering into the agreement. Our net proceeds will depend on the frequency and number of shares of our common stock sold to Aspire and the per share purchase price of each transaction. As of December 31, 2012, the Company had completed sales to Aspire totaling 856,060 shares of common stock at prices ranging from $1.65 to $1.93 per share, generating gross proceeds of $1.5 million. Between August 21, 2012 and the date of this report, we have generated proceeds of $3.0 million under the Common Stock Purchase Agreement with Aspire including proceeds of $1.5 million on the sale 800,000 shares of our common stock subsequent to December 31, 2012.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of Corporate Headquarters</w:t>
      </w:r>
    </w:p>
    <w:p>
      <w:pPr>
        <w:spacing w:after="0" w:line="158"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We leased approximately 5,089 square feet of office space at our headquarters at 4350 La Jolla Village Drive, Suite 950, San Diego, California under a lease that expired on February 28, 2013. On February 27, 2013, we entered into a sublease agreement effective March 1, 2013 (the “Sublease”) with Denali Advisors, LLC, the sublessor, to which Irvine Company, the master landlord, has provided its consent. The Sublease is for 5,219, square feet, and is for the Company’s new headquarters located at 4275 Executive Square, Suite 650, La Jolla, California, 92037. The Sublease has a term of 4 years and 9 months and provides that the Company will pay Irvine Company a monthly base rent of $10,699 for the premises during the first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recognized approximately $803,000 of revenue for the year ending December 31, 2012 and no revenues in the two-year period ended December 31, 2011. Revenue was recorded in 2012 related to the Kissei services agreement based on the development services we performed during that period. All expenses incurred during 2012 related to these services were recorded as research and development expenses. Other than the revenue recorded in 2012, our revenues to date have been from development services revenues under service agreements pursuant to which we billed consulting fees and our pass-through clinical contract costs. The primary costs associated with these revenues were clinical contract costs we incurred and passed-through to our customers.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and development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and development costs are expensed as incurred.</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76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8"/>
              </w:rPr>
              <w:t>Product</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198"/>
        </w:trPr>
        <w:tc>
          <w:tcPr>
            <w:tcW w:w="5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Candidate</w:t>
            </w:r>
          </w:p>
        </w:tc>
        <w:tc>
          <w:tcPr>
            <w:tcW w:w="960" w:type="dxa"/>
            <w:vAlign w:val="bottom"/>
          </w:tcPr>
          <w:p>
            <w:pPr>
              <w:spacing w:after="0"/>
              <w:rPr>
                <w:sz w:val="17"/>
                <w:szCs w:val="17"/>
                <w:color w:val="auto"/>
              </w:rPr>
            </w:pPr>
          </w:p>
        </w:tc>
        <w:tc>
          <w:tcPr>
            <w:tcW w:w="670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Disease/Indication</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72"/>
              <w:spacing w:after="0" w:line="198" w:lineRule="exact"/>
              <w:rPr>
                <w:sz w:val="20"/>
                <w:szCs w:val="20"/>
                <w:color w:val="auto"/>
              </w:rPr>
            </w:pPr>
            <w:r>
              <w:rPr>
                <w:rFonts w:ascii="Arial" w:cs="Arial" w:eastAsia="Arial" w:hAnsi="Arial"/>
                <w:sz w:val="18"/>
                <w:szCs w:val="18"/>
                <w:b w:val="1"/>
                <w:bCs w:val="1"/>
                <w:color w:val="auto"/>
              </w:rPr>
              <w:t>2012</w:t>
            </w: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line="198"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22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MN-221</w:t>
            </w:r>
          </w:p>
        </w:tc>
        <w:tc>
          <w:tcPr>
            <w:tcW w:w="67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Acute exacerbations of asthma/COPD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3,578</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7"/>
                <w:szCs w:val="17"/>
                <w:color w:val="auto"/>
              </w:rPr>
            </w:pPr>
          </w:p>
        </w:tc>
      </w:tr>
      <w:tr>
        <w:trPr>
          <w:trHeight w:val="208"/>
        </w:trPr>
        <w:tc>
          <w:tcPr>
            <w:tcW w:w="2260" w:type="dxa"/>
            <w:vAlign w:val="bottom"/>
            <w:gridSpan w:val="3"/>
          </w:tcPr>
          <w:p>
            <w:pPr>
              <w:spacing w:after="0"/>
              <w:rPr>
                <w:sz w:val="20"/>
                <w:szCs w:val="20"/>
                <w:color w:val="auto"/>
              </w:rPr>
            </w:pPr>
            <w:r>
              <w:rPr>
                <w:rFonts w:ascii="Arial" w:cs="Arial" w:eastAsia="Arial" w:hAnsi="Arial"/>
                <w:sz w:val="18"/>
                <w:szCs w:val="18"/>
                <w:color w:val="auto"/>
              </w:rPr>
              <w:t>MN-166</w:t>
            </w:r>
          </w:p>
        </w:tc>
        <w:tc>
          <w:tcPr>
            <w:tcW w:w="6700" w:type="dxa"/>
            <w:vAlign w:val="bottom"/>
            <w:gridSpan w:val="3"/>
          </w:tcPr>
          <w:p>
            <w:pPr>
              <w:ind w:left="40"/>
              <w:spacing w:after="0"/>
              <w:rPr>
                <w:sz w:val="20"/>
                <w:szCs w:val="20"/>
                <w:color w:val="auto"/>
              </w:rPr>
            </w:pPr>
            <w:r>
              <w:rPr>
                <w:rFonts w:ascii="Arial" w:cs="Arial" w:eastAsia="Arial" w:hAnsi="Arial"/>
                <w:sz w:val="18"/>
                <w:szCs w:val="18"/>
                <w:color w:val="auto"/>
              </w:rPr>
              <w:t>Neurological disorders including opioid withdrawal, methamphetamine addiction,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chronic MOH pain and MS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r>
      <w:tr>
        <w:trPr>
          <w:trHeight w:val="218"/>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MN-001</w:t>
            </w:r>
          </w:p>
        </w:tc>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Bronchial asthma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MN-029</w:t>
            </w:r>
          </w:p>
        </w:tc>
        <w:tc>
          <w:tcPr>
            <w:tcW w:w="6700" w:type="dxa"/>
            <w:vAlign w:val="bottom"/>
            <w:gridSpan w:val="3"/>
          </w:tcPr>
          <w:p>
            <w:pPr>
              <w:ind w:left="40"/>
              <w:spacing w:after="0"/>
              <w:rPr>
                <w:sz w:val="20"/>
                <w:szCs w:val="20"/>
                <w:color w:val="auto"/>
              </w:rPr>
            </w:pPr>
            <w:r>
              <w:rPr>
                <w:rFonts w:ascii="Arial" w:cs="Arial" w:eastAsia="Arial" w:hAnsi="Arial"/>
                <w:sz w:val="18"/>
                <w:szCs w:val="18"/>
                <w:color w:val="auto"/>
              </w:rPr>
              <w:t>Solid tumors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MN-001</w:t>
            </w:r>
          </w:p>
        </w:tc>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Interstitial cystitis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MN-246</w:t>
            </w:r>
          </w:p>
        </w:tc>
        <w:tc>
          <w:tcPr>
            <w:tcW w:w="6700" w:type="dxa"/>
            <w:vAlign w:val="bottom"/>
            <w:gridSpan w:val="3"/>
          </w:tcPr>
          <w:p>
            <w:pPr>
              <w:ind w:left="40"/>
              <w:spacing w:after="0"/>
              <w:rPr>
                <w:sz w:val="20"/>
                <w:szCs w:val="20"/>
                <w:color w:val="auto"/>
              </w:rPr>
            </w:pPr>
            <w:r>
              <w:rPr>
                <w:rFonts w:ascii="Arial" w:cs="Arial" w:eastAsia="Arial" w:hAnsi="Arial"/>
                <w:sz w:val="18"/>
                <w:szCs w:val="18"/>
                <w:color w:val="auto"/>
              </w:rPr>
              <w:t>Urinary incontinence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MN-447</w:t>
            </w:r>
          </w:p>
        </w:tc>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Thrombotic disorders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MN-305</w:t>
            </w:r>
          </w:p>
        </w:tc>
        <w:tc>
          <w:tcPr>
            <w:tcW w:w="6700" w:type="dxa"/>
            <w:vAlign w:val="bottom"/>
            <w:gridSpan w:val="3"/>
          </w:tcPr>
          <w:p>
            <w:pPr>
              <w:ind w:left="40"/>
              <w:spacing w:after="0"/>
              <w:rPr>
                <w:sz w:val="20"/>
                <w:szCs w:val="20"/>
                <w:color w:val="auto"/>
              </w:rPr>
            </w:pPr>
            <w:r>
              <w:rPr>
                <w:rFonts w:ascii="Arial" w:cs="Arial" w:eastAsia="Arial" w:hAnsi="Arial"/>
                <w:sz w:val="18"/>
                <w:szCs w:val="18"/>
                <w:color w:val="auto"/>
              </w:rPr>
              <w:t>Generalized anxiety disorder/insomnia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MN-221</w:t>
            </w:r>
          </w:p>
        </w:tc>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Preterm labor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color w:val="auto"/>
              </w:rPr>
              <w:t>MN-462</w:t>
            </w:r>
          </w:p>
        </w:tc>
        <w:tc>
          <w:tcPr>
            <w:tcW w:w="6700" w:type="dxa"/>
            <w:vAlign w:val="bottom"/>
            <w:gridSpan w:val="3"/>
          </w:tcPr>
          <w:p>
            <w:pPr>
              <w:ind w:left="40"/>
              <w:spacing w:after="0"/>
              <w:rPr>
                <w:sz w:val="20"/>
                <w:szCs w:val="20"/>
                <w:color w:val="auto"/>
              </w:rPr>
            </w:pPr>
            <w:r>
              <w:rPr>
                <w:rFonts w:ascii="Arial" w:cs="Arial" w:eastAsia="Arial" w:hAnsi="Arial"/>
                <w:sz w:val="18"/>
                <w:szCs w:val="18"/>
                <w:color w:val="auto"/>
              </w:rPr>
              <w:t>Thrombotic disorders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Unallocated</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r>
      <w:tr>
        <w:trPr>
          <w:trHeight w:val="222"/>
        </w:trPr>
        <w:tc>
          <w:tcPr>
            <w:tcW w:w="2260" w:type="dxa"/>
            <w:vAlign w:val="bottom"/>
            <w:gridSpan w:val="3"/>
          </w:tcPr>
          <w:p>
            <w:pPr>
              <w:spacing w:after="0"/>
              <w:rPr>
                <w:sz w:val="20"/>
                <w:szCs w:val="20"/>
                <w:color w:val="auto"/>
              </w:rPr>
            </w:pPr>
            <w:r>
              <w:rPr>
                <w:rFonts w:ascii="Arial" w:cs="Arial" w:eastAsia="Arial" w:hAnsi="Arial"/>
                <w:sz w:val="18"/>
                <w:szCs w:val="18"/>
                <w:color w:val="auto"/>
                <w:w w:val="86"/>
              </w:rPr>
              <w:t>Total research and development</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We are currently focusing our development activities on MN-166, an ibudilast-based drug candidate for the treatment of neurological disorders, and obtaining additional funding to advance clinical trial development of MN-221, a novel, highly selective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-adrenergic receptor agonist being developed for the treatment of acute exacerbations of asthma and chronic obstructive pulmonary disease, or COPD. In May 2012 we announced the preliminary trial results of the Phase 2 MN-221-CL-007 clinical trial for the treatment of acute exacerbations of asthma, and in August 2012 we announced preliminary trial results of an additional Phase 1b/2a COPD MN-221—CL-012 clinical trial. On October 22, 2012 we met with the FDA to review future development of this product candidate. The FDA identified the risk/benefit profile of MN-221 as a focal point for further development of MN-221 and advised that a clinical outcome, such as a reduction in hospitalizations, would need to be a pivotal trial primary endpoint. We have decided that future MN-221 development will be designed according to the feedback received from the FDA. Our research and development expenses may increase in connection with new clinical trials related to MN-166. We have determined that future MN-221 clinical trial development will be partner-dependent from a funding perspective.</w:t>
      </w:r>
    </w:p>
    <w:p>
      <w:pPr>
        <w:spacing w:after="0" w:line="11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will continue to limit our expenditures on the remainder of our existing product candidates to only those activities deemed necessary to maintain our license rights or maximize the value of such product candidates while pursuing a variety of initiatives to monetize such product development. As a result, we expect that research and development expenses will remain low in future periods for our other product candidates.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income primarily consists of interest earned on our cash, cash equivalents and investments. In 2011, other expense primarily consists of accretion related to the Convertible Notes and the amortization of debt issuance costs paid to third parties and $1.6 million of interest on our debt. In 2012, other expense primarily consists of losses from the joint venture and net foreign exchange losses related to vendor invoices denominated in foreign currencies. We held no debt and had no interest expense in 2012.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significant accounting policies are more fully described in Note 1 to our consolidated financial statements included elsewhere in this Annual Report on Form 10-K. Our most critical accounting estimates include our recognition of revenue which impacts revenue and deferred revenue, of research and development expenses which impacts operating expenses and accrued liabilities, and stock-based compensation which impacts operating expenses.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The $2.5M was initially recorded as deferred revenue. Revenue was recorded in 2012 as the research and development services were delivered.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Research and development costs are expensed as incurred based on certain contractual factors such as estimates of work performed, milestones achieved, patient enrollment and experience with similar contracts. As actual costs become known, accruals are adjusted. To date, our accrued research and development expenses have not differed significantly from the actual expenses incurred.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Amended and Restated 2004 Stock Incentive Plan. Additionally, we have outstanding stock options that were granted under our 2000 General Stock Incentive Plan. The benefits provided under both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 based stock options, the vesting of which is subsequently based on a determination made by the Company’s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1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Valuation of our stock option grants require us to estimate certain variables, such as estimated volatility and expected life. If any of our estimations change, such changes could have a significant impact on the stock-based compensation amount we recognize.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5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We recorded goodwill and IPR&amp;D of $9.6 million and $4.8 million, respectively, as of December 31, 2012 and 2011.</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annual test date for goodwill and purchased indefinite life intangibles impairment is December 31 or more frequently if we believe indicators of impairment are present.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2011, the Financial Accounting Standards Board, or FASB, issued updated accounting guidance that clarifies existing fair value measurements and disclosures, and eliminates differences between GAAP and International Financial Reporting Standards to make convergence guidance more understandable. This guidance is effective for interim and annual periods beginning after December 15, 2011. The adoption of this guidance did not have a material impact on the Company’s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2011, the FASB, issued guidance to simplify how entities test for goodwill impairment. The updated guidance permits an assessment of qualitative factors to determine whether it is more likely than not that the fair value of a reporting unit in which goodwill resides is less than its carrying value. For reporting units in which this assessment concludes it is more likely than not that the fair value is more than its carrying value, the updated guidance eliminates the requirement to perform further goodwill impairment testing. This new guidance is effective for fiscal years beginning after December 15, 2011. The adoption of this guidance did not have a material impact on the Company’s consolidated financial statements.</w:t>
      </w:r>
    </w:p>
    <w:p>
      <w:pPr>
        <w:spacing w:after="0" w:line="102"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Effective January 1, 2012, the Company adopted guidance issued by the FASB, concerning presentation and disclosure only for the presentation of comprehensive (loss) income. The adoption of this guidance did not have a material impact on the Company’s consolidated financial position or results of operations, other than its impact on the presentation of comprehensive (loss) income.</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August 2012, the FASB issued updated guidance to 2011 guidance that permits an assessment of the qualitative factors to determine whether it is more likely than not that the fair value of a reporting unit in which goodwill resides is less than its carrying value. This updated guidance is effective for annual and interim impairment tests performed for fiscal years beginning after September 15, 2012 with early adoption permitted. The adoption of this standard is not expected to have a material impact on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2012 and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Revenue for the year ended December 31, 2012 was approximately $803,000. There was no revenue for the year ended December 31, 2011. The revenue recorded in 2012 related to the development services we performed under the Kissei services agreement during that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Research and development expenses for the year ended December 31, 2012 were $5.0 million, a decrease of $2.8 million compared to $7.8 million for the year ended December 31, 2011. This decrease in research and development expenses primarily related to a decrease of $3.4 million in spending on MN-221 primarily due to the completion of the CL-007 clinical trial in March 2012, partially offset by an increase in spending of $1.3 million for our MN-221—CL-012 clinical trial, and decreases in unallocated employee compensation, occupancy and legal costs totaling $0.6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 and administrative expenses were $6.7 million for the year ended December 31, 2012, a decrease of $1.6 million compared to $8.3 million for the year ended December 31, 2011. This decrease in general and administrative expenses was due primarily to $1.2 million decrease in employee compensation expense including $0.6 million related to stock-based compensation, and a decrease in professional legal and accounting fees of $0.4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expense for the year ended December 31, 2012 was approximately $30,000, as compared to approximately $80,000 for the year ended December 31, 2011. In 2011, other expense primarily consisted of accretion related to convertible notes and amortization of debt issuance costs paid to third parties. In 2012, other expense consisted of losses from the joint venture accounted for under the equity method according to our percentage ownership, and net foreign exchange losses related to vendor invoices denominated in foreign currencies.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Interest expense for the year ended December 30, 2011 was $1.6 million and consisted of interest on our debt under the effective interest method and write-off of debt related costs pursuant to the early repayment of our debt with Oxford. In 2012, we held no debt and had no interest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income for the year ended December 31, 2012 was approximately $25,000, as compared to approximately $60,000 for the year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 The decrease is due to a decrease in interest income on lower cash equivalents.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incurred losses of $11.0 million and $17.7 million for the years ended December 31, 2012, and 2011 respectively. At December 31, 2012, from inception, our accumulated deficit was $296.2 million, including $50.4 million of non-cash stock-based compensation charges. We have used net cash of $11.9 million and $13.3 million to fund our operating activities for the years ended December 31, 2012 and 2011,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0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In March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w:t>
      </w:r>
    </w:p>
    <w:p>
      <w:pPr>
        <w:spacing w:after="0" w:line="7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October 2011, pursuant to a stock purchase agreement by and between us and Kissei Pharmaceutical Co., Ltd., or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$7.5 million related to this purchase agreement.</w:t>
      </w:r>
    </w:p>
    <w:p>
      <w:pPr>
        <w:spacing w:after="0" w:line="130"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are responsible for all costs incurred and to be incurred in the performance of these services. The amount received from Kissei, net of the amount recorded as revenue, is included on the balance sheet as deferred revenue and will be recognized as revenue as we perform the remaining services. Revenue recorded in 2012 was $0.8 million and no revenue was recorded in 2011.</w:t>
      </w:r>
    </w:p>
    <w:p>
      <w:pPr>
        <w:spacing w:after="0" w:line="9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Daily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issued to Aspire in consideration of entering into the agreement. Our net proceeds will depend on the frequency and number of shares of our common stock sold to Aspire and the per share purchase price of each transaction. We may, on any business day over the term of the agreement, direct Aspire to purchase up to 50,000 shares, up to a maximum of $500,000 per business day. The purchase price shall be the lower of (i) the lowest sale price of the Company’s common stock on the date of the sale, or (ii) the average of the three lowest closing stock prices during the 12 consecutive business days ending on the business day immediately preceding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purchase date. In addition, we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We initially issued 363,636 shares of our common stock to Aspire as consideration for entering into the agreement. As of December 31, 2012, the Company had completed sales to Aspire totaling 856,060 shares of common stock at prices ranging from $1.65 to $1.93 per share, generating gross proceeds of $1.5 million. Between August 21, 2012 and the date of this report, we have generated proceeds of $3.0 million under the Common Stock Purchase Agreement with Aspire including proceeds of $1.5 million on the sale 800,000 shares of our common stock subsequent to December 31, 2012. The agreement with Aspire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w:t>
      </w:r>
    </w:p>
    <w:p>
      <w:pPr>
        <w:spacing w:after="0" w:line="11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Between August 21, 2012 and the date of this report we have generated proceeds of $3.0 million under the Common Stock Purchase Agreement with Aspire including proceeds of $1.5 million on the sale 800,000 shares of our common stock subsequent to December 31, 2012. We have the right, subject to the terms of the Common Stock Purchase Agreement, to cause Aspire to purchase up to approximately 1,300,000 additional shares for total gross proceeds not to exceed $20 million (including the $3.0 million sold to Aspire to-date) subject to daily dollar limitations and subject to the maximum dollar amount we can sell from time to time under our registration statement on Form S-3. We expect to sell additional shares under this agreement during 2013. We are also pursuing other opportunities to raise capital through the sale of our common stock or through other strategic initiatives. There can be no assurances that there will be adequate financing available to us on acceptable terms, or at all. If the Company is unable to obtain additional financing, we may have to sell one or more of our programs or cease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58"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Contractual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our scheduled long-term contractual obligations that may affect our future liquidity as of December 31, 2012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8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Less than 1</w:t>
            </w:r>
          </w:p>
        </w:tc>
        <w:tc>
          <w:tcPr>
            <w:tcW w:w="100" w:type="dxa"/>
            <w:vAlign w:val="bottom"/>
          </w:tcPr>
          <w:p>
            <w:pPr>
              <w:spacing w:after="0"/>
              <w:rPr>
                <w:sz w:val="18"/>
                <w:szCs w:val="18"/>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1-3</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3-5</w:t>
            </w:r>
          </w:p>
        </w:tc>
        <w:tc>
          <w:tcPr>
            <w:tcW w:w="6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4"/>
              </w:rPr>
              <w:t>More than 5</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Total</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Year</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Years</w:t>
            </w: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1"/>
              </w:rPr>
              <w:t>Years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1"/>
        </w:trPr>
        <w:tc>
          <w:tcPr>
            <w:tcW w:w="5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Research and development services(1)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2,354</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2,350</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2,499</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2,387</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We are responsible for all costs to be incurred in the performance of these services. The estimated remaining costs to be incurred in the performance of all such remaining services are included above.</w:t>
      </w:r>
    </w:p>
    <w:p>
      <w:pPr>
        <w:spacing w:after="0" w:line="45" w:lineRule="exact"/>
        <w:rPr>
          <w:rFonts w:ascii="Arial" w:cs="Arial" w:eastAsia="Arial" w:hAnsi="Arial"/>
          <w:sz w:val="18"/>
          <w:szCs w:val="18"/>
          <w:color w:val="auto"/>
        </w:rPr>
      </w:pPr>
    </w:p>
    <w:p>
      <w:pPr>
        <w:jc w:val="both"/>
        <w:ind w:left="460" w:right="6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perform data collection and analysis and other services in connection with our product development programs. As our payment obligations under these agreements depend upon the progress of our product development programs, we are unable at this time to estimate the future costs we might incur under these agreements.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December 31, 2012,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0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Cash and cash equivalents as of December 31, 2012 were $4.0 million and were primarily invested in money market interest bearing accounts and money market funds. A hypothetical 10% adverse change in the average interest rate on our cash and cash equivalents would have had no material effect on net loss for the year ended December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audited the accompanying consolidated balance sheets of MediciNova, Inc. (a development stage company) as of December 31, 2012 and 2011, and the related consolidated statements of operations and comprehensive loss, stockholders’ equity, and cash flows for the years then ended, and for the period from September 26, 2000 (inception) through December 31, 2012. These financial statements are the responsibility of the Company’s management. Our responsibility is to express an opinion on these financial statements based on our audits. The financial statements for the period January 1, 2009 through December 31, 2010, were audited by other auditors whose report dated March 31, 2011 expressed an unqualified opinion on those statements. The financial statements for the period January 1, 2009 through December 31, 2010 includes total net loss of $40.6 million. Our opinion on the statements of operations and comprehensive loss, stockholders’ equity, and cash flows for the period September 26, 2000 (inception) through December 31, 2012, insofar as it relates to amounts for the period January 1, 2009 through December 31, 2010, is based solely on the report of other auditors.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our opinion, based on our audits and the report of other auditors, the financial statements referred to above present fairly, in all material respects, the consolidated financial position of MediciNova, Inc., (a development stage company) at December 31, 2012 and 2011, and the consolidated results of its operations and its cash flows for the years then ended and the period from September 26, 2000 (inception) through December 31, 2012, in conformity with U.S. generally accepted accounting principles.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As discussed in Note 1 to the consolidated financial statements, the Company has a history of recurring losses from operations and an accumulated deficit that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MediciNova Inc.’s internal control over financial reporting as of December 31, 2012, based on criteria established in Internal Control-Integrated Framework issued by the Committee of Sponsoring Organizations of the Treadway Commission and our report dated March 28, 2013 expressed an unqualified opinion thereon.</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6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4,010,530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15,093,124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411,592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4,422,122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9,600,241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667,204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19,568,041</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30,787,330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5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491,853</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314,652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Current deferred revenue</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4,688,049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7,289,784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9"/>
              </w:rPr>
              <w:t>Preferred stock, $0.01 par value; 3,000,000 and 500,000 shares authorized at December 31, 2012 and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December 31, 2011; 220,000 shares issued at December 31, 2012 and December 31, 2011</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Common stock, $0.001 par value; 100,000,000 and 30,000,000 shares authorized at December 31, 2012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December 31, 2011; 17,407,311 and 16,127,615 shares issued at December 31, 2012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December 31, 2011, respectively, and 17,403,125 and 16,088,015 shares outstanding at December 31,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2012 and December 31, 2011,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17,407</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312,293,225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309,998,251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9"/>
              </w:rPr>
              <w:t>Treasury stock, at cost; 4,186 shares at December 31, 2012 and 39,600 shares at December 31, 2011</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(1,131,086)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(1,189,705)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(296,233,797)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(285,272,483)</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14,879,992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19,568,041</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80" w:type="dxa"/>
            <w:vAlign w:val="bottom"/>
            <w:gridSpan w:val="8"/>
          </w:tcPr>
          <w:p>
            <w:pPr>
              <w:jc w:val="right"/>
              <w:ind w:right="1060"/>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vMerge w:val="restart"/>
          </w:tcPr>
          <w:p>
            <w:pPr>
              <w:jc w:val="right"/>
              <w:ind w:right="680"/>
              <w:spacing w:after="0"/>
              <w:rPr>
                <w:sz w:val="20"/>
                <w:szCs w:val="20"/>
                <w:color w:val="auto"/>
              </w:rPr>
            </w:pPr>
            <w:r>
              <w:rPr>
                <w:rFonts w:ascii="Arial" w:cs="Arial" w:eastAsia="Arial" w:hAnsi="Arial"/>
                <w:sz w:val="18"/>
                <w:szCs w:val="18"/>
                <w:b w:val="1"/>
                <w:bCs w:val="1"/>
                <w:color w:val="auto"/>
                <w:w w:val="90"/>
              </w:rPr>
              <w:t>Years ended December 31,</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2"/>
              <w:spacing w:after="0" w:line="203" w:lineRule="exact"/>
              <w:rPr>
                <w:sz w:val="20"/>
                <w:szCs w:val="20"/>
                <w:color w:val="auto"/>
              </w:rPr>
            </w:pPr>
            <w:r>
              <w:rPr>
                <w:rFonts w:ascii="Arial" w:cs="Arial" w:eastAsia="Arial" w:hAnsi="Arial"/>
                <w:sz w:val="18"/>
                <w:szCs w:val="18"/>
                <w:b w:val="1"/>
                <w:bCs w:val="1"/>
                <w:color w:val="auto"/>
                <w:w w:val="89"/>
              </w:rPr>
              <w:t>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of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5,013,092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7,784,719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167,054,655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6,734,844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8,323,715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112,257,368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11,747,936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16,108,434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280,570,444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(10,945,356)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(16,108,434)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(278,209,637)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(29,605)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(81,292)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(1,595,093)</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24,791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(10,950,170)</w:t>
            </w:r>
          </w:p>
        </w:tc>
        <w:tc>
          <w:tcPr>
            <w:tcW w:w="1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(17,722,503)</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(264,794,714)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(11,144)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(75,961)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(10,961,314)</w:t>
            </w:r>
          </w:p>
        </w:tc>
        <w:tc>
          <w:tcPr>
            <w:tcW w:w="1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(17,734,076)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(264,870,675)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6"/>
              </w:rPr>
              <w:t>Deemed dividend resulting from beneficial conversion feature on Series C redeemable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convertible preferred stock</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(10,961,314)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(17,734,076)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(296,233,797)</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gridSpan w:val="2"/>
            <w:vMerge w:val="continue"/>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16,522,929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14,813,156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(10,961,314)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(17,734,076)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(296,233,797)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(11,112)</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(67,957)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(10,972,426)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(17,735,219)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(296,301,754)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gridSpan w:val="5"/>
          </w:tcPr>
          <w:p>
            <w:pPr>
              <w:jc w:val="right"/>
              <w:ind w:right="400"/>
              <w:spacing w:after="0" w:line="149" w:lineRule="exact"/>
              <w:rPr>
                <w:sz w:val="20"/>
                <w:szCs w:val="20"/>
                <w:color w:val="auto"/>
              </w:rPr>
            </w:pPr>
            <w:r>
              <w:rPr>
                <w:rFonts w:ascii="Arial" w:cs="Arial" w:eastAsia="Arial" w:hAnsi="Arial"/>
                <w:sz w:val="14"/>
                <w:szCs w:val="14"/>
                <w:b w:val="1"/>
                <w:bCs w:val="1"/>
                <w:color w:val="auto"/>
              </w:rPr>
              <w:t>preferred stock</w:t>
            </w:r>
          </w:p>
        </w:tc>
        <w:tc>
          <w:tcPr>
            <w:tcW w:w="120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jc w:val="right"/>
              <w:ind w:right="92"/>
              <w:spacing w:after="0" w:line="136"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right"/>
              <w:ind w:right="360"/>
              <w:spacing w:after="0" w:line="136" w:lineRule="exact"/>
              <w:rPr>
                <w:sz w:val="20"/>
                <w:szCs w:val="20"/>
                <w:color w:val="auto"/>
              </w:rPr>
            </w:pPr>
            <w:r>
              <w:rPr>
                <w:rFonts w:ascii="Arial" w:cs="Arial" w:eastAsia="Arial" w:hAnsi="Arial"/>
                <w:sz w:val="14"/>
                <w:szCs w:val="14"/>
                <w:b w:val="1"/>
                <w:bCs w:val="1"/>
                <w:color w:val="auto"/>
                <w:w w:val="90"/>
              </w:rPr>
              <w:t>Deferred</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200" w:type="dxa"/>
            <w:vAlign w:val="bottom"/>
          </w:tcPr>
          <w:p>
            <w:pPr>
              <w:spacing w:after="0"/>
              <w:rPr>
                <w:sz w:val="2"/>
                <w:szCs w:val="2"/>
                <w:color w:val="auto"/>
              </w:rPr>
            </w:pPr>
          </w:p>
        </w:tc>
        <w:tc>
          <w:tcPr>
            <w:tcW w:w="540" w:type="dxa"/>
            <w:vAlign w:val="bottom"/>
            <w:gridSpan w:val="2"/>
            <w:vMerge w:val="restart"/>
          </w:tcPr>
          <w:p>
            <w:pPr>
              <w:ind w:left="20"/>
              <w:spacing w:after="0" w:line="136" w:lineRule="exact"/>
              <w:rPr>
                <w:sz w:val="20"/>
                <w:szCs w:val="20"/>
                <w:color w:val="auto"/>
              </w:rPr>
            </w:pPr>
            <w:r>
              <w:rPr>
                <w:rFonts w:ascii="Arial" w:cs="Arial" w:eastAsia="Arial" w:hAnsi="Arial"/>
                <w:sz w:val="14"/>
                <w:szCs w:val="14"/>
                <w:b w:val="1"/>
                <w:bCs w:val="1"/>
                <w:color w:val="auto"/>
                <w:w w:val="84"/>
              </w:rPr>
              <w:t>Treasury</w:t>
            </w:r>
          </w:p>
        </w:tc>
        <w:tc>
          <w:tcPr>
            <w:tcW w:w="260" w:type="dxa"/>
            <w:vAlign w:val="bottom"/>
          </w:tcPr>
          <w:p>
            <w:pPr>
              <w:spacing w:after="0"/>
              <w:rPr>
                <w:sz w:val="2"/>
                <w:szCs w:val="2"/>
                <w:color w:val="auto"/>
              </w:rPr>
            </w:pPr>
          </w:p>
        </w:tc>
        <w:tc>
          <w:tcPr>
            <w:tcW w:w="82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78"/>
              </w:rPr>
              <w:t>development</w:t>
            </w:r>
          </w:p>
        </w:tc>
        <w:tc>
          <w:tcPr>
            <w:tcW w:w="80" w:type="dxa"/>
            <w:vAlign w:val="bottom"/>
          </w:tcPr>
          <w:p>
            <w:pPr>
              <w:spacing w:after="0"/>
              <w:rPr>
                <w:sz w:val="2"/>
                <w:szCs w:val="2"/>
                <w:color w:val="auto"/>
              </w:rPr>
            </w:pPr>
          </w:p>
        </w:tc>
        <w:tc>
          <w:tcPr>
            <w:tcW w:w="860" w:type="dxa"/>
            <w:vAlign w:val="bottom"/>
            <w:gridSpan w:val="3"/>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Shares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680" w:type="dxa"/>
            <w:vAlign w:val="bottom"/>
          </w:tcPr>
          <w:p>
            <w:pPr>
              <w:jc w:val="center"/>
              <w:ind w:right="112"/>
              <w:spacing w:after="0"/>
              <w:rPr>
                <w:sz w:val="20"/>
                <w:szCs w:val="20"/>
                <w:color w:val="auto"/>
              </w:rPr>
            </w:pPr>
            <w:r>
              <w:rPr>
                <w:rFonts w:ascii="Arial" w:cs="Arial" w:eastAsia="Arial" w:hAnsi="Arial"/>
                <w:sz w:val="14"/>
                <w:szCs w:val="14"/>
                <w:b w:val="1"/>
                <w:bCs w:val="1"/>
                <w:color w:val="auto"/>
                <w:w w:val="78"/>
              </w:rPr>
              <w:t>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Issuance of common stock for cash to founders at</w:t>
            </w: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right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$1.00 per share in September</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50</w:t>
            </w: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w:t>
            </w:r>
          </w:p>
        </w:tc>
        <w:tc>
          <w:tcPr>
            <w:tcW w:w="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w w:val="96"/>
              </w:rPr>
              <w:t>Issuance of Series A convertible preferred stock at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rPr>
              <w:t>$10 per share in October</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5,000</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4,995,000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(201,325)</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2000</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gridSpan w:val="2"/>
            <w:vMerge w:val="continue"/>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5,000</w:t>
            </w: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50,000</w:t>
            </w:r>
          </w:p>
        </w:tc>
        <w:tc>
          <w:tcPr>
            <w:tcW w:w="160" w:type="dxa"/>
            <w:vAlign w:val="bottom"/>
          </w:tcPr>
          <w:p>
            <w:pPr>
              <w:spacing w:after="0"/>
              <w:rPr>
                <w:sz w:val="13"/>
                <w:szCs w:val="13"/>
                <w:color w:val="auto"/>
              </w:rPr>
            </w:pPr>
          </w:p>
        </w:tc>
        <w:tc>
          <w:tcPr>
            <w:tcW w:w="4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5,044,950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(201,325)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4,848,675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Series A convertible preferred stock at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$10 per share in August</w:t>
            </w: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5,000</w:t>
            </w:r>
          </w:p>
        </w:tc>
        <w:tc>
          <w:tcPr>
            <w:tcW w:w="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4,995,000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(1,794,734)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(1,794,734)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1,000,000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10,000</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(1,996,059)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8,053,941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(6,931,476)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(6,931,476)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1,000,000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10,000</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(8,927,535)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1,122,465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w w:val="96"/>
              </w:rPr>
              <w:t>Issuance of Series B convertible preferred stock at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$100 per share, net of issuance costs of</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w w:val="94"/>
              </w:rPr>
              <w:t>$1,093,453, in March, April, May and December</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107,500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1,075</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9,655,472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(6,209,130)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(6,209,130)</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2003</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gridSpan w:val="2"/>
            <w:vMerge w:val="continue"/>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9"/>
              </w:rPr>
              <w:t>1,107,500</w:t>
            </w:r>
          </w:p>
        </w:tc>
        <w:tc>
          <w:tcPr>
            <w:tcW w:w="10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3"/>
              </w:rPr>
              <w:t>11,075</w:t>
            </w: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50,000</w:t>
            </w:r>
          </w:p>
        </w:tc>
        <w:tc>
          <w:tcPr>
            <w:tcW w:w="160" w:type="dxa"/>
            <w:vAlign w:val="bottom"/>
          </w:tcPr>
          <w:p>
            <w:pPr>
              <w:spacing w:after="0"/>
              <w:rPr>
                <w:sz w:val="13"/>
                <w:szCs w:val="13"/>
                <w:color w:val="auto"/>
              </w:rPr>
            </w:pPr>
          </w:p>
        </w:tc>
        <w:tc>
          <w:tcPr>
            <w:tcW w:w="4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19,695,422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8"/>
              </w:rPr>
              <w:t>(15,136,665)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4,569,882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Series B convertible preferred stock at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$100 per share, net of issuance costs of</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$1,208,896, in January, February, March, April</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May</w:t>
            </w: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183,650</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1,837</w:t>
            </w:r>
          </w:p>
        </w:tc>
        <w:tc>
          <w:tcPr>
            <w:tcW w:w="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17,154,267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4"/>
              </w:rPr>
              <w:t>17,156,104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rPr>
              <w:t>Stock-based compensation related to founders’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rPr>
              <w:t>warrants</w:t>
            </w:r>
          </w:p>
        </w:tc>
        <w:tc>
          <w:tcPr>
            <w:tcW w:w="7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34,069,916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employee stock-based compensation</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1,419,300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(1,419,300)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Amortization of deferred employee stock-based</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224,579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Deemed dividend resulting from beneficial</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feature on Series C redeemable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31,264,677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8"/>
              </w:rPr>
              <w:t>(31,264,677)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spacing w:after="0" w:line="138" w:lineRule="exact"/>
              <w:rPr>
                <w:sz w:val="20"/>
                <w:szCs w:val="20"/>
                <w:color w:val="auto"/>
              </w:rPr>
            </w:pPr>
            <w:r>
              <w:rPr>
                <w:rFonts w:ascii="Arial" w:cs="Arial" w:eastAsia="Arial" w:hAnsi="Arial"/>
                <w:sz w:val="14"/>
                <w:szCs w:val="14"/>
                <w:color w:val="auto"/>
              </w:rPr>
              <w:t>Accretion to redemption value of redeemable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200"/>
              <w:spacing w:after="0" w:line="15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Pr>
          <w:p>
            <w:pPr>
              <w:ind w:lef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(78,756)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(48,272,603)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(48,272,603)</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2004</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gridSpan w:val="2"/>
            <w:vMerge w:val="continue"/>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1,291,150</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w w:val="83"/>
              </w:rPr>
              <w:t>12,912</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50,000</w:t>
            </w:r>
          </w:p>
        </w:tc>
        <w:tc>
          <w:tcPr>
            <w:tcW w:w="16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103,603,582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(1,194,721)</w:t>
            </w:r>
          </w:p>
        </w:tc>
        <w:tc>
          <w:tcPr>
            <w:tcW w:w="1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(94,752,701)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7,669,122</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40" w:type="dxa"/>
            <w:vAlign w:val="bottom"/>
            <w:gridSpan w:val="4"/>
          </w:tcPr>
          <w:p>
            <w:pPr>
              <w:ind w:left="300"/>
              <w:spacing w:after="0"/>
              <w:rPr>
                <w:sz w:val="20"/>
                <w:szCs w:val="20"/>
                <w:color w:val="auto"/>
              </w:rPr>
            </w:pPr>
            <w:r>
              <w:rPr>
                <w:rFonts w:ascii="Arial" w:cs="Arial" w:eastAsia="Arial" w:hAnsi="Arial"/>
                <w:sz w:val="14"/>
                <w:szCs w:val="14"/>
                <w:b w:val="1"/>
                <w:bCs w:val="1"/>
                <w:color w:val="auto"/>
              </w:rPr>
              <w:t>Convertible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preferred stock</w:t>
            </w:r>
          </w:p>
        </w:tc>
        <w:tc>
          <w:tcPr>
            <w:tcW w:w="138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rPr>
              <w:t>Common stock</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91"/>
              </w:rPr>
              <w:t>paid-in</w:t>
            </w:r>
          </w:p>
        </w:tc>
        <w:tc>
          <w:tcPr>
            <w:tcW w:w="96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rPr>
              <w:t>Deferred</w:t>
            </w:r>
          </w:p>
        </w:tc>
        <w:tc>
          <w:tcPr>
            <w:tcW w:w="104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rPr>
              <w:t>Treasury</w:t>
            </w:r>
          </w:p>
        </w:tc>
        <w:tc>
          <w:tcPr>
            <w:tcW w:w="9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compensation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1"/>
              </w:rPr>
              <w:t>loss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Issuance of common stock in initial public offering at</w:t>
            </w: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$38.80 per share in February</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9"/>
              </w:rPr>
              <w:t>3,000,000</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3,000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7"/>
              </w:rPr>
              <w:t>104,483,895</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7"/>
              </w:rPr>
              <w:t>104,486,895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91"/>
              </w:rPr>
              <w:t>Issuance of common stock upon partial exercise of over-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 at $38.80 per share in March</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157,300</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157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5,557,616</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5,557,773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Issuance costs for registration statement filed on behalf of</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stockholders</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(165,476)</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(165,476)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89"/>
              </w:rPr>
              <w:t>Conversion of redeemable convertible preferred stock into</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common stock in February</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9"/>
              </w:rPr>
              <w:t>2,766,785</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2,767</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43,499,998</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43,502,765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Conversion of convertible preferred stock into common</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in February</w:t>
            </w:r>
          </w:p>
        </w:tc>
        <w:tc>
          <w:tcPr>
            <w:tcW w:w="8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(1,291,150)</w:t>
            </w:r>
          </w:p>
        </w:tc>
        <w:tc>
          <w:tcPr>
            <w:tcW w:w="6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(12,912)</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9"/>
              </w:rPr>
              <w:t>3,911,500</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3,911</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9,001</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98"/>
              </w:rPr>
              <w:t>Stock-based compensation related to acceleration of</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option vesting upon employee termination and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subsequent reissuance of a fully vested option</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127,875</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127,875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net of cancelations</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311,282</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311,282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96"/>
              </w:rPr>
              <w:t>Cancelation of stock options issued to employees and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related deferred compensation</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(84,000)</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84,000</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Accretion to redemption value of redeemable convertible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(19,689)</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rPr>
              <w:t>Purchase of treasury stock at $11.10 per share in</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December</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(55,445)</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(25,692,135)</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(25,692,135)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9,885,585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9,885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257,032,491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(799,439)</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(55,445)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(120,464,525)</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135,707,779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w w:val="91"/>
              </w:rPr>
              <w:t>Cashless warrant exercises of 260,000 in February, April</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and August</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260,000</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260</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(260)</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Warrant exercises of 275,000 shares at $1.00 per share in</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March and August</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275,000</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275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274,725</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tcPr>
          <w:p>
            <w:pPr>
              <w:spacing w:after="0" w:line="138" w:lineRule="exact"/>
              <w:rPr>
                <w:sz w:val="20"/>
                <w:szCs w:val="20"/>
                <w:color w:val="auto"/>
              </w:rPr>
            </w:pPr>
            <w:r>
              <w:rPr>
                <w:rFonts w:ascii="Arial" w:cs="Arial" w:eastAsia="Arial" w:hAnsi="Arial"/>
                <w:sz w:val="14"/>
                <w:szCs w:val="14"/>
                <w:color w:val="auto"/>
              </w:rPr>
              <w:t>Write off balance of deferred employee stock-based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ind w:left="200"/>
              <w:spacing w:after="0" w:line="159" w:lineRule="exact"/>
              <w:rPr>
                <w:sz w:val="20"/>
                <w:szCs w:val="20"/>
                <w:color w:val="auto"/>
              </w:rPr>
            </w:pPr>
            <w:r>
              <w:rPr>
                <w:rFonts w:ascii="Arial" w:cs="Arial" w:eastAsia="Arial" w:hAnsi="Arial"/>
                <w:sz w:val="14"/>
                <w:szCs w:val="14"/>
                <w:color w:val="auto"/>
              </w:rPr>
              <w:t>compensation as of 12/31/05</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(799,439)</w:t>
            </w: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799,439</w:t>
            </w:r>
          </w:p>
        </w:tc>
        <w:tc>
          <w:tcPr>
            <w:tcW w:w="10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Option exercises of 1,400 shares at $10.00 per share in</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May and August</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1,400</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13,998</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6"/>
              </w:rPr>
              <w:t>preferred stock</w:t>
            </w:r>
          </w:p>
        </w:tc>
        <w:tc>
          <w:tcPr>
            <w:tcW w:w="200" w:type="dxa"/>
            <w:vAlign w:val="bottom"/>
          </w:tcPr>
          <w:p>
            <w:pPr>
              <w:spacing w:after="0"/>
              <w:rPr>
                <w:sz w:val="12"/>
                <w:szCs w:val="12"/>
                <w:color w:val="auto"/>
              </w:rPr>
            </w:pPr>
          </w:p>
        </w:tc>
        <w:tc>
          <w:tcPr>
            <w:tcW w:w="1340" w:type="dxa"/>
            <w:vAlign w:val="bottom"/>
            <w:gridSpan w:val="3"/>
          </w:tcPr>
          <w:p>
            <w:pPr>
              <w:jc w:val="right"/>
              <w:ind w:right="172"/>
              <w:spacing w:after="0" w:line="149" w:lineRule="exact"/>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other</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1"/>
              </w:rPr>
              <w:t>paid-in</w:t>
            </w:r>
          </w:p>
        </w:tc>
        <w:tc>
          <w:tcPr>
            <w:tcW w:w="800" w:type="dxa"/>
            <w:vAlign w:val="bottom"/>
            <w:vMerge w:val="restart"/>
          </w:tcPr>
          <w:p>
            <w:pPr>
              <w:ind w:left="140"/>
              <w:spacing w:after="0" w:line="136" w:lineRule="exact"/>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2"/>
                <w:szCs w:val="2"/>
                <w:color w:val="auto"/>
              </w:rPr>
            </w:pPr>
          </w:p>
        </w:tc>
        <w:tc>
          <w:tcPr>
            <w:tcW w:w="108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94"/>
              </w:rPr>
              <w:t>Treasury</w:t>
            </w:r>
          </w:p>
        </w:tc>
        <w:tc>
          <w:tcPr>
            <w:tcW w:w="100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2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capital</w:t>
            </w:r>
          </w:p>
        </w:tc>
        <w:tc>
          <w:tcPr>
            <w:tcW w:w="800" w:type="dxa"/>
            <w:vAlign w:val="bottom"/>
          </w:tcPr>
          <w:p>
            <w:pPr>
              <w:spacing w:after="0"/>
              <w:rPr>
                <w:sz w:val="20"/>
                <w:szCs w:val="20"/>
                <w:color w:val="auto"/>
              </w:rPr>
            </w:pPr>
            <w:r>
              <w:rPr>
                <w:rFonts w:ascii="Arial" w:cs="Arial" w:eastAsia="Arial" w:hAnsi="Arial"/>
                <w:sz w:val="14"/>
                <w:szCs w:val="14"/>
                <w:b w:val="1"/>
                <w:bCs w:val="1"/>
                <w:color w:val="auto"/>
                <w:w w:val="82"/>
              </w:rPr>
              <w:t>compensation</w:t>
            </w: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Amortization of deferred employee stock-based</w:t>
            </w: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2,090,182</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2,090,182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w w:val="94"/>
              </w:rPr>
              <w:t>Purchase of treasury stock from $10.30—$13.10</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w w:val="91"/>
              </w:rPr>
              <w:t>per share in February, March, May, June, July,</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tcPr>
          <w:p>
            <w:pPr>
              <w:ind w:left="200"/>
              <w:spacing w:after="0" w:line="159" w:lineRule="exact"/>
              <w:rPr>
                <w:sz w:val="20"/>
                <w:szCs w:val="20"/>
                <w:color w:val="auto"/>
              </w:rPr>
            </w:pPr>
            <w:r>
              <w:rPr>
                <w:rFonts w:ascii="Arial" w:cs="Arial" w:eastAsia="Arial" w:hAnsi="Arial"/>
                <w:sz w:val="14"/>
                <w:szCs w:val="14"/>
                <w:color w:val="auto"/>
              </w:rPr>
              <w:t>September and October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2"/>
              </w:rPr>
              <w:t>(1,382,425)</w:t>
            </w:r>
          </w:p>
        </w:tc>
        <w:tc>
          <w:tcPr>
            <w:tcW w:w="10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(1,382,425)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(35,689,611)</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(35,689,611)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(34,017)</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10,421,985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258,611,697</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(49,205)</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(1,437,870)</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(156,154,136)</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100,980,908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w w:val="91"/>
              </w:rPr>
              <w:t>Cashless warrant exercises of 650,047 in January</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tcPr>
          <w:p>
            <w:pPr>
              <w:ind w:left="200"/>
              <w:spacing w:after="0" w:line="159" w:lineRule="exact"/>
              <w:rPr>
                <w:sz w:val="20"/>
                <w:szCs w:val="20"/>
                <w:color w:val="auto"/>
              </w:rPr>
            </w:pPr>
            <w:r>
              <w:rPr>
                <w:rFonts w:ascii="Arial" w:cs="Arial" w:eastAsia="Arial" w:hAnsi="Arial"/>
                <w:sz w:val="14"/>
                <w:szCs w:val="14"/>
                <w:color w:val="auto"/>
              </w:rPr>
              <w:t>and September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650,047</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650</w:t>
            </w:r>
          </w:p>
        </w:tc>
        <w:tc>
          <w:tcPr>
            <w:tcW w:w="114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(650)</w:t>
            </w:r>
          </w:p>
        </w:tc>
        <w:tc>
          <w:tcPr>
            <w:tcW w:w="80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Issuance of common stock in a public offering at</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$12.00 per share in February</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1,000,000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10,638,600</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10,639,600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3,939,416</w:t>
            </w:r>
          </w:p>
        </w:tc>
        <w:tc>
          <w:tcPr>
            <w:tcW w:w="22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3,939,416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shares under an employee stock</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purchase plan at $6.72</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33,782</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(48,903,244)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(48,903,244)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(82,261)</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(82,261)</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2007</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80" w:type="dxa"/>
            <w:vAlign w:val="bottom"/>
            <w:gridSpan w:val="2"/>
            <w:vMerge w:val="continue"/>
          </w:tcPr>
          <w:p>
            <w:pPr>
              <w:spacing w:after="0"/>
              <w:rPr>
                <w:sz w:val="13"/>
                <w:szCs w:val="13"/>
                <w:color w:val="auto"/>
              </w:rPr>
            </w:pPr>
          </w:p>
        </w:tc>
        <w:tc>
          <w:tcPr>
            <w:tcW w:w="38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8"/>
              </w:rPr>
              <w:t>12,072,027</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12,072</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273,189,063</w:t>
            </w:r>
          </w:p>
        </w:tc>
        <w:tc>
          <w:tcPr>
            <w:tcW w:w="22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(131,466)</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2"/>
              </w:rPr>
              <w:t>(1,404,088)</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1"/>
              </w:rPr>
              <w:t>(205,057,380)</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66,608,201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3,172,712</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3,172,712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rPr>
              <w:t>Issuance of shares under an employee stock</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tcPr>
          <w:p>
            <w:pPr>
              <w:ind w:left="200"/>
              <w:spacing w:after="0" w:line="159" w:lineRule="exact"/>
              <w:rPr>
                <w:sz w:val="20"/>
                <w:szCs w:val="20"/>
                <w:color w:val="auto"/>
              </w:rPr>
            </w:pPr>
            <w:r>
              <w:rPr>
                <w:rFonts w:ascii="Arial" w:cs="Arial" w:eastAsia="Arial" w:hAnsi="Arial"/>
                <w:sz w:val="14"/>
                <w:szCs w:val="14"/>
                <w:color w:val="auto"/>
              </w:rPr>
              <w:t>purchase plan at $2.33 average</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86,726</w:t>
            </w:r>
          </w:p>
        </w:tc>
        <w:tc>
          <w:tcPr>
            <w:tcW w:w="200" w:type="dxa"/>
            <w:vAlign w:val="bottom"/>
          </w:tcPr>
          <w:p>
            <w:pPr>
              <w:spacing w:after="0"/>
              <w:rPr>
                <w:sz w:val="13"/>
                <w:szCs w:val="13"/>
                <w:color w:val="auto"/>
              </w:rPr>
            </w:pPr>
          </w:p>
        </w:tc>
        <w:tc>
          <w:tcPr>
            <w:tcW w:w="10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(21,924,829)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(21,924,829)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38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101,722</w:t>
            </w:r>
          </w:p>
        </w:tc>
        <w:tc>
          <w:tcPr>
            <w:tcW w:w="2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101,722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Balance at December 31, 2008</w:t>
            </w:r>
          </w:p>
        </w:tc>
        <w:tc>
          <w:tcPr>
            <w:tcW w:w="38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12,072,027</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12,072</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276,361,775</w:t>
            </w:r>
          </w:p>
        </w:tc>
        <w:tc>
          <w:tcPr>
            <w:tcW w:w="22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(29,744)</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2"/>
              </w:rPr>
              <w:t>(1,317,362)</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1"/>
              </w:rPr>
              <w:t>(226,982,209)</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48,044,532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2,371,636</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2,371,636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100,483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406,259</w:t>
            </w:r>
          </w:p>
        </w:tc>
        <w:tc>
          <w:tcPr>
            <w:tcW w:w="22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406,357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Fair value of redemption feature of Avigen</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purchase</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9,513,042</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9,513,042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rPr>
              <w:t>Issuance of shares under an employee stock</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tcPr>
          <w:p>
            <w:pPr>
              <w:ind w:left="200"/>
              <w:spacing w:after="0" w:line="159" w:lineRule="exact"/>
              <w:rPr>
                <w:sz w:val="20"/>
                <w:szCs w:val="20"/>
                <w:color w:val="auto"/>
              </w:rPr>
            </w:pPr>
            <w:r>
              <w:rPr>
                <w:rFonts w:ascii="Arial" w:cs="Arial" w:eastAsia="Arial" w:hAnsi="Arial"/>
                <w:sz w:val="14"/>
                <w:szCs w:val="14"/>
                <w:color w:val="auto"/>
              </w:rPr>
              <w:t>purchase plan at $2.21 average</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81,967</w:t>
            </w:r>
          </w:p>
        </w:tc>
        <w:tc>
          <w:tcPr>
            <w:tcW w:w="200" w:type="dxa"/>
            <w:vAlign w:val="bottom"/>
          </w:tcPr>
          <w:p>
            <w:pPr>
              <w:spacing w:after="0"/>
              <w:rPr>
                <w:sz w:val="13"/>
                <w:szCs w:val="13"/>
                <w:color w:val="auto"/>
              </w:rPr>
            </w:pPr>
          </w:p>
        </w:tc>
        <w:tc>
          <w:tcPr>
            <w:tcW w:w="10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81,967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(20,368,890)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(20,368,890)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(35,170)</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2009</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12,172,510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288,652,712</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(64,914)</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(1,235,395)</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(247,351,099)</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40,013,474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Convertible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2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preferred stock</w:t>
            </w:r>
          </w:p>
        </w:tc>
        <w:tc>
          <w:tcPr>
            <w:tcW w:w="12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1"/>
              </w:rPr>
              <w:t>paid-in</w:t>
            </w:r>
          </w:p>
        </w:tc>
        <w:tc>
          <w:tcPr>
            <w:tcW w:w="160" w:type="dxa"/>
            <w:vAlign w:val="bottom"/>
          </w:tcPr>
          <w:p>
            <w:pPr>
              <w:spacing w:after="0"/>
              <w:rPr>
                <w:sz w:val="2"/>
                <w:szCs w:val="2"/>
                <w:color w:val="auto"/>
              </w:rPr>
            </w:pPr>
          </w:p>
        </w:tc>
        <w:tc>
          <w:tcPr>
            <w:tcW w:w="800" w:type="dxa"/>
            <w:vAlign w:val="bottom"/>
            <w:vMerge w:val="restart"/>
          </w:tcPr>
          <w:p>
            <w:pPr>
              <w:ind w:left="140"/>
              <w:spacing w:after="0" w:line="136" w:lineRule="exact"/>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2"/>
                <w:szCs w:val="2"/>
                <w:color w:val="auto"/>
              </w:rPr>
            </w:pPr>
          </w:p>
        </w:tc>
        <w:tc>
          <w:tcPr>
            <w:tcW w:w="10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0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3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1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2"/>
              </w:rPr>
              <w:t>compensation</w:t>
            </w:r>
          </w:p>
        </w:tc>
        <w:tc>
          <w:tcPr>
            <w:tcW w:w="1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Employee stock-based compensation</w:t>
            </w:r>
          </w:p>
        </w:tc>
        <w:tc>
          <w:tcPr>
            <w:tcW w:w="5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ind w:left="132"/>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2,000,935</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2,000,935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44,948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166,550</w:t>
            </w:r>
          </w:p>
        </w:tc>
        <w:tc>
          <w:tcPr>
            <w:tcW w:w="16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166,599</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Convertible Notes</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265,409</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265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1,804,515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1,804,780</w:t>
            </w: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4"/>
                <w:szCs w:val="14"/>
                <w:color w:val="auto"/>
              </w:rPr>
              <w:t>Fair value of warrant issued in conjunction with Loan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Pr>
          <w:p>
            <w:pPr>
              <w:ind w:left="220"/>
              <w:spacing w:after="0" w:line="159" w:lineRule="exact"/>
              <w:rPr>
                <w:sz w:val="20"/>
                <w:szCs w:val="20"/>
                <w:color w:val="auto"/>
              </w:rPr>
            </w:pPr>
            <w:r>
              <w:rPr>
                <w:rFonts w:ascii="Arial" w:cs="Arial" w:eastAsia="Arial" w:hAnsi="Arial"/>
                <w:sz w:val="14"/>
                <w:szCs w:val="14"/>
                <w:color w:val="auto"/>
              </w:rPr>
              <w:t>Agreement</w:t>
            </w:r>
          </w:p>
        </w:tc>
        <w:tc>
          <w:tcPr>
            <w:tcW w:w="64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859,208</w:t>
            </w:r>
          </w:p>
        </w:tc>
        <w:tc>
          <w:tcPr>
            <w:tcW w:w="160" w:type="dxa"/>
            <w:vAlign w:val="bottom"/>
          </w:tcPr>
          <w:p>
            <w:pPr>
              <w:spacing w:after="0"/>
              <w:rPr>
                <w:sz w:val="13"/>
                <w:szCs w:val="13"/>
                <w:color w:val="auto"/>
              </w:rPr>
            </w:pPr>
          </w:p>
        </w:tc>
        <w:tc>
          <w:tcPr>
            <w:tcW w:w="80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859,208</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Issuance of shares under an employee stock purchase plan</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at $6.56 average</w:t>
            </w:r>
          </w:p>
        </w:tc>
        <w:tc>
          <w:tcPr>
            <w:tcW w:w="64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37,460</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37,460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(20,187,308)</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(20,187,308)</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500" w:type="dxa"/>
            <w:vAlign w:val="bottom"/>
            <w:tcBorders>
              <w:bottom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9,212</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Arial" w:cs="Arial" w:eastAsia="Arial" w:hAnsi="Arial"/>
                <w:sz w:val="14"/>
                <w:szCs w:val="14"/>
                <w:color w:val="auto"/>
              </w:rPr>
              <w:t>Balance at December 31, 2010</w:t>
            </w:r>
          </w:p>
        </w:tc>
        <w:tc>
          <w:tcPr>
            <w:tcW w:w="64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55"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8"/>
              </w:rPr>
              <w:t>12,482,867</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12,484</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293,483,920</w:t>
            </w:r>
          </w:p>
        </w:tc>
        <w:tc>
          <w:tcPr>
            <w:tcW w:w="160" w:type="dxa"/>
            <w:vAlign w:val="bottom"/>
          </w:tcPr>
          <w:p>
            <w:pPr>
              <w:spacing w:after="0"/>
              <w:rPr>
                <w:sz w:val="13"/>
                <w:szCs w:val="13"/>
                <w:color w:val="auto"/>
              </w:rPr>
            </w:pPr>
          </w:p>
        </w:tc>
        <w:tc>
          <w:tcPr>
            <w:tcW w:w="800" w:type="dxa"/>
            <w:vAlign w:val="bottom"/>
          </w:tcPr>
          <w:p>
            <w:pPr>
              <w:ind w:left="580"/>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(55,702)</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(1,197,935)</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1"/>
              </w:rPr>
              <w:t>(267,538,407)</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24,704,360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1,372,748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1,372,748</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32,836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76,232</w:t>
            </w:r>
          </w:p>
        </w:tc>
        <w:tc>
          <w:tcPr>
            <w:tcW w:w="16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76,263</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for Convertible Notes</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11,246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76,461</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76,473</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w w:val="88"/>
              </w:rPr>
              <w:t>Issuance of shares under an employee stock purchase plan</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8,230</w:t>
            </w:r>
          </w:p>
        </w:tc>
        <w:tc>
          <w:tcPr>
            <w:tcW w:w="160" w:type="dxa"/>
            <w:vAlign w:val="bottom"/>
          </w:tcPr>
          <w:p>
            <w:pPr>
              <w:spacing w:after="0"/>
              <w:rPr>
                <w:sz w:val="12"/>
                <w:szCs w:val="12"/>
                <w:color w:val="auto"/>
              </w:rPr>
            </w:pP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8,230</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Issuance of units in a public offering at $3.00 per unit net</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1"/>
              </w:rPr>
              <w:t>of issuance costs of $715,112, each unit consisting of</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one share of common stock and one warrant to</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purchase one share of common stock.</w:t>
            </w:r>
          </w:p>
        </w:tc>
        <w:tc>
          <w:tcPr>
            <w:tcW w:w="64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9"/>
              </w:rPr>
              <w:t>2,800,666</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2,801</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7,684,085</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7,686,886</w:t>
            </w: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4"/>
                <w:szCs w:val="14"/>
                <w:color w:val="auto"/>
                <w:w w:val="90"/>
              </w:rPr>
              <w:t>Issuance of series B convertible preferred stock at $25 per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Pr>
          <w:p>
            <w:pPr>
              <w:ind w:left="220"/>
              <w:spacing w:after="0" w:line="159" w:lineRule="exact"/>
              <w:rPr>
                <w:sz w:val="20"/>
                <w:szCs w:val="20"/>
                <w:color w:val="auto"/>
              </w:rPr>
            </w:pPr>
            <w:r>
              <w:rPr>
                <w:rFonts w:ascii="Arial" w:cs="Arial" w:eastAsia="Arial" w:hAnsi="Arial"/>
                <w:sz w:val="14"/>
                <w:szCs w:val="14"/>
                <w:color w:val="auto"/>
              </w:rPr>
              <w:t>share, net of issuance costs of $144,146</w:t>
            </w:r>
          </w:p>
        </w:tc>
        <w:tc>
          <w:tcPr>
            <w:tcW w:w="6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220,000</w:t>
            </w:r>
          </w:p>
        </w:tc>
        <w:tc>
          <w:tcPr>
            <w:tcW w:w="6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1"/>
              </w:rPr>
              <w:t>2,200</w:t>
            </w:r>
          </w:p>
        </w:tc>
        <w:tc>
          <w:tcPr>
            <w:tcW w:w="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5,353,654</w:t>
            </w:r>
          </w:p>
        </w:tc>
        <w:tc>
          <w:tcPr>
            <w:tcW w:w="160" w:type="dxa"/>
            <w:vAlign w:val="bottom"/>
          </w:tcPr>
          <w:p>
            <w:pPr>
              <w:spacing w:after="0"/>
              <w:rPr>
                <w:sz w:val="13"/>
                <w:szCs w:val="13"/>
                <w:color w:val="auto"/>
              </w:rPr>
            </w:pPr>
          </w:p>
        </w:tc>
        <w:tc>
          <w:tcPr>
            <w:tcW w:w="80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5,355,854</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Issuance of common stock at $2.50 per share, net of</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issuance costs of $48,049</w:t>
            </w:r>
          </w:p>
        </w:tc>
        <w:tc>
          <w:tcPr>
            <w:tcW w:w="64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800,000</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800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1,951,151</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1,951,951</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(17,734,076)</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(17,734,076)</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4"/>
                <w:szCs w:val="14"/>
                <w:color w:val="auto"/>
              </w:rPr>
              <w:t>Balance at December 31, 2011</w:t>
            </w: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vMerge w:val="continue"/>
          </w:tcPr>
          <w:p>
            <w:pPr>
              <w:spacing w:after="0"/>
              <w:rPr>
                <w:sz w:val="13"/>
                <w:szCs w:val="13"/>
                <w:color w:val="auto"/>
              </w:rPr>
            </w:pPr>
          </w:p>
        </w:tc>
        <w:tc>
          <w:tcPr>
            <w:tcW w:w="500" w:type="dxa"/>
            <w:vAlign w:val="bottom"/>
          </w:tcPr>
          <w:p>
            <w:pPr>
              <w:ind w:left="60"/>
              <w:spacing w:after="0" w:line="155" w:lineRule="exact"/>
              <w:rPr>
                <w:sz w:val="20"/>
                <w:szCs w:val="20"/>
                <w:color w:val="auto"/>
              </w:rPr>
            </w:pPr>
            <w:r>
              <w:rPr>
                <w:rFonts w:ascii="Arial" w:cs="Arial" w:eastAsia="Arial" w:hAnsi="Arial"/>
                <w:sz w:val="14"/>
                <w:szCs w:val="14"/>
                <w:color w:val="auto"/>
                <w:w w:val="82"/>
              </w:rPr>
              <w:t>220,000</w:t>
            </w:r>
          </w:p>
        </w:tc>
        <w:tc>
          <w:tcPr>
            <w:tcW w:w="140" w:type="dxa"/>
            <w:vAlign w:val="bottom"/>
          </w:tcPr>
          <w:p>
            <w:pPr>
              <w:spacing w:after="0"/>
              <w:rPr>
                <w:sz w:val="13"/>
                <w:szCs w:val="13"/>
                <w:color w:val="auto"/>
              </w:rPr>
            </w:pPr>
          </w:p>
        </w:tc>
        <w:tc>
          <w:tcPr>
            <w:tcW w:w="500" w:type="dxa"/>
            <w:vAlign w:val="bottom"/>
          </w:tcPr>
          <w:p>
            <w:pPr>
              <w:jc w:val="center"/>
              <w:ind w:left="112"/>
              <w:spacing w:after="0" w:line="155" w:lineRule="exact"/>
              <w:rPr>
                <w:sz w:val="20"/>
                <w:szCs w:val="20"/>
                <w:color w:val="auto"/>
              </w:rPr>
            </w:pPr>
            <w:r>
              <w:rPr>
                <w:rFonts w:ascii="Arial" w:cs="Arial" w:eastAsia="Arial" w:hAnsi="Arial"/>
                <w:sz w:val="14"/>
                <w:szCs w:val="14"/>
                <w:color w:val="auto"/>
                <w:w w:val="91"/>
              </w:rPr>
              <w:t>2,200</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8"/>
              </w:rPr>
              <w:t>16,127,615</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16,128</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309,998,251</w:t>
            </w:r>
          </w:p>
        </w:tc>
        <w:tc>
          <w:tcPr>
            <w:tcW w:w="160" w:type="dxa"/>
            <w:vAlign w:val="bottom"/>
          </w:tcPr>
          <w:p>
            <w:pPr>
              <w:spacing w:after="0"/>
              <w:rPr>
                <w:sz w:val="13"/>
                <w:szCs w:val="13"/>
                <w:color w:val="auto"/>
              </w:rPr>
            </w:pPr>
          </w:p>
        </w:tc>
        <w:tc>
          <w:tcPr>
            <w:tcW w:w="800" w:type="dxa"/>
            <w:vAlign w:val="bottom"/>
          </w:tcPr>
          <w:p>
            <w:pPr>
              <w:ind w:left="580"/>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(56,845)</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(1,189,705)</w:t>
            </w: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1"/>
              </w:rPr>
              <w:t>(285,272,483)</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23,497,546</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709,650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709,650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137,670</w:t>
            </w:r>
          </w:p>
        </w:tc>
        <w:tc>
          <w:tcPr>
            <w:tcW w:w="160" w:type="dxa"/>
            <w:vAlign w:val="bottom"/>
          </w:tcPr>
          <w:p>
            <w:pPr>
              <w:spacing w:after="0"/>
              <w:rPr>
                <w:sz w:val="12"/>
                <w:szCs w:val="12"/>
                <w:color w:val="auto"/>
              </w:rPr>
            </w:pP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137,730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Issuance of shares under an employee stock purchase plan</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58,619</w:t>
            </w: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4"/>
                <w:szCs w:val="14"/>
                <w:color w:val="auto"/>
              </w:rPr>
              <w:t>Issuance of common stock under a common stock</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220"/>
              <w:spacing w:after="0"/>
              <w:rPr>
                <w:sz w:val="20"/>
                <w:szCs w:val="20"/>
                <w:color w:val="auto"/>
              </w:rPr>
            </w:pPr>
            <w:r>
              <w:rPr>
                <w:rFonts w:ascii="Arial" w:cs="Arial" w:eastAsia="Arial" w:hAnsi="Arial"/>
                <w:sz w:val="14"/>
                <w:szCs w:val="14"/>
                <w:color w:val="auto"/>
              </w:rPr>
              <w:t>purchase agreement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1,219,696</w:t>
            </w:r>
          </w:p>
        </w:tc>
        <w:tc>
          <w:tcPr>
            <w:tcW w:w="480" w:type="dxa"/>
            <w:vAlign w:val="bottom"/>
          </w:tcPr>
          <w:p>
            <w:pPr>
              <w:jc w:val="right"/>
              <w:spacing w:after="0"/>
              <w:rPr>
                <w:sz w:val="20"/>
                <w:szCs w:val="20"/>
                <w:color w:val="auto"/>
              </w:rPr>
            </w:pPr>
            <w:r>
              <w:rPr>
                <w:rFonts w:ascii="Arial" w:cs="Arial" w:eastAsia="Arial" w:hAnsi="Arial"/>
                <w:sz w:val="14"/>
                <w:szCs w:val="14"/>
                <w:color w:val="auto"/>
              </w:rPr>
              <w:t>1,219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1,347,654</w:t>
            </w:r>
          </w:p>
        </w:tc>
        <w:tc>
          <w:tcPr>
            <w:tcW w:w="160" w:type="dxa"/>
            <w:vAlign w:val="bottom"/>
          </w:tcPr>
          <w:p>
            <w:pPr>
              <w:spacing w:after="0"/>
              <w:rPr>
                <w:sz w:val="14"/>
                <w:szCs w:val="14"/>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1,348,873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Convertible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preferred stock</w:t>
            </w:r>
          </w:p>
        </w:tc>
        <w:tc>
          <w:tcPr>
            <w:tcW w:w="128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right"/>
              <w:ind w:right="112"/>
              <w:spacing w:after="0" w:line="136"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line="136" w:lineRule="exact"/>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2"/>
                <w:szCs w:val="2"/>
                <w:color w:val="auto"/>
              </w:rPr>
            </w:pPr>
          </w:p>
        </w:tc>
        <w:tc>
          <w:tcPr>
            <w:tcW w:w="1040" w:type="dxa"/>
            <w:vAlign w:val="bottom"/>
            <w:gridSpan w:val="3"/>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2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w w:val="94"/>
              </w:rPr>
              <w:t>Treasury</w:t>
            </w:r>
          </w:p>
        </w:tc>
        <w:tc>
          <w:tcPr>
            <w:tcW w:w="90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60" w:type="dxa"/>
            <w:vAlign w:val="bottom"/>
          </w:tcPr>
          <w:p>
            <w:pPr>
              <w:spacing w:after="0"/>
              <w:rPr>
                <w:sz w:val="2"/>
                <w:szCs w:val="2"/>
                <w:color w:val="auto"/>
              </w:rPr>
            </w:pP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3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2"/>
              </w:rPr>
              <w:t>compensation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1"/>
              </w:rPr>
              <w:t>loss</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stage</w:t>
            </w:r>
          </w:p>
        </w:tc>
        <w:tc>
          <w:tcPr>
            <w:tcW w:w="6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Fair value of warrant issued</w:t>
            </w:r>
          </w:p>
        </w:tc>
        <w:tc>
          <w:tcPr>
            <w:tcW w:w="5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6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(10,961,314)</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(10,961,314)</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(11,112)</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(11,112)</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2012</w:t>
            </w:r>
          </w:p>
        </w:tc>
        <w:tc>
          <w:tcPr>
            <w:tcW w:w="6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220,000</w:t>
            </w: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2,200</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17,407,311</w:t>
            </w:r>
          </w:p>
        </w:tc>
        <w:tc>
          <w:tcPr>
            <w:tcW w:w="5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4"/>
              </w:rPr>
              <w:t>$ 17,407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312,293,225</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(67,957)</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(1,131,086)</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(296,233,797)</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  14,879,922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(10,961,314)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(17,734,076)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(264,870,675)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Non-cash stock-based compensation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709,650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1,372,748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50,390,931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Kissei upfront payment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(802,580)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1,697,420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69,528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41,869</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2,014,052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Amortization of premium/discount on investment securities, convertible debt, debt discount and issuance costs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752,124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(1,099,365)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 net on investment securities and ARS Put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1,735,212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(Gain)/loss on disposal of assets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Impairment of sublease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35,259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266,927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164,563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(310,664)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(776,508)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(656,196)</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(370,964)</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250,333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131,983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assets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2,500,000</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8"/>
              </w:rPr>
              <w:t>(11,864,438)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8"/>
              </w:rPr>
              <w:t>(13,308,652)</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(209,712,471)</w:t>
            </w:r>
          </w:p>
        </w:tc>
        <w:tc>
          <w:tcPr>
            <w:tcW w:w="0" w:type="dxa"/>
            <w:vAlign w:val="bottom"/>
          </w:tcPr>
          <w:p>
            <w:pPr>
              <w:spacing w:after="0"/>
              <w:rPr>
                <w:sz w:val="1"/>
                <w:szCs w:val="1"/>
                <w:color w:val="auto"/>
              </w:rPr>
            </w:pPr>
          </w:p>
        </w:tc>
      </w:tr>
      <w:tr>
        <w:trPr>
          <w:trHeight w:val="156"/>
        </w:trPr>
        <w:tc>
          <w:tcPr>
            <w:tcW w:w="714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377,918,240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(83,378)</w:t>
            </w:r>
          </w:p>
        </w:tc>
        <w:tc>
          <w:tcPr>
            <w:tcW w:w="1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(6,085)</w:t>
            </w:r>
          </w:p>
        </w:tc>
        <w:tc>
          <w:tcPr>
            <w:tcW w:w="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(2,360,968)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in joint venture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(680,000)</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256,845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(763,378)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(6,085)</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(4,901,434)</w:t>
            </w:r>
          </w:p>
        </w:tc>
        <w:tc>
          <w:tcPr>
            <w:tcW w:w="0" w:type="dxa"/>
            <w:vAlign w:val="bottom"/>
          </w:tcPr>
          <w:p>
            <w:pPr>
              <w:spacing w:after="0"/>
              <w:rPr>
                <w:sz w:val="1"/>
                <w:szCs w:val="1"/>
                <w:color w:val="auto"/>
              </w:rPr>
            </w:pPr>
          </w:p>
        </w:tc>
      </w:tr>
      <w:tr>
        <w:trPr>
          <w:trHeight w:val="156"/>
        </w:trPr>
        <w:tc>
          <w:tcPr>
            <w:tcW w:w="714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 and units, net of issuance costs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1,486,603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9,715,100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132,665,225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5,355,854</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85,572,825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17,605,485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debt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14,670,000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76,473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1,881,253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58,619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8,230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(1,164,868)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debt</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8"/>
              </w:rPr>
              <w:t>(15,000,000)</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Repayment of ARS loan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7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1,545,222</w:t>
            </w: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155,657</w:t>
            </w: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218,624,435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 (decrease) in cash and cash equivalents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88"/>
              </w:rPr>
              <w:t>(11,082,594)</w:t>
            </w:r>
          </w:p>
        </w:tc>
        <w:tc>
          <w:tcPr>
            <w:tcW w:w="100" w:type="dxa"/>
            <w:vAlign w:val="bottom"/>
          </w:tcPr>
          <w:p>
            <w:pPr>
              <w:spacing w:after="0"/>
              <w:rPr>
                <w:sz w:val="13"/>
                <w:szCs w:val="13"/>
                <w:color w:val="auto"/>
              </w:rPr>
            </w:pPr>
          </w:p>
        </w:tc>
        <w:tc>
          <w:tcPr>
            <w:tcW w:w="11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88"/>
              </w:rPr>
              <w:t>(13,159,080)</w:t>
            </w:r>
          </w:p>
        </w:tc>
        <w:tc>
          <w:tcPr>
            <w:tcW w:w="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4,010,530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15,093,124</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28,252,204</w:t>
            </w:r>
          </w:p>
        </w:tc>
        <w:tc>
          <w:tcPr>
            <w:tcW w:w="4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1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4,010,530</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15,093,124</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4,010,530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activities and financing activities: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warrants</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2,882,258</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2,882,258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43,515,677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76,473</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1,881,815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paid</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10,951</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12,010</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69,601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paid</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1,088,926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2,487,343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right="4800" w:firstLine="8"/>
        <w:spacing w:after="0" w:line="353" w:lineRule="auto"/>
        <w:tabs>
          <w:tab w:leader="none" w:pos="17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Basis of Presentation and Summary of Significant Accounting Policies </w:t>
      </w:r>
      <w:r>
        <w:rPr>
          <w:rFonts w:ascii="Arial" w:cs="Arial" w:eastAsia="Arial" w:hAnsi="Arial"/>
          <w:sz w:val="18"/>
          <w:szCs w:val="18"/>
          <w:b w:val="1"/>
          <w:bCs w:val="1"/>
          <w:i w:val="1"/>
          <w:iCs w:val="1"/>
          <w:color w:val="auto"/>
        </w:rPr>
        <w:t>The Company</w:t>
      </w:r>
    </w:p>
    <w:p>
      <w:pPr>
        <w:spacing w:after="0" w:line="45" w:lineRule="exact"/>
        <w:rPr>
          <w:sz w:val="20"/>
          <w:szCs w:val="20"/>
          <w:color w:val="auto"/>
        </w:rPr>
      </w:pPr>
    </w:p>
    <w:p>
      <w:pPr>
        <w:ind w:firstLine="456"/>
        <w:spacing w:after="0" w:line="259" w:lineRule="auto"/>
        <w:rPr>
          <w:sz w:val="20"/>
          <w:szCs w:val="20"/>
          <w:color w:val="auto"/>
        </w:rPr>
      </w:pPr>
      <w:r>
        <w:rPr>
          <w:rFonts w:ascii="Arial" w:cs="Arial" w:eastAsia="Arial" w:hAnsi="Arial"/>
          <w:sz w:val="17"/>
          <w:szCs w:val="17"/>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commercial focus on the U.S. market. We are currently focusing our development activities on MN-166, an ibudilast-based drug candidate for the treatment of neurological disorders, and obtaining additional funding to advance clinical trial development of MN-221, a novel, highly selective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 being developed for the treatment of acute exacerbations of asthma and chronic obstructive pulmonary disease, or COPD.</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development stage company, we have consumed substantial amounts of capital since our inception. We do not have material commitments for capital expenditures. We do conduct clinical trials which are administered by third-party CROs and there is a significant degree of estimation involved in quantifying the expense associated with clinical trial activity. We accrue costs for work performed by CROs based on the achievement of contracted milestone activities and on internal estimates of activities using patient enrollment and contractual or estimated rates during the period. Our R&amp;D expense and cash payments in future periods could potentially be impacted if we were not to receive complete and accurate information from the CRO or other third parties on a timely basis or correctly estimate the outcome of contract negotiations, activity levels and enrollment rates.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had, and will continue to have an ongoing need to raise additional cash from outside sources to fund our operations. Our business will continue to require us to incur substantial research and development expenses and management plans to continue financing operations with equity issuances, debt arrangements or a combination thereof.</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incurred losses of $11.0 million and $17.7 million for the years ended December 31, 2012 and 2011 respectively. We have a history of recurring losses from operations and have an accumulated deficit of $296.2 million as of December 31, 2012. Additionally, we have used net cash of $11.9 million and $13.3 million to fund our operating activities for the years ended December 31, 2012 and 2011,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To date, these operating losses have been funded primarily through the private placement of our equity securities, the public sale of our common stock, long-term debt and the exercise of founders’ warrants.</w:t>
      </w:r>
    </w:p>
    <w:p>
      <w:pPr>
        <w:spacing w:after="0" w:line="9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of December 31, 2012, we had available cash and cash equivalents of $4.0 million and working capital of $3.4 million. We presently estimate that we have sufficient working capital to fund operations through June 30, 2013. The Company will require additional cash funding to continue to execute its strategic plan and fund operations through December 31, 2013. These factors raise substantial doubt about the Company’s ability to continue as a going concern. The accompanying consolidated financial statements have been prepared assuming the Company will continue as a going concern. This basis of accounting contemplates the recovery of the Company’s assets and the satisfaction of liabilities in the normal course of business and does not include any adjustments to reflect the possible future effects on the recoverability and classification of assets or the amounts and classification of liabilities that might be necessary should the Company be unable to continue as a going concern.</w:t>
      </w:r>
    </w:p>
    <w:p>
      <w:pPr>
        <w:spacing w:after="0" w:line="10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Between August 21, 2012 and the date of this report, the Company has generated proceeds of $3.0 million under the Common Stock Purchase Agreement with Aspire Capital Fund LLC (“Aspire”) including proceeds of $1.5 million on the sale 800,000 shares of its common stock subsequent to December 31, 2012 (see Note 7). We have the right, subject to the terms of the Common Stock Purchase Agreement, to cause Aspire to acquire up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3,231,096 shares for total gross proceeds not to exceed $20 million (including the 2,019,696 shares issued or sold to Aspire to date for $3.0 million), subject to daily dollar limitations and subject to the maximum dollar amount we can sell from time to time under our registration statement on Form S-3. We expect to sell additional shares under this agreement during 2013. We are also pursuing other opportunities to raise capital through the sale of our common stock or through other strategic initiatives. There can be no assurances that there will be adequate financing available to us on acceptable terms, or at all. If the Company is unable to obtain additional financing, we may have to seek buyers for one or more of our programs or cease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primary activities since incorporation have been recruiting personnel, conducting research and development, performing business and financial planning and raising capital. Accordingly, in connection with preparation of the consolidated financial statements we operate under one reporting segment and are considered to be in the development stage, in accordance with the authoritative guidance for development stage entities.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first quarter of 2005, we completed our initial public offering, or IPO, of 3,000,000 shares of common stock in Japan for proceeds of $104.5 million, net of underwriting discounts and commissions and offering costs. In December 2006, we were listed on the Nasdaq Global Market. Accordingly, we are a public company in both the U.S. and Japan, as our stock is traded on both the Nasdaq Global Market and the Jasdaq Market (formerly the Hercules Market of the Osaka Securities Exchange until its closure in 2010).</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Avigen Transaction. </w:t>
      </w:r>
      <w:r>
        <w:rPr>
          <w:rFonts w:ascii="Arial" w:cs="Arial" w:eastAsia="Arial" w:hAnsi="Arial"/>
          <w:sz w:val="16"/>
          <w:szCs w:val="16"/>
          <w:color w:val="auto"/>
        </w:rPr>
        <w:t>On December 18, 2009, we acquired 100% of the outstanding shares of Avigen, a biopharmaceutical company whose potential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 MN-166, is a therapeutic for Central Nervous System, or CNS, disorders. Under the terms of the transaction, Avigen shareholders, at their election, received an amount per share either in cash, Convertible Notes or a combination thereof, upon closing. Avigen shareholders holding approximately 17% of the Avigen common stock outstanding at the closing date elected to receive cash in the amount of approximately $1.19 per share. The remaining Avigen shareholders received the corresponding value of Convertible Notes. Holders of the Convertible Notes could convert their notes into our common stock at an initial conversion price of $6.80 per share through May 31, 2011. At the maturity of the Convertible Notes, the remaining holders would be paid the same per share amount as the Avigen shareholders that elected to receive cash at the closing, plus accrued interest. All Avigen shareholders were also entitled to receive approximately $0.04 per share, which was paid in two increments in 2010, and rights under contingent payment rights issued. In March 2011 we paid $0.02 per share to former Avigen shareholders related to the management transition plan Contingent Payment Rights (CPR).</w:t>
      </w:r>
    </w:p>
    <w:p>
      <w:pPr>
        <w:spacing w:after="0" w:line="10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Avigen Management Transition Plan (MTP). </w:t>
      </w:r>
      <w:r>
        <w:rPr>
          <w:rFonts w:ascii="Arial" w:cs="Arial" w:eastAsia="Arial" w:hAnsi="Arial"/>
          <w:sz w:val="18"/>
          <w:szCs w:val="18"/>
          <w:color w:val="auto"/>
        </w:rPr>
        <w:t>On March 11, 2011, a designated representative from Avigen notified us of the termination of the Avigen</w:t>
      </w:r>
      <w:r>
        <w:rPr>
          <w:rFonts w:ascii="Arial" w:cs="Arial" w:eastAsia="Arial" w:hAnsi="Arial"/>
          <w:sz w:val="18"/>
          <w:szCs w:val="18"/>
          <w:i w:val="1"/>
          <w:iCs w:val="1"/>
          <w:color w:val="auto"/>
        </w:rPr>
        <w:t xml:space="preserve"> </w:t>
      </w:r>
      <w:r>
        <w:rPr>
          <w:rFonts w:ascii="Arial" w:cs="Arial" w:eastAsia="Arial" w:hAnsi="Arial"/>
          <w:sz w:val="18"/>
          <w:szCs w:val="18"/>
          <w:color w:val="auto"/>
        </w:rPr>
        <w:t>MTP, with the final distribution to occur on or about March 31, 2011. In connection with the termination of the Avigen MTP and pursuant to the related contingent payment rights agreement, the remaining funds were distributed to American Stock Transfer &amp; Trust Company, LLC, or AST, and AST was instructed to distribute the funds to the Avigen shareholders on a pro rata basis (approximately $0.02 per share) based on the shares of Avigen common stock held immediately prior to the effective time of the Merger.</w:t>
      </w:r>
    </w:p>
    <w:p>
      <w:pPr>
        <w:spacing w:after="0" w:line="129"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Joint Venture. </w:t>
      </w:r>
      <w:r>
        <w:rPr>
          <w:rFonts w:ascii="Arial" w:cs="Arial" w:eastAsia="Arial" w:hAnsi="Arial"/>
          <w:sz w:val="18"/>
          <w:szCs w:val="18"/>
          <w:color w:val="auto"/>
        </w:rPr>
        <w:t>We entered into an agreement to form a joint venture company with Zhejiang Medicine Co., Ltd. and Beijing Make-Friend Medicine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 Ltd. effective September 27, 2011. The joint venture agreement provides for the joint venture company, Zhejiang Sunmy Bio-Medical Co., Ltd. (“Zhejiang Sunmy”),to develop and commercialize MN-221 in China. A sublicense agreement will be required under which Zhejiang Sunmy will license MN-221 from us. In accordance with the joint venture agreement, in March 2012 we paid $680,000 for a 30% interest in Zhejiang Sunmy. The other parties to the joint venture agreement provided funding for their combined 70% interest. We have not entered into the sublicense of MN-221 with Zhejiang Sunmy as of the date of this filing. Zhejiang Sunmy is a variable interest entity for which we are not the primary beneficiary as we do not have a majority of the board seats and we will not have power to direct 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significantly influence the actions of the entity. We therefore account for the activities of Zhejiang Sunmy under the equity method whereby we absorb any loss or income generated by Zhejiang Sunmy according to our percentage ownership. At December 31, 2012 we reflect a long-term asset on our consolidated balance sheet which represents our investment in Zhejiang Sunmy, net of our portion of any generated loss or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product candidates for the European marketplace. MediciNova (Europe) Limited’s functional currency is the U.S. dollar, the reporting currency of its parent.</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merger with Avigen.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 under different assumptions or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consist of cash and other highly liquid investments with original maturities of three months or less from the date of purchase.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2012 consisted of money market funds.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Revenue Recognition</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2011, we entered into an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Certain of these research and development services were completed in 2012 and the remaining services are expected to be delivered and completed after 2013. We assessed the deliverables in accordance with the authoritative guidance and concluded the existence of one deliverable, research and development services. As such, we are recognizing as revenue the $2.5 million payment as the research and development services are performed. The amount received from Kissei, net of the amount recorded as revenue, is included on the balance sheet as deferred revenue and will be recognized as revenue as we perform the remaining services. Revenue recorded in 2012 was $0.8 million. No revenue was recorded in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15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May 5, 2011, we entered into an at-the-market, or ATM, issuance sales agreement, or sales agreement, with McNicoll, Lewis &amp; Vlak LLC, or MLV, pursuant to which we could issue and sell shares of our common stock having an aggregate offering price of up to $15.0 million from time to time through MLV as our sales agent. The issuance and sale of these shares by us under the sales agreement, if any, would be subject to the effectiveness of our shelf registration statement on Form S-3 (File No. 333-163116), initially filed with the Securities and Exchange Commission on November 13, 2009.</w:t>
      </w:r>
    </w:p>
    <w:p>
      <w:pPr>
        <w:spacing w:after="0" w:line="99" w:lineRule="exact"/>
        <w:rPr>
          <w:sz w:val="20"/>
          <w:szCs w:val="20"/>
          <w:color w:val="auto"/>
        </w:rPr>
      </w:pPr>
    </w:p>
    <w:p>
      <w:pPr>
        <w:ind w:right="1680" w:firstLine="456"/>
        <w:spacing w:after="0" w:line="422" w:lineRule="auto"/>
        <w:rPr>
          <w:sz w:val="20"/>
          <w:szCs w:val="20"/>
          <w:color w:val="auto"/>
        </w:rPr>
      </w:pPr>
      <w:r>
        <w:rPr>
          <w:rFonts w:ascii="Arial" w:cs="Arial" w:eastAsia="Arial" w:hAnsi="Arial"/>
          <w:sz w:val="18"/>
          <w:szCs w:val="18"/>
          <w:color w:val="auto"/>
        </w:rPr>
        <w:t xml:space="preserve">Effective October 23, 2011, we terminated the ATM between us and MLV. No shares of common stock were issued under the ATM. </w:t>
      </w:r>
      <w:r>
        <w:rPr>
          <w:rFonts w:ascii="Arial" w:cs="Arial" w:eastAsia="Arial" w:hAnsi="Arial"/>
          <w:sz w:val="18"/>
          <w:szCs w:val="18"/>
          <w:b w:val="1"/>
          <w:bCs w:val="1"/>
          <w:i w:val="1"/>
          <w:iCs w:val="1"/>
          <w:color w:val="auto"/>
        </w:rPr>
        <w:t>Concentrations and Credit Risk</w:t>
      </w:r>
    </w:p>
    <w:p>
      <w:pPr>
        <w:spacing w:after="0" w:line="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amount insured by the Federal Deposit Insurance Corporation. We also maintain money market funds at various financial institutions which are not federally insured although are invested primarily in U.S. government securities. We have not experienced any losses in such accounts and management believes that we do not have significant credit risk with respect to such cash and cash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5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We recorded goodwill and IPR&amp;Dof $9.6 million and $4.8 million, respectively, as of December 31, 2012 and 2011.</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annual test date for goodwill and purchased indefinite life intangibles impairment is December 31 or more frequently if we believe indicators of impairment are present.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Financial instruments, including cash equivalents, accounts payable and accrued liabilities, are carried at cost, which we believe approximates fair value given their short-term nature. We are required to measure certain assets and liabilities at fair value, either upon initial measurement or for subsequent accounting or reporting. We use fair value in the initial measurement of net assets acquired in a business combination and when accounting for and reporting on investment securities and certain financial instruments or assets. We estimate fair value using an exit price approach, which requires, among other things, that we determine the price that would be received to sell an asset or paid to transfer a liability in an orderly market of market participants, considering the highest and best use of assets and, for liabilities, assuming the risk of non-performance will be the same before and after the transfer. Many, but not all, of our financial instruments are carried at fair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judgments made in determining an estimate of fair value can materially impact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Property and equipment, net, which consists of leasehold improvements, furniture and equipment and software, is stated at cost. Leasehold improvements, furniture and equipment, and software are depreciated using the straight-line method over the estimated useful lives of the related assets. The useful life for furniture, equipment (other than computers) and software is five years, computers is three years and leasehold improvements are amortized over the lesser of the useful life or the term of the 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provisions such as those for estimates of work performed, milestones achieved and patient enrollment. As actual costs become known, accruals are adjusted if necessary. To date, our accrual estimates have not differed significantly from the actual costs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recognizes the impact of a tax position in the financial statements only if that position is more likely than not of being sustained upon examination by taxing authorities, based on the technical merits of the position. Our practice is to recognize interest and/or penalties related to income tax matters in income tax expense.</w:t>
      </w:r>
    </w:p>
    <w:p>
      <w:pPr>
        <w:spacing w:after="0" w:line="12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are subject to taxation in the U.S.,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During each of the two years in the period ended December 31, 2012, income tax expense relates to intercompany service income earned by our Japanese subsidiary, MediciNova Japan,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award options to purchase our common stock to our employees and directors and under our Amended and Restated 2004 Stock Incentive Plan (the “2004 Plan”), the successor to our 2000 General Stock Incentive Plan (the “2000 Plan”). The cost of these employee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 based stock options, the vesting of which is subsequently based on a determination made by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Company’s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Stock options awarded to non-employees were recorded at their fair value as determined in accordance with the authoritative guidance for equity under ASC 505.</w:t>
      </w:r>
    </w:p>
    <w:p>
      <w:pPr>
        <w:spacing w:after="0" w:line="7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MediciNova, Inc. 2007 Employee Stock Purchase Plan, or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exercise price of stock options granted during the years ended December 31, 2012 and 2011 were equal to market value on the date of grant. During the years ended December 31, 2012 and 2011, options to purchase 750,000 and 1,431,000 shares of common stock, respectively, were granted. For the year ended December 31, 2012, 35,414 shares were issued under the ESPP, leaving 249,578 shares available for future issuance. Stock-based compensation expense for such stock options and employee stock purchase place are reflected in total operating expense for each respective year. The estimated fair value of each stock option award was determined on the date of grant using the Black-Scholes option valuation model with the following weighted-average assumptions for stock option grants: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20" w:type="dxa"/>
            <w:vAlign w:val="bottom"/>
          </w:tcPr>
          <w:p>
            <w:pPr>
              <w:spacing w:after="0"/>
              <w:rPr>
                <w:sz w:val="18"/>
                <w:szCs w:val="18"/>
                <w:color w:val="auto"/>
              </w:rPr>
            </w:pPr>
          </w:p>
        </w:tc>
        <w:tc>
          <w:tcPr>
            <w:tcW w:w="74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2012</w:t>
            </w:r>
          </w:p>
        </w:tc>
        <w:tc>
          <w:tcPr>
            <w:tcW w:w="54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0.67%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0.70%</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83.26%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78.79%</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Employee Stock Purchase Plan</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79.5%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77.97%</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r>
    </w:tbl>
    <w:p>
      <w:pPr>
        <w:spacing w:after="0" w:line="13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our employee stock options. The expected volatility is based on the historical volatility of our stock since listing on the Nasdaq Global Market in December 2006. We have not paid nor do we anticipate paying dividends on our common stock in the foreseeable future. The expected term of employee stock options is based on the simplified method as provided by the authoritative guidance on stock compensation, as we concluded that our historical stock option exercise experience does not provide a reasonable basis for us to estimate the expected term.</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weighted-average fair value of each stock option granted during the years ended December 31, 2012 and 2011, estimated as of the grant date using the Black-Scholes option valuation model, was $1.33 per option and $1.25 per option, respectively.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years ended December 31, 2012 and 2011, stock-based compensation expense related to stock options and the employee stock purchase plan was $0.7 million and $1.4 million, respectively, and was recorded as a component of general and administrative expense ($0.4 million and $1.1 million, respectively) and research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and development expense ($0.3 million and $0.3 million, respectively). During the years ended December 31, 2012 and 2011, there were 60,000 and 32,836 stock options exercised, respectively, from which proceeds of $0.1 million and $0.08 million, respectively, were received.</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December 31, 2012, there was $1.0 million of unamortized compensation cost related to unvested stock option awards which is expected to be recognized over a remaining weighted-average vesting period of 1.2 years, on a straight-line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Net loss per common share is presented as basic and diluted net loss per common share. Basic net loss per common share is calculated by dividing the net loss attributable to common stockholders by the weighted average number of common shares outstanding for the period, without consideration for common stock equivalents. Diluted net loss per common share is calculated by dividing the net loss attributable to common stockholders by the weighted average number of common shares outstanding for the period using the treasury-stock method. For purposes of this calculation, convertible preferred stock, stock options and warrants are considered to be common stock equivalents and are only included in the calculation of diluted net loss per common share when their effect is dilutive.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60" w:type="dxa"/>
            <w:vAlign w:val="bottom"/>
          </w:tcPr>
          <w:p>
            <w:pPr>
              <w:spacing w:after="0"/>
              <w:rPr>
                <w:sz w:val="19"/>
                <w:szCs w:val="19"/>
                <w:color w:val="auto"/>
              </w:rPr>
            </w:pPr>
          </w:p>
        </w:tc>
        <w:tc>
          <w:tcPr>
            <w:tcW w:w="206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93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8"/>
                <w:szCs w:val="18"/>
                <w:color w:val="auto"/>
              </w:rPr>
            </w:pPr>
          </w:p>
        </w:tc>
      </w:tr>
      <w:tr>
        <w:trPr>
          <w:trHeight w:val="210"/>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 as converted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2,200,000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Stock options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3,328,981</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3,092,671</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3,128,686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2,998,686</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8,657,667</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8,291,357</w:t>
            </w:r>
          </w:p>
        </w:tc>
      </w:tr>
      <w:tr>
        <w:trPr>
          <w:trHeight w:val="20"/>
        </w:trPr>
        <w:tc>
          <w:tcPr>
            <w:tcW w:w="9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2011, the Financial Accounting Standards Board, or FASB, issued updated accounting guidance that clarifies existing fair value measurements and disclosures, and eliminates differences between GAAP and International Financial Reporting Standards to make convergence guidance more understandable. This guidance is effective for interim and annual periods beginning after December 15, 2011. The adoption of this guidance did not have a material impact on the Company’s consolidated financial statements.</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2011, the FASB, issued guidance to simplify how entities test for goodwill impairment. The updated guidance permits an assessment of qualitative factors to determine whether it is more likely than not that the fair value of a reporting unit in which goodwill resides is less than its carrying value. For reporting units in which this assessment concludes it is more likely than not that the fair value is more than its carrying value, the updated guidance eliminates the requirement to perform further goodwill impairment testing. This new guidance is effective for fiscal years beginning after December 15, 2011. The adoption of this guidance did not have a material impact on the Company’s consolidated financial statements.</w:t>
      </w:r>
    </w:p>
    <w:p>
      <w:pPr>
        <w:spacing w:after="0" w:line="102"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Effective January 1, 2012, the Company adopted guidance issued by the FASB, concerning presentation and disclosure only for the presentation of comprehensive (loss) income. The adoption of this guidance did not have a material impact on the Company’s consolidated financial position or results of operations, other than its impact on the presentation of comprehensive (loss) income.</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August 2012, the FASB issued updated guidance to 2011 guidance that permits an assessment of the qualitative factors to determine whether it is more likely than not that the fair value of a reporting unit in which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goodwill resides is less than its carrying value. This updated guidance is effective for annual and interim impairment tests performed for fiscal years beginning after September 15, 2012 with early adoption permitted. The adoption of this standard is not expected to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30"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225" w:lineRule="exact"/>
        <w:rPr>
          <w:sz w:val="20"/>
          <w:szCs w:val="20"/>
          <w:color w:val="auto"/>
        </w:rPr>
      </w:pPr>
    </w:p>
    <w:p>
      <w:pPr>
        <w:ind w:left="1720" w:right="840" w:hanging="1133"/>
        <w:spacing w:after="0" w:line="268"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186" w:lineRule="exact"/>
        <w:rPr>
          <w:sz w:val="20"/>
          <w:szCs w:val="20"/>
          <w:color w:val="auto"/>
        </w:rPr>
      </w:pPr>
    </w:p>
    <w:p>
      <w:pPr>
        <w:ind w:left="1720" w:right="700" w:hanging="1133"/>
        <w:spacing w:after="0" w:line="259" w:lineRule="auto"/>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7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8"/>
                <w:szCs w:val="18"/>
                <w:b w:val="1"/>
                <w:bCs w:val="1"/>
                <w:color w:val="auto"/>
                <w:w w:val="88"/>
              </w:rPr>
              <w:t>Fair Value Measurements Using</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58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1</w:t>
            </w:r>
          </w:p>
        </w:tc>
        <w:tc>
          <w:tcPr>
            <w:tcW w:w="12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Level 2</w:t>
            </w:r>
          </w:p>
        </w:tc>
        <w:tc>
          <w:tcPr>
            <w:tcW w:w="70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Level 3</w:t>
            </w:r>
          </w:p>
        </w:tc>
        <w:tc>
          <w:tcPr>
            <w:tcW w:w="60" w:type="dxa"/>
            <w:vAlign w:val="bottom"/>
          </w:tcPr>
          <w:p>
            <w:pPr>
              <w:spacing w:after="0"/>
              <w:rPr>
                <w:sz w:val="18"/>
                <w:szCs w:val="18"/>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1,720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70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December 31, 2011</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7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8"/>
                <w:szCs w:val="18"/>
                <w:b w:val="1"/>
                <w:bCs w:val="1"/>
                <w:color w:val="auto"/>
                <w:w w:val="88"/>
              </w:rPr>
              <w:t>Fair Value Measurements Using</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58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1</w:t>
            </w:r>
          </w:p>
        </w:tc>
        <w:tc>
          <w:tcPr>
            <w:tcW w:w="12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Level 2</w:t>
            </w:r>
          </w:p>
        </w:tc>
        <w:tc>
          <w:tcPr>
            <w:tcW w:w="70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Level 3</w:t>
            </w:r>
          </w:p>
        </w:tc>
        <w:tc>
          <w:tcPr>
            <w:tcW w:w="60" w:type="dxa"/>
            <w:vAlign w:val="bottom"/>
          </w:tcPr>
          <w:p>
            <w:pPr>
              <w:spacing w:after="0"/>
              <w:rPr>
                <w:sz w:val="18"/>
                <w:szCs w:val="18"/>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1,690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At December 31, 2012, cash equivalents (instruments with maturities of three months or less at the date of purchase) were primarily invested in money market accounts, the fair value of which is based on Level 1 criteria in which their carrying amount is a reasonable estimate of their fair value based on daily quoted market prices. At December 31, 2012 and 2011 we did not hold financial instruments measured at fair value on a non-recurring basis.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Debt</w:t>
      </w:r>
    </w:p>
    <w:p>
      <w:pPr>
        <w:spacing w:after="0" w:line="16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In May 2010, we entered into a loan and security agreement, or the Loan Agreement, with Oxford Finance Corporation, or Oxford, under which we borrowed $15.0 million at a stated interest rate of 12.87 percent. Our obligations under the Loan Agreement were secured by a first priority security interest in substantially all of our assets, other than our intellectual property, and we also agreed not to pledge or otherwise encumber our intellectual property assets. Our obligations under the Loan Agreement were guaranteed on a senior secured basis by Avigen. The Loan Agreement also contained certain restrictive covenants.</w:t>
      </w:r>
    </w:p>
    <w:p>
      <w:pPr>
        <w:spacing w:after="0" w:line="8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the Loan Agreement, we issued to Oxford a warrant to purchase up to 198,020 shares of our common stock, par value $0.001 per share. The warrant is exercisable, immediately, in whole or in part, has a per share exercise price of $6.06 and may be exercised on a cashless basis. The warrant will terminate on the earlier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May 10, 2017 or the closing date of a merger or consolidation transaction in which we are not the surviving entity. In addition, the warrant and debt instrument were immediately separable and issued separately. We accounted for the warrant as a component of stockholders’ equity as the agreement required settlement in shares and under no provision of the agreement are we required to settle the warrant in cash.</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accounted for the interest on the debt using the effective interest method wherein we treated the debt issuance costs paid directly to Oxford and the relative fair value of the warrants issued to Oxford as a discount on the debt, and we treated the debt issuance costs paid to third parties (primarily legal fees) as an other asset in our consolidated balance sheet. The amortization of the debt discount was recorded as interest expense and the amortization of the debt issuance costs paid to third parties was recorded as other expense in our consolidated statement of operations and comprehensive loss.</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31, 2011, we entered into an agreement with Oxford under which we made an early repayment of the loan in-full and wherein Oxford waived the prepayment penalty of approximately $437,000.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long-term debt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8"/>
                <w:szCs w:val="18"/>
                <w:b w:val="1"/>
                <w:bCs w:val="1"/>
                <w:color w:val="auto"/>
                <w:w w:val="89"/>
              </w:rPr>
              <w:t>Year Ended December 31, 2011</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Write-Off</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Carrying</w:t>
            </w:r>
          </w:p>
        </w:tc>
        <w:tc>
          <w:tcPr>
            <w:tcW w:w="1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Debt</w:t>
            </w: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(Interest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12/31/2010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Expense)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Payments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Costs</w:t>
            </w:r>
          </w:p>
        </w:tc>
        <w:tc>
          <w:tcPr>
            <w:tcW w:w="980" w:type="dxa"/>
            <w:vAlign w:val="bottom"/>
            <w:gridSpan w:val="3"/>
          </w:tcPr>
          <w:p>
            <w:pPr>
              <w:ind w:left="200"/>
              <w:spacing w:after="0"/>
              <w:rPr>
                <w:sz w:val="20"/>
                <w:szCs w:val="20"/>
                <w:color w:val="auto"/>
              </w:rPr>
            </w:pPr>
            <w:r>
              <w:rPr>
                <w:rFonts w:ascii="Arial" w:cs="Arial" w:eastAsia="Arial" w:hAnsi="Arial"/>
                <w:sz w:val="18"/>
                <w:szCs w:val="18"/>
                <w:b w:val="1"/>
                <w:bCs w:val="1"/>
                <w:color w:val="auto"/>
                <w:w w:val="84"/>
              </w:rPr>
              <w:t>12/31/2011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Other Assets:</w:t>
            </w: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420"/>
              <w:spacing w:after="0"/>
              <w:rPr>
                <w:sz w:val="20"/>
                <w:szCs w:val="20"/>
                <w:color w:val="auto"/>
              </w:rPr>
            </w:pPr>
            <w:r>
              <w:rPr>
                <w:rFonts w:ascii="Arial" w:cs="Arial" w:eastAsia="Arial" w:hAnsi="Arial"/>
                <w:sz w:val="18"/>
                <w:szCs w:val="18"/>
                <w:color w:val="auto"/>
              </w:rPr>
              <w:t>Debt issuance costs paid to third parties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124,722</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(21,426)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(103,296)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420"/>
              <w:spacing w:after="0"/>
              <w:rPr>
                <w:sz w:val="20"/>
                <w:szCs w:val="20"/>
                <w:color w:val="auto"/>
              </w:rPr>
            </w:pPr>
            <w:r>
              <w:rPr>
                <w:rFonts w:ascii="Arial" w:cs="Arial" w:eastAsia="Arial" w:hAnsi="Arial"/>
                <w:sz w:val="18"/>
                <w:szCs w:val="18"/>
                <w:color w:val="auto"/>
              </w:rPr>
              <w:t>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(15,000,000)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15,000,000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interest charge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(134,491)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(504,207)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188,698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(15,134,491)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(504,207)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15,450,000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188,698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gridSpan w:val="2"/>
          </w:tcPr>
          <w:p>
            <w:pPr>
              <w:ind w:left="420"/>
              <w:spacing w:after="0"/>
              <w:rPr>
                <w:sz w:val="20"/>
                <w:szCs w:val="20"/>
                <w:color w:val="auto"/>
              </w:rPr>
            </w:pPr>
            <w:r>
              <w:rPr>
                <w:rFonts w:ascii="Arial" w:cs="Arial" w:eastAsia="Arial" w:hAnsi="Arial"/>
                <w:sz w:val="18"/>
                <w:szCs w:val="18"/>
                <w:color w:val="auto"/>
              </w:rPr>
              <w:t>Relative fair value of warrants issued to</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640"/>
              <w:spacing w:after="0"/>
              <w:rPr>
                <w:sz w:val="20"/>
                <w:szCs w:val="20"/>
                <w:color w:val="auto"/>
              </w:rPr>
            </w:pPr>
            <w:r>
              <w:rPr>
                <w:rFonts w:ascii="Arial" w:cs="Arial" w:eastAsia="Arial" w:hAnsi="Arial"/>
                <w:sz w:val="18"/>
                <w:szCs w:val="18"/>
                <w:color w:val="auto"/>
              </w:rPr>
              <w:t>lender(1)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595,342</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(102,274)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(493,068)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issuance costs paid to lender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(86,079)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699,276</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(120,129)</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(579,147)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relative fair value of the warrants issued to the lender was calculated using a Black-Scholes valuation model. The risk-free interest rate assumption was 2.86 percent based upon observed risk-free interest rates appropriate for the expected term of the warrants. The expected volatility assumption was 76 percent consistent with the volatility of our common stock based on the historical volatility of our stock since listing on the Nasdaq Global Market in December 2006. We have not paid and do not anticipate paying dividends on our common stock since our inception, and therefore, the dividend yield assumption was zero. The expected term assumption was seven years, which is the contractual life of the warrants. The fair value of the warrants using the Black-Scholes valuation model was calculated to be $4.34 per share.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Details</w:t>
            </w:r>
          </w:p>
        </w:tc>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8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$ 170,386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$ 172,648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351,992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561,332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6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228,397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750,775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955,360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8"/>
              </w:rPr>
              <w:t>(672,301)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(925,935)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78,474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32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20" w:type="dxa"/>
            <w:vAlign w:val="bottom"/>
            <w:gridSpan w:val="2"/>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8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$152,046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18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68,102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Joint venture capital contribution payable</w:t>
            </w:r>
          </w:p>
        </w:tc>
        <w:tc>
          <w:tcPr>
            <w:tcW w:w="18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94,504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314,652</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1,515,815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entered into a stock purchase agreement dated September 26, 2011 with Kissei, under which on October 13, 2011 Kissei purchased for $7.5 million an aggregate of 800,000 shares of our common stock and 220,000 shares of our Series B Convertible Preferred Stock. On the same day, we entered into a letter agreement with Kissei pursuant to which we agreed to renegotiate in good faith the existing levels of the milestone payment amounts and royalty rates under our license agreement for MN-221 and agreed upon a new price for clinical supplies of API. On October 13, 2011 we entered into a services agreement with Kissei to perform two separate studies relating to MN-221 in exchange for $2.5 million paid to us in October, 2011. We are responsible for all costs to be incurred in the performance of these studies. The amount received from Kissei, net of the amount recorded as revenue through December 31, 2012, is included on the balance sheet at December 31, 2012 as deferred revenue and will be recognized as revenue in future periods as we perform the remaining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July 6, 2011, we entered into a fifth amendment (the “Fifth Lease Amendment”) of our lease agreement (the “Lease”), with 4350 La Jolla Village LLC (the “Landlord”). The Fifth Lease Amendment amended and extended the Lease term from August 31, 2011 to May 31, 2012. The Fifth Lease Amendment provided that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pay the Landlord a monthly base rent of $12,468 for the premises during the nine-month extension period. On March 19, 2012, we entered into a sixth amendment of the Lease (the “Sixth Lease Amendment”), which extended the lease term through February 28, 2013, and provided that we pay the Landlord a monthly base rent of $12,672 for the premises during the term of the Sixth Lease Amendment. See Notes to Consolidated Financial Statements-Note 11. Subsequent Events, for information regarding a change in our headquarters and a new sublease agreement. In June 2005, we leased office space in Tokyo, Japan under a non-cancelable operating lease that expires in May 2013 and provides for six month extensions thereafter. Rent expense for the years ended December 31, 2012 and 2011 was $286,762 and $529,114, respectively, and rent expense, net of sub-lease income for the period from September 26, 2000 (inception) to December 31, 2012 was $5.0 million.</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Future minimum payments as of December 31, 2012 are as follows:</w:t>
            </w:r>
          </w:p>
        </w:tc>
        <w:tc>
          <w:tcPr>
            <w:tcW w:w="2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6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2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2013</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our inception, we have entered into eight license agreements with pharmaceutical companies which cover our current product candidates. In general, we seek to obtain exclusive licenses to the patent rights and know-how for all indications under the agreements within our licensed territories and to procure patent protection for our anticipated products, or obtain such protection from the relevant patents owned by our licensors. Under our license agreements we generally are required to make an upfront payment and additional payments upon the achievement of specific development and/or regulatory approval milestones. We are also generally obligated to pay royalties under the agreements until the later of the expiration of the applicable patent or the applicable last date of market exclusivity after the first commercial sale, on a country-by-country basis.</w:t>
      </w:r>
    </w:p>
    <w:p>
      <w:pPr>
        <w:spacing w:after="0" w:line="10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amounts expended under these agreements and charged to research and development expense from September 26, 2000 (inception) to December 31, 2012 was $9,850,000. No such amounts have been expended during the years ended December 31, 2012 or 2011. As of December 31, 2012, future potential milestone payments totaled $94.1 million, and there are no minimum royalties required under any of the license agreements. We are unable at this time to estimate with certainty the timing on when these milestone payments will occur as these payments are dependent upon the progress of our product development programs.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March 3, 2011, we received a letter, in which certain allegations were made, from a former employee who had been terminated in January 2011 pursuant to our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On August 1, 2012 the arbitrator stayed all proceedings to allow the plaintiff time to obtain new counsel. The plaintiff has since obtained new counsel and the arbitrator has continued the stay to allow our legal counsel and the plaintiff’s new counsel to work out some final details regarding documents and property previously held by the plaintiff’s former counsel. Based on our current assessment, we do not expect its outcome to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in Japan</w:t>
      </w:r>
    </w:p>
    <w:p>
      <w:pPr>
        <w:spacing w:after="0" w:line="15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February 8, 2005, we completed an IPO of 3,000,000 shares of common stock in Japan and received aggregate proceeds of $104,486,895, net of underwriting discounts and commissions and offering expenses.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addition, on March 8, 2005, we closed the sale of an additional 157,300 shares of our common stock pursuant to the partial exercise by our underwriters of an over-allotment option which resulted in aggregate proceeds to us of $5,557,773, net of underwriting discounts and commissions. In connection with our IPO, redeemable convertible and convertible preferred stock outstanding as of February 8, 2005 was automatically converted into 6,678,285 shares of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in the U.S.</w:t>
      </w:r>
    </w:p>
    <w:p>
      <w:pPr>
        <w:spacing w:after="0" w:line="15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February 1, 2007, we completed a public offering of 1,000,000 shares of common stock in the U.S. at a purchase price of $12.00 per share and received aggregate net proceeds of approximately $10,639,600, net of underwriting discounts and commissions and offering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5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On September 2, 2004, we sold 27,667,856 shares of Series C redeemable convertible preferred stock at a purchase price of $1.62 per share for total net proceeds of $43,404,320, net of issuance costs. The Series C preferred stock was sold at a price per share below our IPO price. Accordingly, pursuant to the authoritative guidance for debt under ASC 470, we recorded a deemed dividend on the Series C preferred stock of $31,264,677, which is equal to the number of shares of Series C preferred stock 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the closing of the Avigen transaction, we and American Stock Transfer &amp; Trust Company, LLC, as trustee, entered into the indenture. Under the terms of a separate trust agreement (the “Trust Agreement”), $29.4 million, which represented the initial principal amount of the Convertible Notes, was deposited with a trust agent for the benefit of the holders and us.</w:t>
      </w:r>
    </w:p>
    <w:p>
      <w:pPr>
        <w:spacing w:after="0" w:line="12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Prior to their maturity on June 18, 2011, holders of the Convertible Notes could submit irrevocable conversion notices instructing the trustee to convert such Convertible Notes into shares of our common stock at an initial conversion price of $6.80 per share. Following each conversion date we would issue the number of whole shares of common stock issuable upon conversion and the trustee would in turn release to us the respective amount of restricted cash to cover the stock issuance. Prior to the maturity of the Convertible Notes, approximately $1.9 million of the convertible notes were converted to 276,655 shares of our common stock. All remaining Convertible Notes matured on June 18, 2011 and the principal was repaid in full.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Underwritten Public Offering</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23, 2011, we consummated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provisions which may require cash settlement.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Warrant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May 2010, pursuant to the Loan Agreement with Oxford, we issued to Oxford a warrant to purchase up to 198,020 shares of our common stock at an exercise price of $6.06 per share. The warrant will terminate on the earlier of May 10, 2017 or the closing date of a merger or consolidation transaction in which we are not the surviving entity. In addition, the warrant and debt instrument are immediately separable and were issued separately. We therefore accounted for the warrant as a component of stockholders’ equity as the agreement requires settlement in shares and under no provision of the agreement are we required to settle the warrant in cash.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owns less than three percent of our outstanding voting stock. Each share of the Series B Preferred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15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Daily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issued to Aspire in consideration of entering into the agreement. Our net proceeds will depend on the frequency and number of shares of our common stock sold to Aspire and the per share purchase price of each transaction. We may, on any business day over term of the agreement, direct Aspire to purchase up to 50,000 shares, to a maximum of $500,000 per business day. The purchase price shall be the lower of the lowest sale price of the Company’s common stock on the date of the sale, or the average of the three lowest closing stock prices during the 12 consecutive business days ending on the business day immediately preceding the purchase date. In addition, MediciNova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We initially issued 363,636 shares of our common stock to Aspire as consideration for entering into the agreement. As of December 31, 2012, the Company had completed sales to Aspire totaling 856,060 shares of common stock at prices ranging from $1.65 to $1.93 per share, generating gross proceeds of $1.5 million. Between August 21, 2012 and the date of this report, we have generated proceeds of $3.0 million under the Common Stock Purchase Agreement with Aspire including proceeds of $1.5 million on the sale 800,000 shares of our common stock subsequent to December 31, 2012. The agreement with Aspire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For Services</w:t>
      </w:r>
    </w:p>
    <w:p>
      <w:pPr>
        <w:spacing w:after="0" w:line="15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August 22, 2012, we issued a warrant in exchange for investor relations services to purchase up to 130,000 of our common shares at a price of $1.88 per share, the closing price of our common stock on that date. The warrant contains provisions whereby the warrant becomes exercisable for specified shares of our common stock as a result of our stock achieving certain share price targets within a 15 month period beginning on August 22, 2012. The warrant expires in five years. The warrant is valued at its fair value of approximately $100,000 on August 22, 2012, is classified as equity and as a prepaid expense, and is being amortized over the one year period beginning August 22, 2012.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 options to our employees, directors and consultants under our 2004 Plan, the successor to the 2000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General Stock Incentive Plan</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2000, we adopted the 2000 Plan under which incentive stock options could be granted to our employees and nonstatutory stock options and other stock-based awards could be granted to employees, directors and consultants. Stock options have been granted with an exercise price of $10.00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2012, stock options to purchase a total of 4,000 shares of common stock were outstanding under the 2000 Plan at a weighted average exercise price of $10.00 per share. No additional stock options have been or will be issued under the 2000 Plan. However, stock options previously granted under the 2000 Plan will remain outstanding until the earlier of expiration or exercise.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our IPO, we adopted the 2004 Plan, which serves as the successor program to the 2000 Plan. The 2004 Plan became effective upon the completion of our IPO in February 2005 and was amended and restated in February 2007.</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2004 Plan is administered by the compensation committee of our board of directors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and consultants.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number of shares reserved for issuance under the 2004 Plan will be increased on the first day of each of our fiscal years from 2006 through 2014, with the first such increase occurring on January 1, 2006, by the lesser of: (i) 100,000 shares; (ii) 3% of our outstanding common stock on the last day of the immediately preceding fiscal year; or (iii) the number of shares determined by our board of directors. In addition, in February 2007 and June 2008, the total number of shares available for grant under the 2004 Plan was increased by 300,000 and 1,000,000, respectively.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Options granted to optionees other than non-employee directors will generally vest monthly over a four-year period, beginning on the vesting commencement date.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2004 Plan terminates ten years after its initial adoption by the board of directors, unless terminated earlier by the board of directors. The board of directors may amend or terminate the plan at any time, subject to stockholder approval where required by applicable law.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stock option activity and related information as of December 31, 2012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2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Number of</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26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w w:val="86"/>
              </w:rPr>
              <w:t>Option Shares</w:t>
            </w:r>
          </w:p>
        </w:tc>
        <w:tc>
          <w:tcPr>
            <w:tcW w:w="1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January 1, 2012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3,092,671</w:t>
            </w: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Cancelled</w:t>
            </w:r>
          </w:p>
        </w:tc>
        <w:tc>
          <w:tcPr>
            <w:tcW w:w="2260" w:type="dxa"/>
            <w:vAlign w:val="bottom"/>
            <w:gridSpan w:val="2"/>
          </w:tcPr>
          <w:p>
            <w:pPr>
              <w:jc w:val="right"/>
              <w:ind w:right="1120"/>
              <w:spacing w:after="0"/>
              <w:rPr>
                <w:sz w:val="20"/>
                <w:szCs w:val="20"/>
                <w:color w:val="auto"/>
              </w:rPr>
            </w:pPr>
            <w:r>
              <w:rPr>
                <w:rFonts w:ascii="Arial" w:cs="Arial" w:eastAsia="Arial" w:hAnsi="Arial"/>
                <w:sz w:val="18"/>
                <w:szCs w:val="18"/>
                <w:color w:val="auto"/>
              </w:rPr>
              <w:t>(453,690)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3,328,981</w:t>
            </w:r>
          </w:p>
        </w:tc>
        <w:tc>
          <w:tcPr>
            <w:tcW w:w="1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2012</w:t>
            </w: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2,089,963</w:t>
            </w:r>
          </w:p>
        </w:tc>
        <w:tc>
          <w:tcPr>
            <w:tcW w:w="1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weighted average contractual life of options outstanding at December 31, 2012 was 7.2 years and the weighted average contractual life of exercisable options at December 31, 2012 was 6.1 years. There was no aggregate intrinsic value of stock options outstanding and options exercisable, during the year ended December 31, 2012.</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common stock reserved for future issuance at December 31, 2012:</w:t>
      </w:r>
    </w:p>
    <w:p>
      <w:pPr>
        <w:spacing w:after="0" w:line="192" w:lineRule="exact"/>
        <w:rPr>
          <w:sz w:val="20"/>
          <w:szCs w:val="20"/>
          <w:color w:val="auto"/>
        </w:rPr>
      </w:pPr>
    </w:p>
    <w:p>
      <w:pPr>
        <w:ind w:left="580" w:right="3620"/>
        <w:spacing w:after="0" w:line="298" w:lineRule="auto"/>
        <w:rPr>
          <w:sz w:val="20"/>
          <w:szCs w:val="20"/>
          <w:color w:val="auto"/>
        </w:rPr>
      </w:pPr>
      <w:r>
        <w:rPr>
          <w:rFonts w:ascii="Arial" w:cs="Arial" w:eastAsia="Arial" w:hAnsi="Arial"/>
          <w:sz w:val="16"/>
          <w:szCs w:val="16"/>
          <w:color w:val="auto"/>
        </w:rPr>
        <w:t>Common Stock under the employee stock purchase program Common stock reserved for issuance upon exercise of warrant Common stock options outstanding (under the 2000 Plan and 2004 Plan) Common stock options authorized for future grant (under the 2004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-574040</wp:posOffset>
            </wp:positionV>
            <wp:extent cx="651764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-299720</wp:posOffset>
            </wp:positionV>
            <wp:extent cx="651764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-8255</wp:posOffset>
            </wp:positionV>
            <wp:extent cx="651764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249,578</w:t>
      </w:r>
    </w:p>
    <w:p>
      <w:pPr>
        <w:spacing w:after="0" w:line="15" w:lineRule="exact"/>
        <w:rPr>
          <w:sz w:val="20"/>
          <w:szCs w:val="20"/>
          <w:color w:val="auto"/>
        </w:rPr>
      </w:pPr>
    </w:p>
    <w:p>
      <w:pPr>
        <w:jc w:val="right"/>
        <w:ind w:right="680"/>
        <w:spacing w:after="0"/>
        <w:rPr>
          <w:sz w:val="20"/>
          <w:szCs w:val="20"/>
          <w:color w:val="auto"/>
        </w:rPr>
      </w:pPr>
      <w:r>
        <w:rPr>
          <w:rFonts w:ascii="Arial" w:cs="Arial" w:eastAsia="Arial" w:hAnsi="Arial"/>
          <w:sz w:val="15"/>
          <w:szCs w:val="15"/>
          <w:color w:val="auto"/>
        </w:rPr>
        <w:t>3,128,686</w:t>
      </w:r>
    </w:p>
    <w:p>
      <w:pPr>
        <w:spacing w:after="0" w:line="44" w:lineRule="exact"/>
        <w:rPr>
          <w:sz w:val="20"/>
          <w:szCs w:val="20"/>
          <w:color w:val="auto"/>
        </w:rPr>
      </w:pPr>
    </w:p>
    <w:p>
      <w:pPr>
        <w:jc w:val="right"/>
        <w:ind w:right="680"/>
        <w:spacing w:after="0"/>
        <w:rPr>
          <w:sz w:val="20"/>
          <w:szCs w:val="20"/>
          <w:color w:val="auto"/>
        </w:rPr>
      </w:pPr>
      <w:r>
        <w:rPr>
          <w:rFonts w:ascii="Arial" w:cs="Arial" w:eastAsia="Arial" w:hAnsi="Arial"/>
          <w:sz w:val="15"/>
          <w:szCs w:val="15"/>
          <w:color w:val="auto"/>
        </w:rPr>
        <w:t>3,328,981</w:t>
      </w:r>
    </w:p>
    <w:p>
      <w:pPr>
        <w:spacing w:after="0" w:line="44"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466,752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6985</wp:posOffset>
            </wp:positionV>
            <wp:extent cx="5232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7,173,997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33020</wp:posOffset>
            </wp:positionV>
            <wp:extent cx="5232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50165</wp:posOffset>
            </wp:positionV>
            <wp:extent cx="5232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720"/>
            <w:col w:w="1380"/>
          </w:cols>
          <w:pgMar w:left="240" w:top="459"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8. Income Taxes</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80" w:type="dxa"/>
            <w:vAlign w:val="bottom"/>
          </w:tcPr>
          <w:p>
            <w:pPr>
              <w:ind w:left="440"/>
              <w:spacing w:after="0"/>
              <w:rPr>
                <w:sz w:val="20"/>
                <w:szCs w:val="20"/>
                <w:color w:val="auto"/>
              </w:rPr>
            </w:pPr>
            <w:r>
              <w:rPr>
                <w:rFonts w:ascii="Arial" w:cs="Arial" w:eastAsia="Arial" w:hAnsi="Arial"/>
                <w:sz w:val="18"/>
                <w:szCs w:val="18"/>
                <w:color w:val="auto"/>
              </w:rPr>
              <w:t>The significant components of our deferred income taxes at December 31, 2012 and 2011 are as follows: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12/31/12</w:t>
            </w:r>
          </w:p>
        </w:tc>
        <w:tc>
          <w:tcPr>
            <w:tcW w:w="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12/31/11</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1020" w:type="dxa"/>
            <w:vAlign w:val="bottom"/>
          </w:tcPr>
          <w:p>
            <w:pPr>
              <w:jc w:val="right"/>
              <w:spacing w:after="0"/>
              <w:rPr>
                <w:sz w:val="20"/>
                <w:szCs w:val="20"/>
                <w:color w:val="auto"/>
              </w:rPr>
            </w:pPr>
            <w:r>
              <w:rPr>
                <w:rFonts w:ascii="Arial" w:cs="Arial" w:eastAsia="Arial" w:hAnsi="Arial"/>
                <w:sz w:val="18"/>
                <w:szCs w:val="18"/>
                <w:color w:val="auto"/>
              </w:rPr>
              <w:t>83,783,000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79,215,000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licenses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Research tax credits</w:t>
            </w:r>
          </w:p>
        </w:tc>
        <w:tc>
          <w:tcPr>
            <w:tcW w:w="1020" w:type="dxa"/>
            <w:vAlign w:val="bottom"/>
          </w:tcPr>
          <w:p>
            <w:pPr>
              <w:jc w:val="right"/>
              <w:spacing w:after="0"/>
              <w:rPr>
                <w:sz w:val="20"/>
                <w:szCs w:val="20"/>
                <w:color w:val="auto"/>
              </w:rPr>
            </w:pPr>
            <w:r>
              <w:rPr>
                <w:rFonts w:ascii="Arial" w:cs="Arial" w:eastAsia="Arial" w:hAnsi="Arial"/>
                <w:sz w:val="18"/>
                <w:szCs w:val="18"/>
                <w:color w:val="auto"/>
              </w:rPr>
              <w:t>7,145,000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20" w:type="dxa"/>
            <w:vAlign w:val="bottom"/>
          </w:tcPr>
          <w:p>
            <w:pPr>
              <w:jc w:val="right"/>
              <w:spacing w:after="0"/>
              <w:rPr>
                <w:sz w:val="20"/>
                <w:szCs w:val="20"/>
                <w:color w:val="auto"/>
              </w:rPr>
            </w:pPr>
            <w:r>
              <w:rPr>
                <w:rFonts w:ascii="Arial" w:cs="Arial" w:eastAsia="Arial" w:hAnsi="Arial"/>
                <w:sz w:val="18"/>
                <w:szCs w:val="18"/>
                <w:color w:val="auto"/>
              </w:rPr>
              <w:t>862,000</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988,000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94,182,000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89,789,000</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process R&amp;D</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(1,956,000)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(1,956,000)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92,226,000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(94,182,000)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(89,789,000)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Liability</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(1,956,000)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jc w:val="right"/>
              <w:ind w:right="3012"/>
              <w:spacing w:after="0"/>
              <w:rPr>
                <w:sz w:val="20"/>
                <w:szCs w:val="20"/>
                <w:color w:val="auto"/>
              </w:rPr>
            </w:pPr>
            <w:r>
              <w:rPr>
                <w:rFonts w:ascii="Arial" w:cs="Arial" w:eastAsia="Arial" w:hAnsi="Arial"/>
                <w:sz w:val="18"/>
                <w:szCs w:val="18"/>
                <w:color w:val="auto"/>
              </w:rPr>
              <w:t>88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9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established a valuation allowance against our deferred tax assets due to the uncertainty that such assets will be realized. We periodically evaluate the recoverability of the deferred tax assets. At such time as it is determined that it is more likely than not that deferred tax assets will be realizable, the valuation allowance will be reduced.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2012, we had federal and California net operating loss, or NOL, carryforwards of approximately $205.7 million and $205.1 million, respectively. The federal net operating loss carryforwards begin to expire in 2020, and the California net operating loss carryforwards begin to expire in 2013. At December 31, 2012, we also had federal and California research tax credit carryforwards of approximately $6.2 million and $1.4 million, respectively. The federal research tax credit carryforwards begin to expire in 2024, and the California research tax credit carryforward does not expire and can be carried forward indefinitely until utilized.</w:t>
      </w:r>
    </w:p>
    <w:p>
      <w:pPr>
        <w:spacing w:after="0" w:line="12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Multiple ownership changes have occurred in previous years which created annual limitations on our ability to utilize NOL and tax credit carryovers. Such limitations will result in approximately $7.3 million and $1 million of tax benefits related to federal and state NOL and tax credit carryforwards, respectively, that will expire unused. Accordingly, the related NOL and research credit carryforwards are not reflected in the deferred tax assets or the corresponding valuation allowance above. Due to the existence of the valuation allowance, limitations created by future ownership changes, if any, related to our operations in the U.S. will not impact our effective tax rate.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A reconciliation of the federal statutory income tax rate to our effective income tax rate is as follows:</w:t>
            </w: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66"/>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9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Year Ended December 31,</w:t>
            </w:r>
          </w:p>
        </w:tc>
      </w:tr>
      <w:tr>
        <w:trPr>
          <w:trHeight w:val="211"/>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2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income tax rate</w:t>
            </w:r>
          </w:p>
        </w:tc>
        <w:tc>
          <w:tcPr>
            <w:tcW w:w="20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000" w:type="dxa"/>
            <w:vAlign w:val="bottom"/>
            <w:gridSpan w:val="2"/>
          </w:tcPr>
          <w:p>
            <w:pPr>
              <w:jc w:val="right"/>
              <w:ind w:right="1240"/>
              <w:spacing w:after="0"/>
              <w:rPr>
                <w:sz w:val="20"/>
                <w:szCs w:val="20"/>
                <w:color w:val="auto"/>
              </w:rPr>
            </w:pPr>
            <w:r>
              <w:rPr>
                <w:rFonts w:ascii="Arial" w:cs="Arial" w:eastAsia="Arial" w:hAnsi="Arial"/>
                <w:sz w:val="18"/>
                <w:szCs w:val="18"/>
                <w:color w:val="auto"/>
              </w:rPr>
              <w:t>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0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00" w:type="dxa"/>
            <w:vAlign w:val="bottom"/>
            <w:gridSpan w:val="2"/>
          </w:tcPr>
          <w:p>
            <w:pPr>
              <w:jc w:val="right"/>
              <w:ind w:right="1180"/>
              <w:spacing w:after="0"/>
              <w:rPr>
                <w:sz w:val="20"/>
                <w:szCs w:val="20"/>
                <w:color w:val="auto"/>
              </w:rPr>
            </w:pPr>
            <w:r>
              <w:rPr>
                <w:rFonts w:ascii="Arial" w:cs="Arial" w:eastAsia="Arial" w:hAnsi="Arial"/>
                <w:sz w:val="18"/>
                <w:szCs w:val="18"/>
                <w:color w:val="auto"/>
              </w:rPr>
              <w:t>(40.1)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0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(0.7)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bl>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file income tax returns in the United States, California and foreign jurisdictions. Due to our losses incurred, we are essentially subject to income tax examination by tax authorities from our inception to date. Our policy is to recognize interest expense and penalties related to income tax matters as tax expense. At December 31, 2012, there are no unrecognized tax benefits, and we do not have any significant accruals for interest related to unrecognized tax benefits or tax penalties.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Savings Plan</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an employee savings plan available to substantially all employees. Under the plan, an employee may elect salary reductions which are contributed to the plan. The plan provides for discretionary contributions by us, which totaled $96,415, $97,929, and $1,196,091 for the years ended December 31, 2012, 2011 and the period from September 26, 2000 (inception) to December 31, 2012,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Quarterly Financial Data (Unaudited)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Summarized quarterly data for fiscal 2012 and 2011 are as follows (in thousands,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w w:val="90"/>
              </w:rPr>
              <w:t>Year Ended December 31, 2012</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240" w:type="dxa"/>
            <w:vAlign w:val="bottom"/>
          </w:tcPr>
          <w:p>
            <w:pPr>
              <w:spacing w:after="0"/>
              <w:rPr>
                <w:sz w:val="17"/>
                <w:szCs w:val="17"/>
                <w:color w:val="auto"/>
              </w:rPr>
            </w:pPr>
          </w:p>
        </w:tc>
        <w:tc>
          <w:tcPr>
            <w:tcW w:w="780" w:type="dxa"/>
            <w:vAlign w:val="bottom"/>
            <w:gridSpan w:val="2"/>
          </w:tcPr>
          <w:p>
            <w:pPr>
              <w:jc w:val="right"/>
              <w:ind w:right="360"/>
              <w:spacing w:after="0" w:line="197" w:lineRule="exact"/>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17"/>
                <w:szCs w:val="17"/>
                <w:color w:val="auto"/>
              </w:rPr>
            </w:pPr>
          </w:p>
        </w:tc>
        <w:tc>
          <w:tcPr>
            <w:tcW w:w="1140" w:type="dxa"/>
            <w:vAlign w:val="bottom"/>
            <w:gridSpan w:val="2"/>
          </w:tcPr>
          <w:p>
            <w:pPr>
              <w:jc w:val="right"/>
              <w:ind w:right="700"/>
              <w:spacing w:after="0" w:line="197" w:lineRule="exact"/>
              <w:rPr>
                <w:sz w:val="20"/>
                <w:szCs w:val="20"/>
                <w:color w:val="auto"/>
              </w:rPr>
            </w:pPr>
            <w:r>
              <w:rPr>
                <w:rFonts w:ascii="Arial" w:cs="Arial" w:eastAsia="Arial" w:hAnsi="Arial"/>
                <w:sz w:val="18"/>
                <w:szCs w:val="18"/>
                <w:b w:val="1"/>
                <w:bCs w:val="1"/>
                <w:color w:val="auto"/>
              </w:rPr>
              <w:t>2nd</w:t>
            </w:r>
          </w:p>
        </w:tc>
        <w:tc>
          <w:tcPr>
            <w:tcW w:w="1160" w:type="dxa"/>
            <w:vAlign w:val="bottom"/>
            <w:gridSpan w:val="2"/>
          </w:tcPr>
          <w:p>
            <w:pPr>
              <w:jc w:val="right"/>
              <w:ind w:right="720"/>
              <w:spacing w:after="0" w:line="197" w:lineRule="exact"/>
              <w:rPr>
                <w:sz w:val="20"/>
                <w:szCs w:val="20"/>
                <w:color w:val="auto"/>
              </w:rPr>
            </w:pPr>
            <w:r>
              <w:rPr>
                <w:rFonts w:ascii="Arial" w:cs="Arial" w:eastAsia="Arial" w:hAnsi="Arial"/>
                <w:sz w:val="18"/>
                <w:szCs w:val="18"/>
                <w:b w:val="1"/>
                <w:bCs w:val="1"/>
                <w:color w:val="auto"/>
              </w:rPr>
              <w:t>3rd</w:t>
            </w: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8"/>
        </w:trPr>
        <w:tc>
          <w:tcPr>
            <w:tcW w:w="7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Quarter</w:t>
            </w:r>
          </w:p>
        </w:tc>
        <w:tc>
          <w:tcPr>
            <w:tcW w:w="3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Quarter</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Quarter</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198"/>
        </w:trPr>
        <w:tc>
          <w:tcPr>
            <w:tcW w:w="72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quarterly financial data:</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Revenues</w:t>
            </w: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5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2,446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(2,281)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(2,379)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(2,281)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(0.14)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(0.14)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90"/>
              </w:rPr>
              <w:t>Year Ended December 31, 2011</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240" w:type="dxa"/>
            <w:vAlign w:val="bottom"/>
          </w:tcPr>
          <w:p>
            <w:pPr>
              <w:spacing w:after="0"/>
              <w:rPr>
                <w:sz w:val="17"/>
                <w:szCs w:val="17"/>
                <w:color w:val="auto"/>
              </w:rPr>
            </w:pPr>
          </w:p>
        </w:tc>
        <w:tc>
          <w:tcPr>
            <w:tcW w:w="780" w:type="dxa"/>
            <w:vAlign w:val="bottom"/>
            <w:gridSpan w:val="2"/>
          </w:tcPr>
          <w:p>
            <w:pPr>
              <w:jc w:val="right"/>
              <w:ind w:right="360"/>
              <w:spacing w:after="0" w:line="197" w:lineRule="exact"/>
              <w:rPr>
                <w:sz w:val="20"/>
                <w:szCs w:val="20"/>
                <w:color w:val="auto"/>
              </w:rPr>
            </w:pPr>
            <w:r>
              <w:rPr>
                <w:rFonts w:ascii="Arial" w:cs="Arial" w:eastAsia="Arial" w:hAnsi="Arial"/>
                <w:sz w:val="18"/>
                <w:szCs w:val="18"/>
                <w:b w:val="1"/>
                <w:bCs w:val="1"/>
                <w:color w:val="auto"/>
              </w:rPr>
              <w:t>1st</w:t>
            </w:r>
          </w:p>
        </w:tc>
        <w:tc>
          <w:tcPr>
            <w:tcW w:w="380" w:type="dxa"/>
            <w:vAlign w:val="bottom"/>
          </w:tcPr>
          <w:p>
            <w:pPr>
              <w:spacing w:after="0"/>
              <w:rPr>
                <w:sz w:val="17"/>
                <w:szCs w:val="17"/>
                <w:color w:val="auto"/>
              </w:rPr>
            </w:pPr>
          </w:p>
        </w:tc>
        <w:tc>
          <w:tcPr>
            <w:tcW w:w="1140" w:type="dxa"/>
            <w:vAlign w:val="bottom"/>
            <w:gridSpan w:val="2"/>
          </w:tcPr>
          <w:p>
            <w:pPr>
              <w:jc w:val="right"/>
              <w:ind w:right="700"/>
              <w:spacing w:after="0" w:line="197" w:lineRule="exact"/>
              <w:rPr>
                <w:sz w:val="20"/>
                <w:szCs w:val="20"/>
                <w:color w:val="auto"/>
              </w:rPr>
            </w:pPr>
            <w:r>
              <w:rPr>
                <w:rFonts w:ascii="Arial" w:cs="Arial" w:eastAsia="Arial" w:hAnsi="Arial"/>
                <w:sz w:val="18"/>
                <w:szCs w:val="18"/>
                <w:b w:val="1"/>
                <w:bCs w:val="1"/>
                <w:color w:val="auto"/>
              </w:rPr>
              <w:t>2nd</w:t>
            </w:r>
          </w:p>
        </w:tc>
        <w:tc>
          <w:tcPr>
            <w:tcW w:w="1160" w:type="dxa"/>
            <w:vAlign w:val="bottom"/>
            <w:gridSpan w:val="2"/>
          </w:tcPr>
          <w:p>
            <w:pPr>
              <w:jc w:val="right"/>
              <w:ind w:right="720"/>
              <w:spacing w:after="0" w:line="197" w:lineRule="exact"/>
              <w:rPr>
                <w:sz w:val="20"/>
                <w:szCs w:val="20"/>
                <w:color w:val="auto"/>
              </w:rPr>
            </w:pPr>
            <w:r>
              <w:rPr>
                <w:rFonts w:ascii="Arial" w:cs="Arial" w:eastAsia="Arial" w:hAnsi="Arial"/>
                <w:sz w:val="18"/>
                <w:szCs w:val="18"/>
                <w:b w:val="1"/>
                <w:bCs w:val="1"/>
                <w:color w:val="auto"/>
              </w:rPr>
              <w:t>3rd</w:t>
            </w: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8"/>
        </w:trPr>
        <w:tc>
          <w:tcPr>
            <w:tcW w:w="7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Quarter</w:t>
            </w:r>
          </w:p>
        </w:tc>
        <w:tc>
          <w:tcPr>
            <w:tcW w:w="3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Quarter</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Quarter</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198"/>
        </w:trPr>
        <w:tc>
          <w:tcPr>
            <w:tcW w:w="72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quarterly financial data:</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4,976</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3,722</w:t>
            </w:r>
          </w:p>
        </w:tc>
        <w:tc>
          <w:tcPr>
            <w:tcW w:w="5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3,907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(5,656)</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(4,681)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(3,894)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(3,503)</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(5,656)</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(4,681)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(3,894)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(3,503)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per share is computed independently for each of the quarters presented. The sum of the quarterly net loss per share will not necessarily equal the total for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Amendment</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February 27, 2013, we entered into a sublease agreement effective March 1, 2013 (the “Sublease”) with Denali Advisors, LLC, the sublessor, to which Irvine Company, the master landlord, has provided its consent. The Sublease is for the Company’s new headquarters located at 4275 Executive Square, Suite 650, La Jolla, California, 92037. The Sublease has a term of 4 years and 9 months and provides that the Company will pay Irvine Company a monthly base rent of $10,699 for the premises during the first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4"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w:t>
      </w:r>
    </w:p>
    <w:p>
      <w:pPr>
        <w:spacing w:after="0" w:line="3" w:lineRule="exact"/>
        <w:rPr>
          <w:sz w:val="20"/>
          <w:szCs w:val="20"/>
          <w:color w:val="auto"/>
        </w:rPr>
      </w:pPr>
    </w:p>
    <w:p>
      <w:pPr>
        <w:ind w:right="100" w:firstLine="8"/>
        <w:spacing w:after="0" w:line="255"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2012, our disclosure controls and procedures were effective.</w:t>
      </w:r>
    </w:p>
    <w:p>
      <w:pPr>
        <w:spacing w:after="0" w:line="13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as of December 31, 2012. In making this assessment, our management used the criteria set forth by the Committee of Sponsoring Organizations of the Treadway Commission (“COSO”) in Internal Control—Integrated Framework. Our management has concluded that, as of December 31, 2012, our internal control over financial reporting was effective based on these criteria. Ernst &amp; Young LLP, an independent registered public accounting firm, has audited the Company’s consolidated financial statements included in this Annual Report on Form 10-K and has issued an attestation report, included herein, on the effectiveness of our internal control over financial reporting as of December 31, 2012.</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audited MediciNova, Inc.’s internal control over financial reporting as of December 31, 2012, based on criteria established in Internal Control— Integrated Framework issued by the Committee of Sponsoring Organizations of the Treadway Commission (the COSO criteria). MediciNova,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our opinion, MediciNova, Inc. maintained, in all material respects, effective internal control over financial reporting as of December 31, 2012, based on the COSO criteria.</w:t>
      </w:r>
    </w:p>
    <w:p>
      <w:pPr>
        <w:spacing w:after="0" w:line="11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MediciNova, Inc. as of December 31, 2012 and 2011, and the related consolidated statements of operations and comprehensive loss, stockholders’ equity, and cash flows for the years then ended, and for the period from September 26, 2000 (inception) to December 31, 2012, and our report dated March 28, 2013 expressed an unqualified opinion thereon that included an explanatory paragraph regarding MediciNova, Inc.’s ability to continue as a going concern.</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19"/>
          </w:cols>
          <w:pgMar w:left="240" w:top="459"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the conclusion of our fiscal year ended December 31, 2012, or the Proxy Statement, and is incorporated in this Annual Report on Form 10-K by reference.</w:t>
      </w:r>
    </w:p>
    <w:p>
      <w:pPr>
        <w:spacing w:after="0" w:line="12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 any amendment to the Code of Ethics or Code of Business Conduct.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Certain of the information required by this item will be contained in the Proxy Statement and is incorporated in this Annual Report on Form 10-K by reference.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2012 with respect to the shares of our common stock that may be issued under our existing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7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Number of Securities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7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5"/>
              </w:rPr>
              <w:t>to be Issued</w:t>
            </w:r>
          </w:p>
        </w:tc>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7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5"/>
              </w:rPr>
              <w:t>Upon Exercise of</w:t>
            </w:r>
          </w:p>
        </w:tc>
        <w:tc>
          <w:tcPr>
            <w:tcW w:w="262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86"/>
              </w:rPr>
              <w:t>Exercise Price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7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8"/>
              </w:rPr>
              <w:t>Outstanding</w:t>
            </w:r>
          </w:p>
        </w:tc>
        <w:tc>
          <w:tcPr>
            <w:tcW w:w="140" w:type="dxa"/>
            <w:vAlign w:val="bottom"/>
          </w:tcPr>
          <w:p>
            <w:pPr>
              <w:spacing w:after="0"/>
              <w:rPr>
                <w:sz w:val="18"/>
                <w:szCs w:val="18"/>
                <w:color w:val="auto"/>
              </w:rPr>
            </w:pPr>
          </w:p>
        </w:tc>
        <w:tc>
          <w:tcPr>
            <w:tcW w:w="248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88"/>
              </w:rPr>
              <w:t>Outstanding</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w w:val="89"/>
              </w:rPr>
              <w:t>Plan Category</w:t>
            </w:r>
          </w:p>
        </w:tc>
        <w:tc>
          <w:tcPr>
            <w:tcW w:w="3320" w:type="dxa"/>
            <w:vAlign w:val="bottom"/>
            <w:gridSpan w:val="2"/>
            <w:vMerge w:val="restart"/>
          </w:tcPr>
          <w:p>
            <w:pPr>
              <w:spacing w:after="0"/>
              <w:rPr>
                <w:sz w:val="18"/>
                <w:szCs w:val="18"/>
                <w:color w:val="auto"/>
              </w:rPr>
            </w:pPr>
          </w:p>
        </w:tc>
        <w:tc>
          <w:tcPr>
            <w:tcW w:w="27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5"/>
              </w:rPr>
              <w:t>Options</w:t>
            </w:r>
          </w:p>
        </w:tc>
        <w:tc>
          <w:tcPr>
            <w:tcW w:w="140" w:type="dxa"/>
            <w:vAlign w:val="bottom"/>
          </w:tcPr>
          <w:p>
            <w:pPr>
              <w:spacing w:after="0"/>
              <w:rPr>
                <w:sz w:val="18"/>
                <w:szCs w:val="18"/>
                <w:color w:val="auto"/>
              </w:rPr>
            </w:pPr>
          </w:p>
        </w:tc>
        <w:tc>
          <w:tcPr>
            <w:tcW w:w="248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8"/>
              </w:rPr>
              <w:t>Options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 Equity</w:t>
            </w: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vMerge w:val="continue"/>
          </w:tcPr>
          <w:p>
            <w:pPr>
              <w:spacing w:after="0"/>
              <w:rPr>
                <w:sz w:val="20"/>
                <w:szCs w:val="20"/>
                <w:color w:val="auto"/>
              </w:rPr>
            </w:pPr>
          </w:p>
        </w:tc>
        <w:tc>
          <w:tcPr>
            <w:tcW w:w="3320" w:type="dxa"/>
            <w:vAlign w:val="bottom"/>
            <w:gridSpan w:val="2"/>
            <w:vMerge w:val="continue"/>
          </w:tcPr>
          <w:p>
            <w:pPr>
              <w:spacing w:after="0"/>
              <w:rPr>
                <w:sz w:val="20"/>
                <w:szCs w:val="20"/>
                <w:color w:val="auto"/>
              </w:rPr>
            </w:pPr>
          </w:p>
        </w:tc>
        <w:tc>
          <w:tcPr>
            <w:tcW w:w="27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8"/>
              </w:rPr>
              <w:t>and Rights</w:t>
            </w:r>
          </w:p>
        </w:tc>
        <w:tc>
          <w:tcPr>
            <w:tcW w:w="140" w:type="dxa"/>
            <w:vAlign w:val="bottom"/>
          </w:tcPr>
          <w:p>
            <w:pPr>
              <w:spacing w:after="0"/>
              <w:rPr>
                <w:sz w:val="20"/>
                <w:szCs w:val="20"/>
                <w:color w:val="auto"/>
              </w:rPr>
            </w:pPr>
          </w:p>
        </w:tc>
        <w:tc>
          <w:tcPr>
            <w:tcW w:w="248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2"/>
              </w:rPr>
              <w:t>and Rights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181"/>
        </w:trPr>
        <w:tc>
          <w:tcPr>
            <w:tcW w:w="44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5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Stockholders(1)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3,324,981</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420" w:type="dxa"/>
            <w:vAlign w:val="bottom"/>
            <w:gridSpan w:val="3"/>
          </w:tcPr>
          <w:p>
            <w:pPr>
              <w:spacing w:after="0"/>
              <w:rPr>
                <w:sz w:val="20"/>
                <w:szCs w:val="20"/>
                <w:color w:val="auto"/>
              </w:rPr>
            </w:pPr>
            <w:r>
              <w:rPr>
                <w:rFonts w:ascii="Arial" w:cs="Arial" w:eastAsia="Arial" w:hAnsi="Arial"/>
                <w:sz w:val="18"/>
                <w:szCs w:val="18"/>
                <w:color w:val="auto"/>
              </w:rPr>
              <w:t>Equity Compensation Plans Approved by</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ind w:left="220"/>
              <w:spacing w:after="0"/>
              <w:rPr>
                <w:sz w:val="20"/>
                <w:szCs w:val="20"/>
                <w:color w:val="auto"/>
              </w:rPr>
            </w:pPr>
            <w:r>
              <w:rPr>
                <w:rFonts w:ascii="Arial" w:cs="Arial" w:eastAsia="Arial" w:hAnsi="Arial"/>
                <w:sz w:val="18"/>
                <w:szCs w:val="18"/>
                <w:color w:val="auto"/>
              </w:rPr>
              <w:t>Stockholders(2)</w:t>
            </w:r>
          </w:p>
        </w:tc>
        <w:tc>
          <w:tcPr>
            <w:tcW w:w="1580" w:type="dxa"/>
            <w:vAlign w:val="bottom"/>
          </w:tcPr>
          <w:p>
            <w:pPr>
              <w:jc w:val="right"/>
              <w:spacing w:after="0"/>
              <w:rPr>
                <w:sz w:val="20"/>
                <w:szCs w:val="20"/>
                <w:color w:val="auto"/>
              </w:rPr>
            </w:pPr>
            <w:r>
              <w:rPr>
                <w:rFonts w:ascii="Arial" w:cs="Arial" w:eastAsia="Arial" w:hAnsi="Arial"/>
                <w:sz w:val="18"/>
                <w:szCs w:val="18"/>
                <w:color w:val="auto"/>
              </w:rPr>
              <w:t>17,331</w:t>
            </w:r>
          </w:p>
        </w:tc>
        <w:tc>
          <w:tcPr>
            <w:tcW w:w="1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60"/>
              <w:spacing w:after="0"/>
              <w:rPr>
                <w:sz w:val="20"/>
                <w:szCs w:val="20"/>
                <w:color w:val="auto"/>
              </w:rPr>
            </w:pPr>
            <w:r>
              <w:rPr>
                <w:rFonts w:ascii="Arial" w:cs="Arial" w:eastAsia="Arial" w:hAnsi="Arial"/>
                <w:sz w:val="18"/>
                <w:szCs w:val="18"/>
                <w:color w:val="auto"/>
              </w:rPr>
              <w:t>1.60(2)</w:t>
            </w:r>
          </w:p>
        </w:tc>
        <w:tc>
          <w:tcPr>
            <w:tcW w:w="1580" w:type="dxa"/>
            <w:vAlign w:val="bottom"/>
          </w:tcPr>
          <w:p>
            <w:pPr>
              <w:jc w:val="right"/>
              <w:spacing w:after="0"/>
              <w:rPr>
                <w:sz w:val="20"/>
                <w:szCs w:val="20"/>
                <w:color w:val="auto"/>
              </w:rPr>
            </w:pPr>
            <w:r>
              <w:rPr>
                <w:rFonts w:ascii="Arial" w:cs="Arial" w:eastAsia="Arial" w:hAnsi="Arial"/>
                <w:sz w:val="18"/>
                <w:szCs w:val="18"/>
                <w:color w:val="auto"/>
              </w:rPr>
              <w:t>249,578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Not Approved by</w:t>
            </w: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Stockholders(3)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3,346,312</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305"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Consists of the MediciNova, Inc. Amended and Restated 2004 Stock Incentive Plan, or 2004 Plan. Awards under the 2004 Plan shall not exceed 3,330,000 shares, plus an annual increase on the first day of each fiscal year, with the first increase occurring on January 1, 2006, in an amount equal to the lesser of</w:t>
      </w:r>
    </w:p>
    <w:p>
      <w:pPr>
        <w:ind w:left="460" w:right="60"/>
        <w:spacing w:after="0" w:line="255" w:lineRule="auto"/>
        <w:rPr>
          <w:rFonts w:ascii="Arial" w:cs="Arial" w:eastAsia="Arial" w:hAnsi="Arial"/>
          <w:sz w:val="15"/>
          <w:szCs w:val="15"/>
          <w:color w:val="auto"/>
        </w:rPr>
      </w:pPr>
      <w:r>
        <w:rPr>
          <w:rFonts w:ascii="Arial" w:cs="Arial" w:eastAsia="Arial" w:hAnsi="Arial"/>
          <w:sz w:val="18"/>
          <w:szCs w:val="18"/>
          <w:color w:val="auto"/>
        </w:rPr>
        <w:t>(i) 100,000 shares, (ii) 3% of the outstanding shares on the last day of the immediately preceding year, or (iii) an amount determined by the Board. Stock options under the 2004 Plan have an exercise price equal to the fair market value of the underlying common stock at the date of grant, generally vest over a period of four years and have a ten-year life.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the MediciNova, Inc. 2007 Employee Stock Purchase Plan, or ESPP. Under the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2"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solely of the MediciNova, Inc. 2000 General Stock Incentive Plan, or 2000 Plan, which was terminated upon the completion of our initial public offering on February 8, 2005. The material terms of the 2000 Plan are described in Note 7 to our consolidated financial statements contained in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4" w:lineRule="exact"/>
        <w:rPr>
          <w:sz w:val="20"/>
          <w:szCs w:val="20"/>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58" w:lineRule="exact"/>
        <w:rPr>
          <w:sz w:val="20"/>
          <w:szCs w:val="20"/>
          <w:color w:val="auto"/>
        </w:rPr>
      </w:pPr>
    </w:p>
    <w:p>
      <w:pPr>
        <w:ind w:right="480" w:firstLine="464"/>
        <w:spacing w:after="0" w:line="268"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 of Ernst &amp; Young LLP,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gridSpan w:val="8"/>
            <w:vMerge w:val="restart"/>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Report of Independent Registered Public Accounting Firm</w:t>
              </w:r>
            </w:hyperlink>
          </w:p>
        </w:tc>
        <w:tc>
          <w:tcPr>
            <w:tcW w:w="186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20" w:type="dxa"/>
            <w:vAlign w:val="bottom"/>
            <w:gridSpan w:val="8"/>
            <w:vMerge w:val="continue"/>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65</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w:t>
              </w:r>
            </w:hyperlink>
          </w:p>
        </w:tc>
        <w:tc>
          <w:tcPr>
            <w:tcW w:w="4300" w:type="dxa"/>
            <w:vAlign w:val="bottom"/>
            <w:gridSpan w:val="2"/>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Consolidated Statements of Operations and Comprehensive Loss</w:t>
              </w:r>
            </w:hyperlink>
          </w:p>
        </w:tc>
        <w:tc>
          <w:tcPr>
            <w:tcW w:w="38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Statements of Stockholders’ Equity</w:t>
              </w:r>
            </w:hyperlink>
          </w:p>
        </w:tc>
        <w:tc>
          <w:tcPr>
            <w:tcW w:w="4940" w:type="dxa"/>
            <w:vAlign w:val="bottom"/>
            <w:gridSpan w:val="3"/>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20" w:type="dxa"/>
            <w:vAlign w:val="bottom"/>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w:t>
              </w:r>
            </w:hyperlink>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20" w:type="dxa"/>
            <w:vAlign w:val="bottom"/>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560" w:type="dxa"/>
            <w:vAlign w:val="bottom"/>
            <w:gridSpan w:val="10"/>
          </w:tcPr>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560" w:type="dxa"/>
            <w:vAlign w:val="bottom"/>
            <w:gridSpan w:val="10"/>
          </w:tcPr>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8420" w:type="dxa"/>
            <w:vAlign w:val="bottom"/>
            <w:gridSpan w:val="8"/>
          </w:tcPr>
          <w:p>
            <w:pPr>
              <w:ind w:left="400"/>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3.1(28)</w:t>
            </w:r>
          </w:p>
        </w:tc>
        <w:tc>
          <w:tcPr>
            <w:tcW w:w="5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 w:type="dxa"/>
            <w:vAlign w:val="bottom"/>
            <w:tcBorders>
              <w:top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20" w:type="dxa"/>
            <w:vAlign w:val="bottom"/>
            <w:tcBorders>
              <w:top w:val="single" w:sz="8" w:color="auto"/>
            </w:tcBorders>
            <w:gridSpan w:val="7"/>
          </w:tcPr>
          <w:p>
            <w:pPr>
              <w:spacing w:after="0" w:line="203" w:lineRule="exact"/>
              <w:rPr>
                <w:sz w:val="20"/>
                <w:szCs w:val="20"/>
                <w:color w:val="auto"/>
              </w:rPr>
            </w:pPr>
            <w:r>
              <w:rPr>
                <w:rFonts w:ascii="Arial" w:cs="Arial" w:eastAsia="Arial" w:hAnsi="Arial"/>
                <w:sz w:val="18"/>
                <w:szCs w:val="18"/>
                <w:color w:val="auto"/>
              </w:rPr>
              <w:t>Restated Certificate of Incorporation of the Registrant, as amended.</w:t>
            </w: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Amended and Restated Bylaws of the Registrant.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3.3(24)</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Specimen of Common Stock Certificate.</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24"/>
                <w:szCs w:val="24"/>
                <w:color w:val="auto"/>
              </w:rPr>
            </w:pPr>
          </w:p>
        </w:tc>
        <w:tc>
          <w:tcPr>
            <w:tcW w:w="10280" w:type="dxa"/>
            <w:vAlign w:val="bottom"/>
            <w:gridSpan w:val="11"/>
          </w:tcPr>
          <w:p>
            <w:pPr>
              <w:ind w:left="400"/>
              <w:spacing w:after="0"/>
              <w:rPr>
                <w:sz w:val="20"/>
                <w:szCs w:val="20"/>
                <w:color w:val="auto"/>
              </w:rPr>
            </w:pPr>
            <w:r>
              <w:rPr>
                <w:rFonts w:ascii="Arial" w:cs="Arial" w:eastAsia="Arial" w:hAnsi="Arial"/>
                <w:sz w:val="18"/>
                <w:szCs w:val="18"/>
                <w:color w:val="auto"/>
                <w:w w:val="89"/>
              </w:rPr>
              <w:t>Amended and Restated Registration Rights Agreement by and among the Registrant, its founders and the investors named therein, dated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September 2, 2004.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4.3(20)</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Warrant dated May 10, 2010 issued to Oxford Finance Corporation.</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4.4(21)</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Form of Warrant to Purchase Common Stock.</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4.5(29)</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w w:val="91"/>
              </w:rPr>
              <w:t>Registration Rights Agreement between the Registrant and Aspire Capital Fund, LLC, dated August 20, 2012.</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4.6(31)</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Warrant dated August 22, 2012 issued to Redington, Inc., as amended.</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4.7(30)</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4.8(32)</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Form of Senior Debt Indenture</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4.9(32)</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Form of Subordinated Debt Indenture</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90"/>
              </w:rPr>
              <w:t>10.1(1)*</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2000 General Stock Incentive Plan of the Registrant.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10.2(27)*</w:t>
            </w: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Amended and Restated 2004 Stock Incentive Plan of the Registrant.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90"/>
              </w:rPr>
              <w:t>10.3*</w:t>
            </w:r>
          </w:p>
        </w:tc>
        <w:tc>
          <w:tcPr>
            <w:tcW w:w="500" w:type="dxa"/>
            <w:vAlign w:val="bottom"/>
          </w:tcPr>
          <w:p>
            <w:pPr>
              <w:spacing w:after="0"/>
              <w:rPr>
                <w:sz w:val="24"/>
                <w:szCs w:val="24"/>
                <w:color w:val="auto"/>
              </w:rPr>
            </w:pP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10.4(2)†</w:t>
            </w: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w w:val="96"/>
              </w:rPr>
              <w:t>License Agreement between the Registrant and Kyorin Pharmaceutical Co., Ltd., dated March 14, 2002.</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10.5(2)†</w:t>
            </w:r>
          </w:p>
        </w:tc>
        <w:tc>
          <w:tcPr>
            <w:tcW w:w="8420" w:type="dxa"/>
            <w:vAlign w:val="bottom"/>
            <w:gridSpan w:val="8"/>
          </w:tcPr>
          <w:p>
            <w:pPr>
              <w:ind w:left="400"/>
              <w:spacing w:after="0"/>
              <w:rPr>
                <w:sz w:val="20"/>
                <w:szCs w:val="20"/>
                <w:color w:val="auto"/>
              </w:rPr>
            </w:pPr>
            <w:r>
              <w:rPr>
                <w:rFonts w:ascii="Arial" w:cs="Arial" w:eastAsia="Arial" w:hAnsi="Arial"/>
                <w:sz w:val="18"/>
                <w:szCs w:val="18"/>
                <w:color w:val="auto"/>
                <w:w w:val="96"/>
              </w:rPr>
              <w:t>License Agreement between the Registrant and Angiogene Pharmaceuticals, Ltd., dated June 19, 2002.</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20" w:type="dxa"/>
            <w:vAlign w:val="bottom"/>
            <w:gridSpan w:val="8"/>
          </w:tcPr>
          <w:p>
            <w:pPr>
              <w:ind w:left="448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340" w:type="dxa"/>
            <w:vAlign w:val="bottom"/>
          </w:tcPr>
          <w:p>
            <w:pPr>
              <w:spacing w:after="0"/>
              <w:rPr>
                <w:sz w:val="18"/>
                <w:szCs w:val="18"/>
                <w:color w:val="auto"/>
              </w:rPr>
            </w:pPr>
          </w:p>
        </w:tc>
      </w:tr>
      <w:tr>
        <w:trPr>
          <w:trHeight w:val="23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144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80" w:type="dxa"/>
            <w:vAlign w:val="bottom"/>
            <w:gridSpan w:val="2"/>
          </w:tcPr>
          <w:p>
            <w:pPr>
              <w:spacing w:after="0" w:line="20" w:lineRule="exact"/>
              <w:rPr>
                <w:sz w:val="1"/>
                <w:szCs w:val="1"/>
                <w:color w:val="auto"/>
              </w:rPr>
            </w:pPr>
          </w:p>
        </w:tc>
        <w:tc>
          <w:tcPr>
            <w:tcW w:w="9340" w:type="dxa"/>
            <w:vAlign w:val="bottom"/>
            <w:tcBorders>
              <w:bottom w:val="single" w:sz="8" w:color="auto"/>
            </w:tcBorders>
          </w:tcPr>
          <w:p>
            <w:pPr>
              <w:spacing w:after="0" w:line="20" w:lineRule="exact"/>
              <w:rPr>
                <w:sz w:val="1"/>
                <w:szCs w:val="1"/>
                <w:color w:val="auto"/>
              </w:rPr>
            </w:pPr>
          </w:p>
        </w:tc>
      </w:tr>
      <w:tr>
        <w:trPr>
          <w:trHeight w:val="289"/>
        </w:trPr>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10.6(2)†</w:t>
            </w:r>
          </w:p>
        </w:tc>
        <w:tc>
          <w:tcPr>
            <w:tcW w:w="9340" w:type="dxa"/>
            <w:vAlign w:val="bottom"/>
          </w:tcPr>
          <w:p>
            <w:pPr>
              <w:spacing w:after="0"/>
              <w:rPr>
                <w:sz w:val="20"/>
                <w:szCs w:val="20"/>
                <w:color w:val="auto"/>
              </w:rPr>
            </w:pPr>
            <w:r>
              <w:rPr>
                <w:rFonts w:ascii="Arial" w:cs="Arial" w:eastAsia="Arial" w:hAnsi="Arial"/>
                <w:sz w:val="18"/>
                <w:szCs w:val="18"/>
                <w:color w:val="auto"/>
              </w:rPr>
              <w:t>Exclusive License Agreement between the Registrant and Kissei Pharmaceutical Co., Ltd., dated February 25, 2004.</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10.7(2)†</w:t>
            </w:r>
          </w:p>
        </w:tc>
        <w:tc>
          <w:tcPr>
            <w:tcW w:w="9340" w:type="dxa"/>
            <w:vAlign w:val="bottom"/>
          </w:tcPr>
          <w:p>
            <w:pPr>
              <w:spacing w:after="0"/>
              <w:rPr>
                <w:sz w:val="20"/>
                <w:szCs w:val="20"/>
                <w:color w:val="auto"/>
              </w:rPr>
            </w:pPr>
            <w:r>
              <w:rPr>
                <w:rFonts w:ascii="Arial" w:cs="Arial" w:eastAsia="Arial" w:hAnsi="Arial"/>
                <w:sz w:val="18"/>
                <w:szCs w:val="18"/>
                <w:color w:val="auto"/>
              </w:rPr>
              <w:t>License Agreement between the Registrant and Mitsubishi Tanabe Pharma Corporation, dated April 27, 2004.</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10.8(3)†</w:t>
            </w:r>
          </w:p>
        </w:tc>
        <w:tc>
          <w:tcPr>
            <w:tcW w:w="9340" w:type="dxa"/>
            <w:vAlign w:val="bottom"/>
          </w:tcPr>
          <w:p>
            <w:pPr>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r>
      <w:tr>
        <w:trPr>
          <w:trHeight w:val="318"/>
        </w:trPr>
        <w:tc>
          <w:tcPr>
            <w:tcW w:w="640" w:type="dxa"/>
            <w:vAlign w:val="bottom"/>
          </w:tcPr>
          <w:p>
            <w:pPr>
              <w:ind w:left="60"/>
              <w:spacing w:after="0"/>
              <w:rPr>
                <w:sz w:val="20"/>
                <w:szCs w:val="20"/>
                <w:color w:val="auto"/>
              </w:rPr>
            </w:pPr>
            <w:r>
              <w:rPr>
                <w:rFonts w:ascii="Arial" w:cs="Arial" w:eastAsia="Arial" w:hAnsi="Arial"/>
                <w:sz w:val="18"/>
                <w:szCs w:val="18"/>
                <w:color w:val="auto"/>
                <w:w w:val="98"/>
              </w:rPr>
              <w:t>10.9(2)</w:t>
            </w:r>
          </w:p>
        </w:tc>
        <w:tc>
          <w:tcPr>
            <w:tcW w:w="144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Office Lease Agreement between the Registrant and CA-LA Jolla II Limited Partnership, dated January 28, 2004 and the First</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Amendment thereto, dated August 10, 2004.</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10.10(3)†</w:t>
            </w:r>
          </w:p>
        </w:tc>
        <w:tc>
          <w:tcPr>
            <w:tcW w:w="9340" w:type="dxa"/>
            <w:vAlign w:val="bottom"/>
          </w:tcPr>
          <w:p>
            <w:pPr>
              <w:spacing w:after="0"/>
              <w:rPr>
                <w:sz w:val="20"/>
                <w:szCs w:val="20"/>
                <w:color w:val="auto"/>
              </w:rPr>
            </w:pPr>
            <w:r>
              <w:rPr>
                <w:rFonts w:ascii="Arial" w:cs="Arial" w:eastAsia="Arial" w:hAnsi="Arial"/>
                <w:sz w:val="18"/>
                <w:szCs w:val="18"/>
                <w:color w:val="auto"/>
              </w:rPr>
              <w:t>License Agreement between the Registrant and Mitsubishi Tanabe Pharma Corporation, dated December 8, 2004.</w:t>
            </w:r>
          </w:p>
        </w:tc>
      </w:tr>
      <w:tr>
        <w:trPr>
          <w:trHeight w:val="318"/>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10.11(4)</w:t>
            </w:r>
          </w:p>
        </w:tc>
        <w:tc>
          <w:tcPr>
            <w:tcW w:w="9340" w:type="dxa"/>
            <w:vAlign w:val="bottom"/>
          </w:tcPr>
          <w:p>
            <w:pPr>
              <w:spacing w:after="0"/>
              <w:rPr>
                <w:sz w:val="20"/>
                <w:szCs w:val="20"/>
                <w:color w:val="auto"/>
              </w:rPr>
            </w:pPr>
            <w:r>
              <w:rPr>
                <w:rFonts w:ascii="Arial" w:cs="Arial" w:eastAsia="Arial" w:hAnsi="Arial"/>
                <w:sz w:val="18"/>
                <w:szCs w:val="18"/>
                <w:color w:val="auto"/>
                <w:w w:val="91"/>
              </w:rPr>
              <w:t>Second Amendment to Office Lease Agreement between the Registrant and CA-La Jolla II Limited Partnership, dated March 21,</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2005.</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10.12(9)*</w:t>
            </w:r>
          </w:p>
        </w:tc>
        <w:tc>
          <w:tcPr>
            <w:tcW w:w="9340" w:type="dxa"/>
            <w:vAlign w:val="bottom"/>
          </w:tcPr>
          <w:p>
            <w:pPr>
              <w:spacing w:after="0"/>
              <w:rPr>
                <w:sz w:val="20"/>
                <w:szCs w:val="20"/>
                <w:color w:val="auto"/>
              </w:rPr>
            </w:pPr>
            <w:r>
              <w:rPr>
                <w:rFonts w:ascii="Arial" w:cs="Arial" w:eastAsia="Arial" w:hAnsi="Arial"/>
                <w:sz w:val="18"/>
                <w:szCs w:val="18"/>
                <w:color w:val="auto"/>
              </w:rPr>
              <w:t>Executive Employment Agreement between the Registrant and Masatsune Okajima, dated September 1, 2006.</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10.13(5)†</w:t>
            </w: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10.14(5)†</w:t>
            </w:r>
          </w:p>
        </w:tc>
        <w:tc>
          <w:tcPr>
            <w:tcW w:w="9340" w:type="dxa"/>
            <w:vAlign w:val="bottom"/>
          </w:tcPr>
          <w:p>
            <w:pPr>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10.15(6)*</w:t>
            </w:r>
          </w:p>
        </w:tc>
        <w:tc>
          <w:tcPr>
            <w:tcW w:w="9340" w:type="dxa"/>
            <w:vAlign w:val="bottom"/>
          </w:tcPr>
          <w:p>
            <w:pPr>
              <w:spacing w:after="0"/>
              <w:rPr>
                <w:sz w:val="20"/>
                <w:szCs w:val="20"/>
                <w:color w:val="auto"/>
              </w:rPr>
            </w:pPr>
            <w:r>
              <w:rPr>
                <w:rFonts w:ascii="Arial" w:cs="Arial" w:eastAsia="Arial" w:hAnsi="Arial"/>
                <w:sz w:val="18"/>
                <w:szCs w:val="18"/>
                <w:color w:val="auto"/>
              </w:rPr>
              <w:t>Executive Employment Agreement between the Registrant and Yuichi Iwaki, M.D., Ph.D., dated April 1, 2007.</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10.16(10)*</w:t>
            </w:r>
          </w:p>
        </w:tc>
        <w:tc>
          <w:tcPr>
            <w:tcW w:w="9340" w:type="dxa"/>
            <w:vAlign w:val="bottom"/>
          </w:tcPr>
          <w:p>
            <w:pPr>
              <w:spacing w:after="0"/>
              <w:rPr>
                <w:sz w:val="20"/>
                <w:szCs w:val="20"/>
                <w:color w:val="auto"/>
              </w:rPr>
            </w:pPr>
            <w:r>
              <w:rPr>
                <w:rFonts w:ascii="Arial" w:cs="Arial" w:eastAsia="Arial" w:hAnsi="Arial"/>
                <w:sz w:val="18"/>
                <w:szCs w:val="18"/>
                <w:color w:val="auto"/>
              </w:rPr>
              <w:t>2007 Employee Stock Purchase Plan of the Registrant.</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10.17(7)*</w:t>
            </w:r>
          </w:p>
        </w:tc>
        <w:tc>
          <w:tcPr>
            <w:tcW w:w="9340" w:type="dxa"/>
            <w:vAlign w:val="bottom"/>
          </w:tcPr>
          <w:p>
            <w:pPr>
              <w:spacing w:after="0"/>
              <w:rPr>
                <w:sz w:val="20"/>
                <w:szCs w:val="20"/>
                <w:color w:val="auto"/>
              </w:rPr>
            </w:pPr>
            <w:r>
              <w:rPr>
                <w:rFonts w:ascii="Arial" w:cs="Arial" w:eastAsia="Arial" w:hAnsi="Arial"/>
                <w:sz w:val="18"/>
                <w:szCs w:val="18"/>
                <w:color w:val="auto"/>
                <w:w w:val="90"/>
              </w:rPr>
              <w:t>Form of Severance Protection Agreement between the Registrant and certain of its executive officers, dated September 12, 2007.</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10.18(8)</w:t>
            </w:r>
          </w:p>
        </w:tc>
        <w:tc>
          <w:tcPr>
            <w:tcW w:w="9340" w:type="dxa"/>
            <w:vAlign w:val="bottom"/>
          </w:tcPr>
          <w:p>
            <w:pPr>
              <w:spacing w:after="0"/>
              <w:rPr>
                <w:sz w:val="20"/>
                <w:szCs w:val="20"/>
                <w:color w:val="auto"/>
              </w:rPr>
            </w:pPr>
            <w:r>
              <w:rPr>
                <w:rFonts w:ascii="Arial" w:cs="Arial" w:eastAsia="Arial" w:hAnsi="Arial"/>
                <w:sz w:val="18"/>
                <w:szCs w:val="18"/>
                <w:color w:val="auto"/>
                <w:w w:val="93"/>
              </w:rPr>
              <w:t>Third Amendment to Office Lease Agreement between the Registrant and 4350 La Jolla Village LLC, dated January 31, 2008.</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10.19(11)</w:t>
            </w:r>
          </w:p>
        </w:tc>
        <w:tc>
          <w:tcPr>
            <w:tcW w:w="9340" w:type="dxa"/>
            <w:vAlign w:val="bottom"/>
          </w:tcPr>
          <w:p>
            <w:pPr>
              <w:spacing w:after="0"/>
              <w:rPr>
                <w:sz w:val="20"/>
                <w:szCs w:val="20"/>
                <w:color w:val="auto"/>
              </w:rPr>
            </w:pPr>
            <w:r>
              <w:rPr>
                <w:rFonts w:ascii="Arial" w:cs="Arial" w:eastAsia="Arial" w:hAnsi="Arial"/>
                <w:sz w:val="18"/>
                <w:szCs w:val="18"/>
                <w:color w:val="auto"/>
                <w:w w:val="98"/>
              </w:rPr>
              <w:t>Fourth Amendment to Lease Agreement between the Registrant and 4350 La Jolla Village LLC, dated October 3, 2008.</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10.20(12)†</w:t>
            </w:r>
          </w:p>
        </w:tc>
        <w:tc>
          <w:tcPr>
            <w:tcW w:w="9340" w:type="dxa"/>
            <w:vAlign w:val="bottom"/>
          </w:tcPr>
          <w:p>
            <w:pPr>
              <w:spacing w:after="0"/>
              <w:rPr>
                <w:sz w:val="20"/>
                <w:szCs w:val="20"/>
                <w:color w:val="auto"/>
              </w:rPr>
            </w:pPr>
            <w:r>
              <w:rPr>
                <w:rFonts w:ascii="Arial" w:cs="Arial" w:eastAsia="Arial" w:hAnsi="Arial"/>
                <w:sz w:val="18"/>
                <w:szCs w:val="18"/>
                <w:color w:val="auto"/>
                <w:w w:val="98"/>
              </w:rPr>
              <w:t>Development and Supply Agreement between the Registrant and Hospira Worldwide, Inc., dated as of March 26, 2009.</w:t>
            </w:r>
          </w:p>
        </w:tc>
      </w:tr>
      <w:tr>
        <w:trPr>
          <w:trHeight w:val="318"/>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10.21(13)</w:t>
            </w:r>
          </w:p>
        </w:tc>
        <w:tc>
          <w:tcPr>
            <w:tcW w:w="9340" w:type="dxa"/>
            <w:vAlign w:val="bottom"/>
          </w:tcPr>
          <w:p>
            <w:pPr>
              <w:spacing w:after="0"/>
              <w:rPr>
                <w:sz w:val="20"/>
                <w:szCs w:val="20"/>
                <w:color w:val="auto"/>
              </w:rPr>
            </w:pPr>
            <w:r>
              <w:rPr>
                <w:rFonts w:ascii="Arial" w:cs="Arial" w:eastAsia="Arial" w:hAnsi="Arial"/>
                <w:sz w:val="18"/>
                <w:szCs w:val="18"/>
                <w:color w:val="auto"/>
                <w:w w:val="89"/>
              </w:rPr>
              <w:t>Form of Trust Agreement by and between Registrant and American Stock Transfer and Trust Company, LLC (attached as Annex D</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to the joint proxy statement/prospectus).</w:t>
            </w:r>
          </w:p>
        </w:tc>
      </w:tr>
      <w:tr>
        <w:trPr>
          <w:trHeight w:val="318"/>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10.22(13)</w:t>
            </w:r>
          </w:p>
        </w:tc>
        <w:tc>
          <w:tcPr>
            <w:tcW w:w="9340" w:type="dxa"/>
            <w:vAlign w:val="bottom"/>
          </w:tcPr>
          <w:p>
            <w:pPr>
              <w:spacing w:after="0"/>
              <w:rPr>
                <w:sz w:val="20"/>
                <w:szCs w:val="20"/>
                <w:color w:val="auto"/>
              </w:rPr>
            </w:pPr>
            <w:r>
              <w:rPr>
                <w:rFonts w:ascii="Arial" w:cs="Arial" w:eastAsia="Arial" w:hAnsi="Arial"/>
                <w:sz w:val="18"/>
                <w:szCs w:val="18"/>
                <w:color w:val="auto"/>
                <w:w w:val="89"/>
              </w:rPr>
              <w:t>Form of Escrow Agreement by and between Registrant and American Stock Transfer and Trust Company, LLC (attached as Annex</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E to the joint proxy statement/prospectus).</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10.23(14)†</w:t>
            </w:r>
          </w:p>
        </w:tc>
        <w:tc>
          <w:tcPr>
            <w:tcW w:w="9340" w:type="dxa"/>
            <w:vAlign w:val="bottom"/>
          </w:tcPr>
          <w:p>
            <w:pPr>
              <w:spacing w:after="0"/>
              <w:rPr>
                <w:sz w:val="20"/>
                <w:szCs w:val="20"/>
                <w:color w:val="auto"/>
              </w:rPr>
            </w:pPr>
            <w:r>
              <w:rPr>
                <w:rFonts w:ascii="Arial" w:cs="Arial" w:eastAsia="Arial" w:hAnsi="Arial"/>
                <w:sz w:val="18"/>
                <w:szCs w:val="18"/>
                <w:color w:val="auto"/>
              </w:rPr>
              <w:t>Assignment Agreement, dated December 19, 2005, by and between Genzyme Corporation and Avigen, Inc.</w:t>
            </w:r>
          </w:p>
        </w:tc>
      </w:tr>
      <w:tr>
        <w:trPr>
          <w:trHeight w:val="318"/>
        </w:trPr>
        <w:tc>
          <w:tcPr>
            <w:tcW w:w="2080" w:type="dxa"/>
            <w:vAlign w:val="bottom"/>
            <w:gridSpan w:val="2"/>
          </w:tcPr>
          <w:p>
            <w:pPr>
              <w:jc w:val="right"/>
              <w:ind w:right="860"/>
              <w:spacing w:after="0"/>
              <w:rPr>
                <w:sz w:val="20"/>
                <w:szCs w:val="20"/>
                <w:color w:val="auto"/>
              </w:rPr>
            </w:pPr>
            <w:r>
              <w:rPr>
                <w:rFonts w:ascii="Arial" w:cs="Arial" w:eastAsia="Arial" w:hAnsi="Arial"/>
                <w:sz w:val="18"/>
                <w:szCs w:val="18"/>
                <w:color w:val="auto"/>
              </w:rPr>
              <w:t>10.24(16)†</w:t>
            </w:r>
          </w:p>
        </w:tc>
        <w:tc>
          <w:tcPr>
            <w:tcW w:w="9340" w:type="dxa"/>
            <w:vAlign w:val="bottom"/>
          </w:tcPr>
          <w:p>
            <w:pPr>
              <w:spacing w:after="0"/>
              <w:rPr>
                <w:sz w:val="20"/>
                <w:szCs w:val="20"/>
                <w:color w:val="auto"/>
              </w:rPr>
            </w:pPr>
            <w:r>
              <w:rPr>
                <w:rFonts w:ascii="Arial" w:cs="Arial" w:eastAsia="Arial" w:hAnsi="Arial"/>
                <w:sz w:val="18"/>
                <w:szCs w:val="18"/>
                <w:color w:val="auto"/>
                <w:w w:val="87"/>
              </w:rPr>
              <w:t>Asset Purchase Agreement, dated December 17, 2008, by and between Baxter Healthcare Corporation, Baxter International Inc., and</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Baxter Healthcare S.A. and Avigen, Inc.</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10.25(19)*</w:t>
            </w:r>
          </w:p>
        </w:tc>
        <w:tc>
          <w:tcPr>
            <w:tcW w:w="9340" w:type="dxa"/>
            <w:vAlign w:val="bottom"/>
          </w:tcPr>
          <w:p>
            <w:pPr>
              <w:spacing w:after="0"/>
              <w:rPr>
                <w:sz w:val="20"/>
                <w:szCs w:val="20"/>
                <w:color w:val="auto"/>
              </w:rPr>
            </w:pPr>
            <w:r>
              <w:rPr>
                <w:rFonts w:ascii="Arial" w:cs="Arial" w:eastAsia="Arial" w:hAnsi="Arial"/>
                <w:sz w:val="18"/>
                <w:szCs w:val="18"/>
                <w:color w:val="auto"/>
              </w:rPr>
              <w:t>Executive Employment Agreement between Registrant and Kirk Johnson, dated February 1, 2010.</w:t>
            </w:r>
          </w:p>
        </w:tc>
      </w:tr>
      <w:tr>
        <w:trPr>
          <w:trHeight w:val="324"/>
        </w:trPr>
        <w:tc>
          <w:tcPr>
            <w:tcW w:w="2080" w:type="dxa"/>
            <w:vAlign w:val="bottom"/>
            <w:gridSpan w:val="2"/>
          </w:tcPr>
          <w:p>
            <w:pPr>
              <w:ind w:left="60"/>
              <w:spacing w:after="0"/>
              <w:rPr>
                <w:sz w:val="20"/>
                <w:szCs w:val="20"/>
                <w:color w:val="auto"/>
              </w:rPr>
            </w:pPr>
            <w:r>
              <w:rPr>
                <w:rFonts w:ascii="Arial" w:cs="Arial" w:eastAsia="Arial" w:hAnsi="Arial"/>
                <w:sz w:val="18"/>
                <w:szCs w:val="18"/>
                <w:color w:val="auto"/>
              </w:rPr>
              <w:t>10.26(15)*</w:t>
            </w:r>
          </w:p>
        </w:tc>
        <w:tc>
          <w:tcPr>
            <w:tcW w:w="9340" w:type="dxa"/>
            <w:vAlign w:val="bottom"/>
          </w:tcPr>
          <w:p>
            <w:pPr>
              <w:spacing w:after="0"/>
              <w:rPr>
                <w:sz w:val="20"/>
                <w:szCs w:val="20"/>
                <w:color w:val="auto"/>
              </w:rPr>
            </w:pPr>
            <w:r>
              <w:rPr>
                <w:rFonts w:ascii="Arial" w:cs="Arial" w:eastAsia="Arial" w:hAnsi="Arial"/>
                <w:sz w:val="18"/>
                <w:szCs w:val="18"/>
                <w:color w:val="auto"/>
              </w:rPr>
              <w:t>Executive Employment Agreement between Registrant and Michael Coffee, dated June 14, 2010.</w:t>
            </w:r>
          </w:p>
        </w:tc>
      </w:tr>
      <w:tr>
        <w:trPr>
          <w:trHeight w:val="365"/>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340" w:type="dxa"/>
            <w:vAlign w:val="bottom"/>
          </w:tcPr>
          <w:p>
            <w:pPr>
              <w:ind w:left="354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3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60" w:type="dxa"/>
            <w:vAlign w:val="bottom"/>
          </w:tcPr>
          <w:p>
            <w:pPr>
              <w:spacing w:after="0"/>
              <w:rPr>
                <w:sz w:val="20"/>
                <w:szCs w:val="20"/>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0" w:type="dxa"/>
            <w:vAlign w:val="bottom"/>
            <w:tcBorders>
              <w:bottom w:val="single" w:sz="8" w:color="auto"/>
            </w:tcBorders>
          </w:tcPr>
          <w:p>
            <w:pPr>
              <w:spacing w:after="0" w:line="20" w:lineRule="exact"/>
              <w:rPr>
                <w:sz w:val="1"/>
                <w:szCs w:val="1"/>
                <w:color w:val="auto"/>
              </w:rPr>
            </w:pPr>
          </w:p>
        </w:tc>
      </w:tr>
      <w:tr>
        <w:trPr>
          <w:trHeight w:val="289"/>
        </w:trPr>
        <w:tc>
          <w:tcPr>
            <w:tcW w:w="1200" w:type="dxa"/>
            <w:vAlign w:val="bottom"/>
            <w:gridSpan w:val="2"/>
          </w:tcPr>
          <w:p>
            <w:pPr>
              <w:spacing w:after="0"/>
              <w:rPr>
                <w:sz w:val="20"/>
                <w:szCs w:val="20"/>
                <w:color w:val="auto"/>
              </w:rPr>
            </w:pPr>
            <w:r>
              <w:rPr>
                <w:rFonts w:ascii="Arial" w:cs="Arial" w:eastAsia="Arial" w:hAnsi="Arial"/>
                <w:sz w:val="18"/>
                <w:szCs w:val="18"/>
                <w:color w:val="auto"/>
              </w:rPr>
              <w:t>10.27(17)*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3"/>
              </w:rPr>
              <w:t>Form of Amendment to Employment Agreement between Registrant and certain of its executive officers, dated December 31, 2011.</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10.28(17)*</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8"/>
              </w:rPr>
              <w:t>Form of Severance Protection Agreement between Registrant and certain of its executive officers, dated December 31, 2011.</w:t>
            </w:r>
          </w:p>
        </w:tc>
      </w:tr>
      <w:tr>
        <w:trPr>
          <w:trHeight w:val="318"/>
        </w:trPr>
        <w:tc>
          <w:tcPr>
            <w:tcW w:w="1200" w:type="dxa"/>
            <w:vAlign w:val="bottom"/>
            <w:gridSpan w:val="2"/>
          </w:tcPr>
          <w:p>
            <w:pPr>
              <w:spacing w:after="0"/>
              <w:rPr>
                <w:sz w:val="20"/>
                <w:szCs w:val="20"/>
                <w:color w:val="auto"/>
              </w:rPr>
            </w:pPr>
            <w:r>
              <w:rPr>
                <w:rFonts w:ascii="Arial" w:cs="Arial" w:eastAsia="Arial" w:hAnsi="Arial"/>
                <w:sz w:val="18"/>
                <w:szCs w:val="18"/>
                <w:color w:val="auto"/>
              </w:rPr>
              <w:t>10.29(22)</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0"/>
              </w:rPr>
              <w:t>Joint Venture Agreement among Registrant, Zhejiang Medicine Co., Ltd. and Beijing Make-Friend Medicine Technology Co., Ltd., dated</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June 29, 2011.</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10.30(23)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Fifth Amendment to Office Lease Agreement between Registrant and 4350 La Jolla Village LLC, dated July 6, 2011.</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10.31(24)</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Stock Purchase Agreement between Registrant and Kissei Pharmaceutical Co. Ltd., dated September 26, 2011.</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10.32(25)</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Consulting Agreement for Chief Financial Officer between Registrant and FLG Partners, dated September 1, 2011</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10.33(26)</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Sixth Amendment to Lease Agreement between the Company and 4350 La Jolla Village LLC, dated March 19, 2012.</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10.34(29)</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Common Stock Purchase Agreement, between the Company and Aspire Capital Fund, LLC., dated as of August 20, 2012.</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10.35(33)</w:t>
            </w: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Sublease Agreement between the Company and Denali Advisors LLC dated February 27, 2013.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21.1(18)</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Powers of Attorney (included in Signature page).</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the Chief Executive Officer pursuant to Rules 13a-14 and 15d-14 promulgated under the Securities Act of 1933.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7"/>
              </w:rPr>
              <w:t>Certification of the Chief Financial Officer pursuant to Rules 13a-14 and 15d-14 promulgated under the Securities Act of 1933.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4"/>
              </w:rPr>
              <w:t>The following financial statements from MediciNova, Inc. on Form 10-K for year ended December 31, 2012 formatted in Extensible</w:t>
            </w:r>
          </w:p>
        </w:tc>
      </w:tr>
      <w:tr>
        <w:trPr>
          <w:trHeight w:val="216"/>
        </w:trPr>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1"/>
              </w:rPr>
              <w:t>Business Reporting Language (XBRL): (i) Consolidated Balance Sheets; (ii) Consolidated Statements of Operations; (iii) Consolidated</w:t>
            </w:r>
          </w:p>
        </w:tc>
      </w:tr>
      <w:tr>
        <w:trPr>
          <w:trHeight w:val="216"/>
        </w:trPr>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w w:val="93"/>
              </w:rPr>
              <w:t>Statements of Stockholders’ Equity and Comprehensive Loss; (iv) Consolidated Statements of Cash Flows; and (v) the notes to the</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ind w:left="420"/>
              <w:spacing w:after="0"/>
              <w:rPr>
                <w:sz w:val="20"/>
                <w:szCs w:val="20"/>
                <w:color w:val="auto"/>
              </w:rPr>
            </w:pPr>
            <w:r>
              <w:rPr>
                <w:rFonts w:ascii="Arial" w:cs="Arial" w:eastAsia="Arial" w:hAnsi="Arial"/>
                <w:sz w:val="18"/>
                <w:szCs w:val="18"/>
                <w:color w:val="auto"/>
              </w:rPr>
              <w:t>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14,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4,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Filed with the Registrant’s Definitive Proxy Statement on Schedule 14A filed March 13, 2007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October 8,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Filed with the Registrant’s Registration Statement on Form S-4 initially filed September 17, 2009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March 16,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with the SEC on March 16,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March 24,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1,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10-Q filed August 15,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12,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8,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22,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March 29,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19"/>
          </w:cols>
          <w:pgMar w:left="240" w:top="459" w:right="1440"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November 8, 2012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S-3 initially filed November 16,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1, 2013 and incorporated herein by reference.</w:t>
      </w:r>
    </w:p>
    <w:p>
      <w:pPr>
        <w:spacing w:after="0" w:line="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Indicates management contract or compensatory plan.</w:t>
      </w:r>
    </w:p>
    <w:p>
      <w:pPr>
        <w:spacing w:after="0" w:line="9" w:lineRule="exact"/>
        <w:rPr>
          <w:rFonts w:ascii="Arial" w:cs="Arial" w:eastAsia="Arial" w:hAnsi="Arial"/>
          <w:sz w:val="18"/>
          <w:szCs w:val="18"/>
          <w:color w:val="auto"/>
        </w:rPr>
      </w:pPr>
    </w:p>
    <w:p>
      <w:pPr>
        <w:ind w:left="460" w:hanging="446"/>
        <w:spacing w:after="0" w:line="255" w:lineRule="auto"/>
        <w:rPr>
          <w:rFonts w:ascii="Arial" w:cs="Arial" w:eastAsia="Arial" w:hAnsi="Arial"/>
          <w:sz w:val="18"/>
          <w:szCs w:val="18"/>
          <w:color w:val="auto"/>
        </w:rPr>
      </w:pPr>
      <w:r>
        <w:rPr>
          <w:rFonts w:ascii="Arial" w:cs="Arial" w:eastAsia="Arial" w:hAnsi="Arial"/>
          <w:sz w:val="18"/>
          <w:szCs w:val="18"/>
          <w:color w:val="auto"/>
        </w:rPr>
        <w:t>** Pursuant to Rule 406T of Regulation S-T, this interactive data file is deemed not filed or part of a registration statement or prospectus for purpose of Section 11 or 12 of the Securities Act of 1933, is deemed not filed for purpose of Section 18 of the Exchange Act of 1934, and otherwise is not subject to liability under these sections.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4200" w:type="dxa"/>
            <w:vAlign w:val="bottom"/>
            <w:gridSpan w:val="2"/>
          </w:tcPr>
          <w:p>
            <w:pPr>
              <w:ind w:left="23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EDICINOVA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4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200" w:type="dxa"/>
            <w:vAlign w:val="bottom"/>
            <w:gridSpan w:val="2"/>
          </w:tcPr>
          <w:p>
            <w:pPr>
              <w:ind w:left="2360"/>
              <w:spacing w:after="0"/>
              <w:rPr>
                <w:sz w:val="20"/>
                <w:szCs w:val="20"/>
                <w:color w:val="auto"/>
              </w:rPr>
            </w:pPr>
            <w:r>
              <w:rPr>
                <w:rFonts w:ascii="Arial" w:cs="Arial" w:eastAsia="Arial" w:hAnsi="Arial"/>
                <w:sz w:val="18"/>
                <w:szCs w:val="18"/>
                <w:color w:val="auto"/>
                <w:w w:val="94"/>
              </w:rPr>
              <w:t>A Delaware Corporation</w:t>
            </w:r>
          </w:p>
        </w:tc>
        <w:tc>
          <w:tcPr>
            <w:tcW w:w="4080" w:type="dxa"/>
            <w:vAlign w:val="bottom"/>
          </w:tcPr>
          <w:p>
            <w:pPr>
              <w:spacing w:after="0"/>
              <w:rPr>
                <w:sz w:val="19"/>
                <w:szCs w:val="19"/>
                <w:color w:val="auto"/>
              </w:rPr>
            </w:pPr>
          </w:p>
        </w:tc>
      </w:tr>
      <w:tr>
        <w:trPr>
          <w:trHeight w:val="434"/>
        </w:trPr>
        <w:tc>
          <w:tcPr>
            <w:tcW w:w="3140" w:type="dxa"/>
            <w:vAlign w:val="bottom"/>
          </w:tcPr>
          <w:p>
            <w:pPr>
              <w:spacing w:after="0"/>
              <w:rPr>
                <w:sz w:val="20"/>
                <w:szCs w:val="20"/>
                <w:color w:val="auto"/>
              </w:rPr>
            </w:pPr>
            <w:r>
              <w:rPr>
                <w:rFonts w:ascii="Arial" w:cs="Arial" w:eastAsia="Arial" w:hAnsi="Arial"/>
                <w:sz w:val="18"/>
                <w:szCs w:val="18"/>
                <w:color w:val="auto"/>
              </w:rPr>
              <w:t>Date: March 28, 2013</w:t>
            </w:r>
          </w:p>
        </w:tc>
        <w:tc>
          <w:tcPr>
            <w:tcW w:w="4200" w:type="dxa"/>
            <w:vAlign w:val="bottom"/>
            <w:gridSpan w:val="2"/>
          </w:tcPr>
          <w:p>
            <w:pPr>
              <w:ind w:left="2520"/>
              <w:spacing w:after="0"/>
              <w:rPr>
                <w:sz w:val="20"/>
                <w:szCs w:val="20"/>
                <w:color w:val="auto"/>
              </w:rPr>
            </w:pPr>
            <w:r>
              <w:rPr>
                <w:rFonts w:ascii="Arial" w:cs="Arial" w:eastAsia="Arial" w:hAnsi="Arial"/>
                <w:sz w:val="18"/>
                <w:szCs w:val="18"/>
                <w:color w:val="auto"/>
              </w:rPr>
              <w:t>By:</w:t>
            </w:r>
          </w:p>
        </w:tc>
        <w:tc>
          <w:tcPr>
            <w:tcW w:w="4080" w:type="dxa"/>
            <w:vAlign w:val="bottom"/>
          </w:tcPr>
          <w:p>
            <w:pPr>
              <w:jc w:val="center"/>
              <w:ind w:right="1192"/>
              <w:spacing w:after="0"/>
              <w:rPr>
                <w:sz w:val="20"/>
                <w:szCs w:val="20"/>
                <w:color w:val="auto"/>
              </w:rPr>
            </w:pPr>
            <w:r>
              <w:rPr>
                <w:rFonts w:ascii="Arial" w:cs="Arial" w:eastAsia="Arial" w:hAnsi="Arial"/>
                <w:sz w:val="18"/>
                <w:szCs w:val="18"/>
                <w:color w:val="auto"/>
                <w:w w:val="94"/>
              </w:rPr>
              <w:t>/s/ Yuichi Iwaki</w:t>
            </w:r>
          </w:p>
        </w:tc>
      </w:tr>
      <w:tr>
        <w:trPr>
          <w:trHeight w:val="215"/>
        </w:trPr>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1192"/>
              <w:spacing w:after="0"/>
              <w:rPr>
                <w:sz w:val="20"/>
                <w:szCs w:val="20"/>
                <w:color w:val="auto"/>
              </w:rPr>
            </w:pPr>
            <w:r>
              <w:rPr>
                <w:rFonts w:ascii="Arial" w:cs="Arial" w:eastAsia="Arial" w:hAnsi="Arial"/>
                <w:sz w:val="18"/>
                <w:szCs w:val="18"/>
                <w:color w:val="auto"/>
                <w:w w:val="92"/>
              </w:rPr>
              <w:t>Yuichi Iwaki, M.D., Ph.D.</w:t>
            </w:r>
          </w:p>
        </w:tc>
      </w:tr>
      <w:tr>
        <w:trPr>
          <w:trHeight w:val="222"/>
        </w:trPr>
        <w:tc>
          <w:tcPr>
            <w:tcW w:w="3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80" w:type="dxa"/>
            <w:vAlign w:val="bottom"/>
          </w:tcPr>
          <w:p>
            <w:pPr>
              <w:jc w:val="center"/>
              <w:ind w:right="1192"/>
              <w:spacing w:after="0"/>
              <w:rPr>
                <w:sz w:val="20"/>
                <w:szCs w:val="20"/>
                <w:color w:val="auto"/>
              </w:rPr>
            </w:pPr>
            <w:r>
              <w:rPr>
                <w:rFonts w:ascii="Arial" w:cs="Arial" w:eastAsia="Arial" w:hAnsi="Arial"/>
                <w:sz w:val="18"/>
                <w:szCs w:val="18"/>
                <w:color w:val="auto"/>
                <w:w w:val="91"/>
              </w:rPr>
              <w:t>President &amp; Chief Executive Officer</w:t>
            </w:r>
          </w:p>
        </w:tc>
      </w:tr>
      <w:tr>
        <w:trPr>
          <w:trHeight w:val="365"/>
        </w:trPr>
        <w:tc>
          <w:tcPr>
            <w:tcW w:w="3140" w:type="dxa"/>
            <w:vAlign w:val="bottom"/>
          </w:tcPr>
          <w:p>
            <w:pPr>
              <w:spacing w:after="0"/>
              <w:rPr>
                <w:sz w:val="24"/>
                <w:szCs w:val="24"/>
                <w:color w:val="auto"/>
              </w:rPr>
            </w:pPr>
          </w:p>
        </w:tc>
        <w:tc>
          <w:tcPr>
            <w:tcW w:w="42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POWER OF ATTORNEY</w:t>
            </w:r>
          </w:p>
        </w:tc>
        <w:tc>
          <w:tcPr>
            <w:tcW w:w="4080" w:type="dxa"/>
            <w:vAlign w:val="bottom"/>
          </w:tcPr>
          <w:p>
            <w:pPr>
              <w:spacing w:after="0"/>
              <w:rPr>
                <w:sz w:val="24"/>
                <w:szCs w:val="24"/>
                <w:color w:val="auto"/>
              </w:rPr>
            </w:pPr>
          </w:p>
        </w:tc>
      </w:tr>
    </w:tbl>
    <w:p>
      <w:pPr>
        <w:spacing w:after="0" w:line="14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and Michael Gennaro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Pr>
          <w:p>
            <w:pPr>
              <w:spacing w:after="0"/>
              <w:rPr>
                <w:sz w:val="19"/>
                <w:szCs w:val="19"/>
                <w:color w:val="auto"/>
              </w:rPr>
            </w:pPr>
          </w:p>
        </w:tc>
        <w:tc>
          <w:tcPr>
            <w:tcW w:w="266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86"/>
              </w:rPr>
              <w:t>Signature</w:t>
            </w:r>
          </w:p>
        </w:tc>
        <w:tc>
          <w:tcPr>
            <w:tcW w:w="196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840" w:type="dxa"/>
            <w:vAlign w:val="bottom"/>
          </w:tcPr>
          <w:p>
            <w:pPr>
              <w:spacing w:after="0"/>
              <w:rPr>
                <w:sz w:val="19"/>
                <w:szCs w:val="19"/>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4"/>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Yuichi Iwaki</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 President &amp; Chief Executive Officer (Principal</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8"/>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2"/>
              </w:rPr>
              <w:t>Yuichi Iwaki, M.D., Ph.D.</w:t>
            </w:r>
          </w:p>
        </w:tc>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Executive Officer)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7"/>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Michael Gennaro</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8"/>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88"/>
              </w:rPr>
              <w:t>Michael Gennaro</w:t>
            </w:r>
          </w:p>
        </w:tc>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Accounting Officer)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 Himawan</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7"/>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0"/>
              </w:rPr>
              <w:t>Jeff Himawan, Ph.D.</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Tatsuo Izumi</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7"/>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89"/>
              </w:rPr>
              <w:t>Tatsuo Izumi</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Arlene Morris</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7"/>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3"/>
              </w:rPr>
              <w:t>Arlene Morris</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Kousuke Nakata</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7"/>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87"/>
              </w:rPr>
              <w:t>Kousuke Nakata</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David O’Toole</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7"/>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2"/>
              </w:rPr>
              <w:t>David O’Toole</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Hiroaki Shigeta</w:t>
            </w: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March 28, 2013</w:t>
            </w:r>
          </w:p>
        </w:tc>
      </w:tr>
      <w:tr>
        <w:trPr>
          <w:trHeight w:val="217"/>
        </w:trPr>
        <w:tc>
          <w:tcPr>
            <w:tcW w:w="4620" w:type="dxa"/>
            <w:vAlign w:val="bottom"/>
            <w:gridSpan w:val="3"/>
          </w:tcPr>
          <w:p>
            <w:pPr>
              <w:jc w:val="center"/>
              <w:spacing w:after="0"/>
              <w:rPr>
                <w:sz w:val="20"/>
                <w:szCs w:val="20"/>
                <w:color w:val="auto"/>
              </w:rPr>
            </w:pPr>
            <w:r>
              <w:rPr>
                <w:rFonts w:ascii="Arial" w:cs="Arial" w:eastAsia="Arial" w:hAnsi="Arial"/>
                <w:sz w:val="18"/>
                <w:szCs w:val="18"/>
                <w:color w:val="auto"/>
                <w:w w:val="91"/>
              </w:rPr>
              <w:t>Hiroaki Shigeta</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70"/>
        </w:trPr>
        <w:tc>
          <w:tcPr>
            <w:tcW w:w="1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60" w:type="dxa"/>
            <w:vAlign w:val="bottom"/>
          </w:tcPr>
          <w:p>
            <w:pPr>
              <w:ind w:left="96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60" w:type="dxa"/>
            <w:vAlign w:val="bottom"/>
          </w:tcPr>
          <w:p>
            <w:pPr>
              <w:ind w:left="31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2"/>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40" w:type="dxa"/>
            <w:vAlign w:val="bottom"/>
            <w:gridSpan w:val="2"/>
          </w:tcPr>
          <w:p>
            <w:pPr>
              <w:ind w:left="4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3.1(28)</w:t>
            </w:r>
          </w:p>
        </w:tc>
        <w:tc>
          <w:tcPr>
            <w:tcW w:w="540" w:type="dxa"/>
            <w:vAlign w:val="bottom"/>
          </w:tcPr>
          <w:p>
            <w:pPr>
              <w:spacing w:after="0" w:line="20" w:lineRule="exact"/>
              <w:rPr>
                <w:sz w:val="1"/>
                <w:szCs w:val="1"/>
                <w:color w:val="auto"/>
              </w:rPr>
            </w:pPr>
          </w:p>
        </w:tc>
        <w:tc>
          <w:tcPr>
            <w:tcW w:w="10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 w:type="dxa"/>
            <w:vAlign w:val="bottom"/>
            <w:tcBorders>
              <w:top w:val="single" w:sz="8" w:color="auto"/>
            </w:tcBorders>
            <w:vMerge w:val="continue"/>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Restated Certificate of Incorporation of the Registrant, as amended.</w:t>
            </w:r>
          </w:p>
        </w:tc>
        <w:tc>
          <w:tcPr>
            <w:tcW w:w="0" w:type="dxa"/>
            <w:vAlign w:val="bottom"/>
          </w:tcPr>
          <w:p>
            <w:pPr>
              <w:spacing w:after="0"/>
              <w:rPr>
                <w:sz w:val="1"/>
                <w:szCs w:val="1"/>
                <w:color w:val="auto"/>
              </w:rPr>
            </w:pPr>
          </w:p>
        </w:tc>
      </w:tr>
      <w:tr>
        <w:trPr>
          <w:trHeight w:val="316"/>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3.3(24)</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0" w:type="dxa"/>
            <w:vAlign w:val="bottom"/>
          </w:tcPr>
          <w:p>
            <w:pPr>
              <w:spacing w:after="0"/>
              <w:rPr>
                <w:sz w:val="1"/>
                <w:szCs w:val="1"/>
                <w:color w:val="auto"/>
              </w:rPr>
            </w:pPr>
          </w:p>
        </w:tc>
      </w:tr>
      <w:tr>
        <w:trPr>
          <w:trHeight w:val="32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Specimen of Common Stock Certificate.</w:t>
            </w:r>
          </w:p>
        </w:tc>
        <w:tc>
          <w:tcPr>
            <w:tcW w:w="0" w:type="dxa"/>
            <w:vAlign w:val="bottom"/>
          </w:tcPr>
          <w:p>
            <w:pPr>
              <w:spacing w:after="0"/>
              <w:rPr>
                <w:sz w:val="1"/>
                <w:szCs w:val="1"/>
                <w:color w:val="auto"/>
              </w:rPr>
            </w:pPr>
          </w:p>
        </w:tc>
      </w:tr>
      <w:tr>
        <w:trPr>
          <w:trHeight w:val="318"/>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w w:val="88"/>
              </w:rPr>
              <w:t>Amended and Restated Registration Rights Agreement by and among the Registrant, its founders and the investors named therein, dated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September 2, 2004.</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4.3(20)</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4.4(21)</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4.5(29)</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Registration Rights Agreement between the Registrant and Aspire Capital Fund, LLC, dated August 20, 2012.</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4.6(31)</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Warrant dated August 22, 2012 issued to Redington, Inc., as amended.</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4.7(30)</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4.8(32)</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Form of Senior Debt Indenture</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rPr>
              <w:t>4.9(32)</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Form of Subordinated Debt Indenture</w:t>
            </w:r>
          </w:p>
        </w:tc>
        <w:tc>
          <w:tcPr>
            <w:tcW w:w="0" w:type="dxa"/>
            <w:vAlign w:val="bottom"/>
          </w:tcPr>
          <w:p>
            <w:pPr>
              <w:spacing w:after="0"/>
              <w:rPr>
                <w:sz w:val="1"/>
                <w:szCs w:val="1"/>
                <w:color w:val="auto"/>
              </w:rPr>
            </w:pPr>
          </w:p>
        </w:tc>
      </w:tr>
      <w:tr>
        <w:trPr>
          <w:trHeight w:val="324"/>
        </w:trPr>
        <w:tc>
          <w:tcPr>
            <w:tcW w:w="640" w:type="dxa"/>
            <w:vAlign w:val="bottom"/>
          </w:tcPr>
          <w:p>
            <w:pPr>
              <w:jc w:val="right"/>
              <w:spacing w:after="0"/>
              <w:rPr>
                <w:sz w:val="20"/>
                <w:szCs w:val="20"/>
                <w:color w:val="auto"/>
              </w:rPr>
            </w:pPr>
            <w:r>
              <w:rPr>
                <w:rFonts w:ascii="Arial" w:cs="Arial" w:eastAsia="Arial" w:hAnsi="Arial"/>
                <w:sz w:val="18"/>
                <w:szCs w:val="18"/>
                <w:color w:val="auto"/>
                <w:w w:val="90"/>
              </w:rPr>
              <w:t>10.1(1)*</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2000 General Stock Incentive Plan of the Registrant.</w:t>
            </w:r>
          </w:p>
        </w:tc>
        <w:tc>
          <w:tcPr>
            <w:tcW w:w="0" w:type="dxa"/>
            <w:vAlign w:val="bottom"/>
          </w:tcPr>
          <w:p>
            <w:pPr>
              <w:spacing w:after="0"/>
              <w:rPr>
                <w:sz w:val="1"/>
                <w:szCs w:val="1"/>
                <w:color w:val="auto"/>
              </w:rPr>
            </w:pPr>
          </w:p>
        </w:tc>
      </w:tr>
      <w:tr>
        <w:trPr>
          <w:trHeight w:val="324"/>
        </w:trPr>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10.2(27)*</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Amended and Restated 2004 Stock Incentive Plan of the Registrant.</w:t>
            </w:r>
          </w:p>
        </w:tc>
        <w:tc>
          <w:tcPr>
            <w:tcW w:w="0" w:type="dxa"/>
            <w:vAlign w:val="bottom"/>
          </w:tcPr>
          <w:p>
            <w:pPr>
              <w:spacing w:after="0"/>
              <w:rPr>
                <w:sz w:val="1"/>
                <w:szCs w:val="1"/>
                <w:color w:val="auto"/>
              </w:rPr>
            </w:pPr>
          </w:p>
        </w:tc>
      </w:tr>
      <w:tr>
        <w:trPr>
          <w:trHeight w:val="324"/>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90"/>
              </w:rPr>
              <w:t>10.3*</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c>
          <w:tcPr>
            <w:tcW w:w="0" w:type="dxa"/>
            <w:vAlign w:val="bottom"/>
          </w:tcPr>
          <w:p>
            <w:pPr>
              <w:spacing w:after="0"/>
              <w:rPr>
                <w:sz w:val="1"/>
                <w:szCs w:val="1"/>
                <w:color w:val="auto"/>
              </w:rPr>
            </w:pPr>
          </w:p>
        </w:tc>
      </w:tr>
      <w:tr>
        <w:trPr>
          <w:trHeight w:val="324"/>
        </w:trPr>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10.4(2)†</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License Agreement between the Registrant and Kyorin Pharmaceutical Co., Ltd., dated March 14, 2002.</w:t>
            </w:r>
          </w:p>
        </w:tc>
        <w:tc>
          <w:tcPr>
            <w:tcW w:w="0" w:type="dxa"/>
            <w:vAlign w:val="bottom"/>
          </w:tcPr>
          <w:p>
            <w:pPr>
              <w:spacing w:after="0"/>
              <w:rPr>
                <w:sz w:val="1"/>
                <w:szCs w:val="1"/>
                <w:color w:val="auto"/>
              </w:rPr>
            </w:pPr>
          </w:p>
        </w:tc>
      </w:tr>
      <w:tr>
        <w:trPr>
          <w:trHeight w:val="324"/>
        </w:trPr>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10.5(2)†</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License Agreement between the Registrant and Angiogene Pharmaceuticals, Ltd., dated June 19, 2002.</w:t>
            </w:r>
          </w:p>
        </w:tc>
        <w:tc>
          <w:tcPr>
            <w:tcW w:w="0" w:type="dxa"/>
            <w:vAlign w:val="bottom"/>
          </w:tcPr>
          <w:p>
            <w:pPr>
              <w:spacing w:after="0"/>
              <w:rPr>
                <w:sz w:val="1"/>
                <w:szCs w:val="1"/>
                <w:color w:val="auto"/>
              </w:rPr>
            </w:pPr>
          </w:p>
        </w:tc>
      </w:tr>
      <w:tr>
        <w:trPr>
          <w:trHeight w:val="324"/>
        </w:trPr>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10.6(2)†</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Exclusive License Agreement between the Registrant and Kissei Pharmaceutical Co., Ltd., dated February 25, 2004.</w:t>
            </w:r>
          </w:p>
        </w:tc>
        <w:tc>
          <w:tcPr>
            <w:tcW w:w="0" w:type="dxa"/>
            <w:vAlign w:val="bottom"/>
          </w:tcPr>
          <w:p>
            <w:pPr>
              <w:spacing w:after="0"/>
              <w:rPr>
                <w:sz w:val="1"/>
                <w:szCs w:val="1"/>
                <w:color w:val="auto"/>
              </w:rPr>
            </w:pPr>
          </w:p>
        </w:tc>
      </w:tr>
      <w:tr>
        <w:trPr>
          <w:trHeight w:val="324"/>
        </w:trPr>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10.7(2)†</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License Agreement between the Registrant and Mitsubishi Tanabe Pharma Corporation, dated April 27, 2004.</w:t>
            </w:r>
          </w:p>
        </w:tc>
        <w:tc>
          <w:tcPr>
            <w:tcW w:w="0" w:type="dxa"/>
            <w:vAlign w:val="bottom"/>
          </w:tcPr>
          <w:p>
            <w:pPr>
              <w:spacing w:after="0"/>
              <w:rPr>
                <w:sz w:val="1"/>
                <w:szCs w:val="1"/>
                <w:color w:val="auto"/>
              </w:rPr>
            </w:pPr>
          </w:p>
        </w:tc>
      </w:tr>
      <w:tr>
        <w:trPr>
          <w:trHeight w:val="324"/>
        </w:trPr>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10.8(3)†</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c>
          <w:tcPr>
            <w:tcW w:w="0" w:type="dxa"/>
            <w:vAlign w:val="bottom"/>
          </w:tcPr>
          <w:p>
            <w:pPr>
              <w:spacing w:after="0"/>
              <w:rPr>
                <w:sz w:val="1"/>
                <w:szCs w:val="1"/>
                <w:color w:val="auto"/>
              </w:rPr>
            </w:pPr>
          </w:p>
        </w:tc>
      </w:tr>
      <w:tr>
        <w:trPr>
          <w:trHeight w:val="318"/>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87"/>
              </w:rPr>
              <w:t>10.9(2)</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w w:val="97"/>
              </w:rPr>
              <w:t>Office Lease Agreement between the Registrant and CA-LA Jolla II Limited Partnership, dated January 28, 2004 and the First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Amendment thereto, dated August 10, 2004.</w:t>
            </w: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10.10(3)†</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License Agreement between the Registrant and Mitsubishi Tanabe Pharma Corporation, dated December 8, 2004.</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10.11(4)</w:t>
            </w:r>
          </w:p>
        </w:tc>
        <w:tc>
          <w:tcPr>
            <w:tcW w:w="540" w:type="dxa"/>
            <w:vAlign w:val="bottom"/>
          </w:tcPr>
          <w:p>
            <w:pPr>
              <w:spacing w:after="0"/>
              <w:rPr>
                <w:sz w:val="24"/>
                <w:szCs w:val="24"/>
                <w:color w:val="auto"/>
              </w:rPr>
            </w:pP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w w:val="90"/>
              </w:rPr>
              <w:t>Second Amendment to Office Lease Agreement between the Registrant and CA-La Jolla II Limited Partnership, dated March 21, 2005.</w:t>
            </w: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10.12(9)*</w:t>
            </w:r>
          </w:p>
        </w:tc>
        <w:tc>
          <w:tcPr>
            <w:tcW w:w="10240" w:type="dxa"/>
            <w:vAlign w:val="bottom"/>
            <w:gridSpan w:val="2"/>
          </w:tcPr>
          <w:p>
            <w:pPr>
              <w:ind w:left="480"/>
              <w:spacing w:after="0"/>
              <w:rPr>
                <w:sz w:val="20"/>
                <w:szCs w:val="20"/>
                <w:color w:val="auto"/>
              </w:rPr>
            </w:pPr>
            <w:r>
              <w:rPr>
                <w:rFonts w:ascii="Arial" w:cs="Arial" w:eastAsia="Arial" w:hAnsi="Arial"/>
                <w:sz w:val="18"/>
                <w:szCs w:val="18"/>
                <w:color w:val="auto"/>
              </w:rPr>
              <w:t>Executive Employment Agreement between the Registrant and Masatsune Okajima, dated September 1, 2006.</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40" w:type="dxa"/>
            <w:vAlign w:val="bottom"/>
            <w:gridSpan w:val="2"/>
          </w:tcPr>
          <w:p>
            <w:pPr>
              <w:ind w:left="44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620" w:type="dxa"/>
            <w:vAlign w:val="bottom"/>
          </w:tcPr>
          <w:p>
            <w:pPr>
              <w:spacing w:after="0"/>
              <w:rPr>
                <w:sz w:val="20"/>
                <w:szCs w:val="20"/>
                <w:color w:val="auto"/>
              </w:rPr>
            </w:pPr>
          </w:p>
        </w:tc>
        <w:tc>
          <w:tcPr>
            <w:tcW w:w="10160" w:type="dxa"/>
            <w:vAlign w:val="bottom"/>
            <w:gridSpan w:val="2"/>
          </w:tcPr>
          <w:p>
            <w:pPr>
              <w:ind w:left="5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10.13(5)†</w:t>
            </w:r>
          </w:p>
        </w:tc>
        <w:tc>
          <w:tcPr>
            <w:tcW w:w="10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96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License Agreement, dated October 31, 2006 by and between the Registrant and Meiji Seika Kaisha, Ltd.</w:t>
            </w:r>
          </w:p>
        </w:tc>
        <w:tc>
          <w:tcPr>
            <w:tcW w:w="0" w:type="dxa"/>
            <w:vAlign w:val="bottom"/>
          </w:tcPr>
          <w:p>
            <w:pPr>
              <w:spacing w:after="0"/>
              <w:rPr>
                <w:sz w:val="1"/>
                <w:szCs w:val="1"/>
                <w:color w:val="auto"/>
              </w:rPr>
            </w:pPr>
          </w:p>
        </w:tc>
      </w:tr>
      <w:tr>
        <w:trPr>
          <w:trHeight w:val="316"/>
        </w:trPr>
        <w:tc>
          <w:tcPr>
            <w:tcW w:w="1260" w:type="dxa"/>
            <w:vAlign w:val="bottom"/>
            <w:gridSpan w:val="2"/>
          </w:tcPr>
          <w:p>
            <w:pPr>
              <w:spacing w:after="0"/>
              <w:rPr>
                <w:sz w:val="20"/>
                <w:szCs w:val="20"/>
                <w:color w:val="auto"/>
              </w:rPr>
            </w:pPr>
            <w:r>
              <w:rPr>
                <w:rFonts w:ascii="Arial" w:cs="Arial" w:eastAsia="Arial" w:hAnsi="Arial"/>
                <w:sz w:val="18"/>
                <w:szCs w:val="18"/>
                <w:color w:val="auto"/>
              </w:rPr>
              <w:t>10.14(5)†</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10.15(6)*</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Executive Employment Agreement between the Registrant and Yuichi Iwaki, M.D., Ph.D., dated April 1, 2007.</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10.16(10)*</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2007 Employee Stock Purchase Plan of the Registrant.</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10.17(7)*</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93"/>
              </w:rPr>
              <w:t>Form of Severance Protection Agreement between the Registrant and certain of its executive officers, dated September 12, 2007.</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10.18(8)</w:t>
            </w:r>
          </w:p>
        </w:tc>
        <w:tc>
          <w:tcPr>
            <w:tcW w:w="620" w:type="dxa"/>
            <w:vAlign w:val="bottom"/>
          </w:tcPr>
          <w:p>
            <w:pPr>
              <w:spacing w:after="0"/>
              <w:rPr>
                <w:sz w:val="24"/>
                <w:szCs w:val="24"/>
                <w:color w:val="auto"/>
              </w:rPr>
            </w:pP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96"/>
              </w:rPr>
              <w:t>Third Amendment to Office Lease Agreement between the Registrant and 4350 La Jolla Village LLC, dated January 31, 2008.</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10.19(11)</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Fourth Amendment to Lease Agreement between the Registrant and 4350 La Jolla Village LLC, dated October 3, 2008.</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10.20(12)†</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Development and Supply Agreement between the Registrant and Hospira Worldwide, Inc., dated as of March 26, 2009.</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10.21(13)</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88"/>
              </w:rPr>
              <w:t>Form of Trust Agreement by and between Registrant and American Stock Transfer and Trust Company, LLC (attached as Annex D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joint proxy statement/prospectus).</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10.22(13)</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89"/>
              </w:rPr>
              <w:t>Form of Escrow Agreement by and between Registrant and American Stock Transfer and Trust Company, LLC (attached as Annex E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the joint proxy statement/prospectus).</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10.23(14)†</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Assignment Agreement, dated December 19, 2005, by and between Genzyme Corporation and Avigen, Inc.</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10.24(16)†</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90"/>
              </w:rPr>
              <w:t>Asset Purchase Agreement, dated December 17, 2008, by and between Baxter Healthcare Corporation, Baxter International Inc.,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Baxter Healthcare S.A. and Avigen, Inc.</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10.25(19)*</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Executive Employment Agreement between Registrant and Kirk Johnson, dated February 1, 2010.</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10.26(15)*</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Executive Employment Agreement between Registrant and Michael Coffee, dated June 14, 2010.</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10.27(17)*</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92"/>
              </w:rPr>
              <w:t>Form of Amendment to Employment Agreement between Registrant and certain of its executive officers, dated December 31, 2011.</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10.28(17)*</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96"/>
              </w:rPr>
              <w:t>Form of Severance Protection Agreement between Registrant and certain of its executive officers, dated December 31, 2011.</w:t>
            </w:r>
          </w:p>
        </w:tc>
        <w:tc>
          <w:tcPr>
            <w:tcW w:w="0" w:type="dxa"/>
            <w:vAlign w:val="bottom"/>
          </w:tcPr>
          <w:p>
            <w:pPr>
              <w:spacing w:after="0"/>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10.29(22)</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w w:val="89"/>
              </w:rPr>
              <w:t>Joint Venture Agreement among Registrant, Zhejiang Medicine Co., Ltd. and Beijing Make-Friend Medicine Technology Co., Ltd., dated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June 29, 2011.</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10.30(23)</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Fifth Amendment to Office Lease Agreement between Registrant and 4350 La Jolla Village LLC, dated July 6, 2011.</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10.31(24)</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Stock Purchase Agreement between Registrant and Kissei Pharmaceutical Co. Ltd., dated September 26, 2011.</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10.32(25)</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Consulting Agreement for Chief Financial Officer between Registrant and FLG Partners, dated September 1, 2011</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10.33(26)</w:t>
            </w:r>
          </w:p>
        </w:tc>
        <w:tc>
          <w:tcPr>
            <w:tcW w:w="10160" w:type="dxa"/>
            <w:vAlign w:val="bottom"/>
            <w:gridSpan w:val="2"/>
          </w:tcPr>
          <w:p>
            <w:pPr>
              <w:ind w:left="500"/>
              <w:spacing w:after="0"/>
              <w:rPr>
                <w:sz w:val="20"/>
                <w:szCs w:val="20"/>
                <w:color w:val="auto"/>
              </w:rPr>
            </w:pPr>
            <w:r>
              <w:rPr>
                <w:rFonts w:ascii="Arial" w:cs="Arial" w:eastAsia="Arial" w:hAnsi="Arial"/>
                <w:sz w:val="18"/>
                <w:szCs w:val="18"/>
                <w:color w:val="auto"/>
              </w:rPr>
              <w:t>Sixth Amendment to Lease Agreement between the Company and 4350 La Jolla Village LLC, dated March 19, 2012.</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160" w:type="dxa"/>
            <w:vAlign w:val="bottom"/>
            <w:gridSpan w:val="2"/>
          </w:tcPr>
          <w:p>
            <w:pPr>
              <w:ind w:left="43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7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10.34(29)</w:t>
            </w:r>
          </w:p>
        </w:tc>
        <w:tc>
          <w:tcPr>
            <w:tcW w:w="10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gridSpan w:val="2"/>
            <w:vMerge w:val="continue"/>
          </w:tcPr>
          <w:p>
            <w:pPr>
              <w:spacing w:after="0"/>
              <w:rPr>
                <w:sz w:val="17"/>
                <w:szCs w:val="17"/>
                <w:color w:val="auto"/>
              </w:rPr>
            </w:pPr>
          </w:p>
        </w:tc>
        <w:tc>
          <w:tcPr>
            <w:tcW w:w="10040" w:type="dxa"/>
            <w:vAlign w:val="bottom"/>
          </w:tcPr>
          <w:p>
            <w:pPr>
              <w:spacing w:after="0" w:line="203" w:lineRule="exact"/>
              <w:rPr>
                <w:sz w:val="20"/>
                <w:szCs w:val="20"/>
                <w:color w:val="auto"/>
              </w:rPr>
            </w:pPr>
            <w:r>
              <w:rPr>
                <w:rFonts w:ascii="Arial" w:cs="Arial" w:eastAsia="Arial" w:hAnsi="Arial"/>
                <w:sz w:val="18"/>
                <w:szCs w:val="18"/>
                <w:color w:val="auto"/>
              </w:rPr>
              <w:t>Common Stock Purchase Agreement, between the Company and Aspire Capital Fund, LLC., dated as of August 20, 2012.</w:t>
            </w:r>
          </w:p>
        </w:tc>
        <w:tc>
          <w:tcPr>
            <w:tcW w:w="0" w:type="dxa"/>
            <w:vAlign w:val="bottom"/>
          </w:tcPr>
          <w:p>
            <w:pPr>
              <w:spacing w:after="0"/>
              <w:rPr>
                <w:sz w:val="1"/>
                <w:szCs w:val="1"/>
                <w:color w:val="auto"/>
              </w:rPr>
            </w:pPr>
          </w:p>
        </w:tc>
      </w:tr>
      <w:tr>
        <w:trPr>
          <w:trHeight w:val="316"/>
        </w:trPr>
        <w:tc>
          <w:tcPr>
            <w:tcW w:w="1380" w:type="dxa"/>
            <w:vAlign w:val="bottom"/>
            <w:gridSpan w:val="2"/>
          </w:tcPr>
          <w:p>
            <w:pPr>
              <w:spacing w:after="0"/>
              <w:rPr>
                <w:sz w:val="20"/>
                <w:szCs w:val="20"/>
                <w:color w:val="auto"/>
              </w:rPr>
            </w:pPr>
            <w:r>
              <w:rPr>
                <w:rFonts w:ascii="Arial" w:cs="Arial" w:eastAsia="Arial" w:hAnsi="Arial"/>
                <w:sz w:val="18"/>
                <w:szCs w:val="18"/>
                <w:color w:val="auto"/>
              </w:rPr>
              <w:t>10.35(33)</w:t>
            </w:r>
          </w:p>
        </w:tc>
        <w:tc>
          <w:tcPr>
            <w:tcW w:w="10040" w:type="dxa"/>
            <w:vAlign w:val="bottom"/>
          </w:tcPr>
          <w:p>
            <w:pPr>
              <w:spacing w:after="0"/>
              <w:rPr>
                <w:sz w:val="20"/>
                <w:szCs w:val="20"/>
                <w:color w:val="auto"/>
              </w:rPr>
            </w:pPr>
            <w:r>
              <w:rPr>
                <w:rFonts w:ascii="Arial" w:cs="Arial" w:eastAsia="Arial" w:hAnsi="Arial"/>
                <w:sz w:val="18"/>
                <w:szCs w:val="18"/>
                <w:color w:val="auto"/>
              </w:rPr>
              <w:t>Sublease Agreement between the Company and Denali Advisors LLC dated February 27, 2013.</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2"/>
              </w:rPr>
              <w:t>21.1(18)</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Certification of the Chief Executive Officer pursuant to Rules 13a-14 and 15d-14 promulgated under the Securities Act of 1933.</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Rules 13a-14 and 15d-14 promulgated under the Securities Act of 1933.</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The following financial statements from MediciNova, Inc. on Form 10-K for year ended December 31, 2012 formatted in Extensible Business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Reporting Language (XBRL): (i) Consolidated Balance Sheets; (ii) Consolidated Statements of Operations; (iii) Consolidated Statements of</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Stockholders’ Equity and Comprehensive Loss; (iv) Consolidated Statements of Cash Flows; and (v) the notes to the consolidated financial</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14,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4,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Definitive Proxy Statement on Schedule 14A filed March 13,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October 8,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March 16, 2006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with the SEC on March 16,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March 24,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1,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10-Q filed August 15,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12,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8,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22,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March 29,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November 8,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S-3 initially filed November 16,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1, 2013 and incorporated herein by reference.</w:t>
      </w:r>
    </w:p>
    <w:p>
      <w:pPr>
        <w:spacing w:after="0" w:line="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Indicates management contract or compensatory plan.</w:t>
      </w:r>
    </w:p>
    <w:p>
      <w:pPr>
        <w:spacing w:after="0" w:line="9" w:lineRule="exact"/>
        <w:rPr>
          <w:rFonts w:ascii="Arial" w:cs="Arial" w:eastAsia="Arial" w:hAnsi="Arial"/>
          <w:sz w:val="18"/>
          <w:szCs w:val="18"/>
          <w:color w:val="auto"/>
        </w:rPr>
      </w:pPr>
    </w:p>
    <w:p>
      <w:pPr>
        <w:ind w:left="460" w:hanging="446"/>
        <w:spacing w:after="0" w:line="255" w:lineRule="auto"/>
        <w:rPr>
          <w:rFonts w:ascii="Arial" w:cs="Arial" w:eastAsia="Arial" w:hAnsi="Arial"/>
          <w:sz w:val="18"/>
          <w:szCs w:val="18"/>
          <w:color w:val="auto"/>
        </w:rPr>
      </w:pPr>
      <w:r>
        <w:rPr>
          <w:rFonts w:ascii="Arial" w:cs="Arial" w:eastAsia="Arial" w:hAnsi="Arial"/>
          <w:sz w:val="18"/>
          <w:szCs w:val="18"/>
          <w:color w:val="auto"/>
        </w:rPr>
        <w:t>** Pursuant to Rule 406T of Regulation S-T, this interactive data file is deemed not filed or part of a registration statement or prospectus for purpose of Section 11 or 12 of the Securities Act of 1933, is deemed not filed for purpose of Section 18 of the Exchange Act of 1934, and otherwise is not subject to liability under these sections.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7" w:name="page108"/>
    <w:bookmarkEnd w:id="107"/>
    <w:p>
      <w:pPr>
        <w:ind w:left="10520"/>
        <w:spacing w:after="0"/>
        <w:rPr>
          <w:sz w:val="20"/>
          <w:szCs w:val="20"/>
          <w:color w:val="auto"/>
        </w:rPr>
      </w:pPr>
      <w:r>
        <w:rPr>
          <w:rFonts w:ascii="Arial" w:cs="Arial" w:eastAsia="Arial" w:hAnsi="Arial"/>
          <w:sz w:val="16"/>
          <w:szCs w:val="16"/>
          <w:b w:val="1"/>
          <w:bCs w:val="1"/>
          <w:color w:val="auto"/>
        </w:rPr>
        <w:t>Exhibit 10.3</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 AGREEMENT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HIS</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NDEMNITY</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is made by and between </w:t>
      </w:r>
      <w:r>
        <w:rPr>
          <w:rFonts w:ascii="Arial" w:cs="Arial" w:eastAsia="Arial" w:hAnsi="Arial"/>
          <w:sz w:val="16"/>
          <w:szCs w:val="16"/>
          <w:b w:val="1"/>
          <w:bCs w:val="1"/>
          <w:color w:val="auto"/>
        </w:rPr>
        <w:t>M</w:t>
      </w:r>
      <w:r>
        <w:rPr>
          <w:rFonts w:ascii="Arial" w:cs="Arial" w:eastAsia="Arial" w:hAnsi="Arial"/>
          <w:sz w:val="13"/>
          <w:szCs w:val="13"/>
          <w:b w:val="1"/>
          <w:bCs w:val="1"/>
          <w:color w:val="auto"/>
        </w:rPr>
        <w:t>EDICI</w:t>
      </w:r>
      <w:r>
        <w:rPr>
          <w:rFonts w:ascii="Arial" w:cs="Arial" w:eastAsia="Arial" w:hAnsi="Arial"/>
          <w:sz w:val="16"/>
          <w:szCs w:val="16"/>
          <w:b w:val="1"/>
          <w:bCs w:val="1"/>
          <w:color w:val="auto"/>
        </w:rPr>
        <w:t>N</w:t>
      </w:r>
      <w:r>
        <w:rPr>
          <w:rFonts w:ascii="Arial" w:cs="Arial" w:eastAsia="Arial" w:hAnsi="Arial"/>
          <w:sz w:val="13"/>
          <w:szCs w:val="13"/>
          <w:b w:val="1"/>
          <w:bCs w:val="1"/>
          <w:color w:val="auto"/>
        </w:rPr>
        <w:t>OVA</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xml:space="preserve"> a Delaware corporation</w:t>
      </w:r>
    </w:p>
    <w:p>
      <w:pPr>
        <w:spacing w:after="0" w:line="43" w:lineRule="exact"/>
        <w:rPr>
          <w:sz w:val="20"/>
          <w:szCs w:val="20"/>
          <w:color w:val="auto"/>
        </w:rPr>
      </w:pPr>
    </w:p>
    <w:p>
      <w:pPr>
        <w:sectPr>
          <w:pgSz w:w="11900" w:h="16838" w:orient="portrait"/>
          <w:cols w:equalWidth="0" w:num="3">
            <w:col w:w="5220" w:space="720"/>
            <w:col w:w="280" w:space="160"/>
            <w:col w:w="5040"/>
          </w:cols>
          <w:pgMar w:left="240" w:top="125" w:right="239" w:bottom="1440" w:gutter="0" w:footer="0" w:header="0"/>
          <w:type w:val="continuous"/>
        </w:sectPr>
      </w:pPr>
    </w:p>
    <w:p>
      <w:pPr>
        <w:spacing w:after="0"/>
        <w:tabs>
          <w:tab w:leader="none" w:pos="216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type w:val="continuous"/>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desires to attract and retain the services of highly qualified individuals as directors, officers, employees and agents.</w:t>
      </w:r>
    </w:p>
    <w:p>
      <w:pPr>
        <w:spacing w:after="0" w:line="171"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Company’s Amended and Restated Bylaws (the “</w:t>
      </w:r>
      <w:r>
        <w:rPr>
          <w:rFonts w:ascii="Arial" w:cs="Arial" w:eastAsia="Arial" w:hAnsi="Arial"/>
          <w:sz w:val="16"/>
          <w:szCs w:val="16"/>
          <w:b w:val="1"/>
          <w:bCs w:val="1"/>
          <w:color w:val="auto"/>
        </w:rPr>
        <w:t>Bylaws</w:t>
      </w:r>
      <w:r>
        <w:rPr>
          <w:rFonts w:ascii="Arial" w:cs="Arial" w:eastAsia="Arial" w:hAnsi="Arial"/>
          <w:sz w:val="16"/>
          <w:szCs w:val="16"/>
          <w:color w:val="auto"/>
        </w:rPr>
        <w:t>”) require that the Company indemnify its directors, and empowers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its officers, employees and agents, as authorized by the Delaware General Corporation Law, as amended (the “</w:t>
      </w:r>
      <w:r>
        <w:rPr>
          <w:rFonts w:ascii="Arial" w:cs="Arial" w:eastAsia="Arial" w:hAnsi="Arial"/>
          <w:sz w:val="16"/>
          <w:szCs w:val="16"/>
          <w:b w:val="1"/>
          <w:bCs w:val="1"/>
          <w:color w:val="auto"/>
        </w:rPr>
        <w:t>Code</w:t>
      </w:r>
      <w:r>
        <w:rPr>
          <w:rFonts w:ascii="Arial" w:cs="Arial" w:eastAsia="Arial" w:hAnsi="Arial"/>
          <w:sz w:val="16"/>
          <w:szCs w:val="16"/>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0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Indemnitee does not regard the protection currently provided by applicable law, the Company’s governing documents and available insurance as</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3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The Company desires and has requested Indemnitee to serve or continue to serve as a director, officer, employee or agent of the Company,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and has proferred this Agreement to Indemnitee as an additional inducement to serve in such capacity.</w:t>
      </w:r>
    </w:p>
    <w:p>
      <w:pPr>
        <w:spacing w:after="0" w:line="120"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Indemnitee is willing to serve, or to continue to serve, as a director, officer, employee or agent of the Company, as the case may be, if Indemnitee is</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the indemnity provided for herein by the Company.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9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mutual covenants and agreements set forth herein, the parties hereto, intending to be legally bound,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9" w:lineRule="exact"/>
        <w:rPr>
          <w:sz w:val="20"/>
          <w:szCs w:val="20"/>
          <w:color w:val="auto"/>
        </w:rPr>
      </w:pPr>
    </w:p>
    <w:p>
      <w:pPr>
        <w:ind w:left="1080" w:hanging="177"/>
        <w:spacing w:after="0"/>
        <w:tabs>
          <w:tab w:leader="none" w:pos="10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ind w:right="160" w:firstLine="921"/>
        <w:spacing w:after="0" w:line="301" w:lineRule="auto"/>
        <w:tabs>
          <w:tab w:leader="none" w:pos="116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Agent</w:t>
      </w:r>
      <w:r>
        <w:rPr>
          <w:rFonts w:ascii="Arial" w:cs="Arial" w:eastAsia="Arial" w:hAnsi="Arial"/>
          <w:sz w:val="16"/>
          <w:szCs w:val="16"/>
          <w:color w:val="auto"/>
        </w:rPr>
        <w:t>. For purposes of this Agreement, the term “agent” of the Company means any person who: (i) is or was a director, officer, employee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fiduciary of the Company, a subsidiary of the Company or an employee benefit plan of the Company or a subsidiary of the Company; or (ii) is or was serving at the request or for the convenience of, or representing the interests of, the Company or a subsidiary of the Company, as a director, officer, employee or other fiduciary of a foreign or domestic corporation, partnership, joint venture, trust or other enterprise.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108" w:name="page109"/>
    <w:bookmarkEnd w:id="108"/>
    <w:p>
      <w:pPr>
        <w:ind w:left="-8" w:right="80" w:firstLine="921"/>
        <w:spacing w:after="0" w:line="288" w:lineRule="auto"/>
        <w:tabs>
          <w:tab w:leader="none" w:pos="1163" w:val="left"/>
        </w:tabs>
        <w:numPr>
          <w:ilvl w:val="1"/>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r>
        <w:rPr>
          <w:rFonts w:ascii="Arial" w:cs="Arial" w:eastAsia="Arial" w:hAnsi="Arial"/>
          <w:sz w:val="16"/>
          <w:szCs w:val="16"/>
          <w:color w:val="auto"/>
        </w:rPr>
        <w:t>. For purposes of this Agreement, the term “expenses” shall be broadly construed and shall include, without limitation, all direct and</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 costs of any type or nature whatsoever (including, without limitation, all attorneys’, witness, or other professional fees and related disbursements, premiums, security for and other costs relating to any bonds and other out-of-pocket costs of whatever nature), actually and reasonably incurred by Indemnitee in connection with the investigation, defense or appeal of a proceeding or establishing or enforcing a right to indemnification under this Agreement, the Code or otherwise, and amounts paid in settlement by or on behalf of Indemnitee, but shall not include any judgments, fines or penalties actually levied against Indemnitee for such individual’s violations of law. The term “expenses” shall also include reasonable compensation for time spent by Indemnitee for which 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15" w:lineRule="exact"/>
        <w:rPr>
          <w:rFonts w:ascii="Arial" w:cs="Arial" w:eastAsia="Arial" w:hAnsi="Arial"/>
          <w:sz w:val="16"/>
          <w:szCs w:val="16"/>
          <w:b w:val="1"/>
          <w:bCs w:val="1"/>
          <w:color w:val="auto"/>
        </w:rPr>
      </w:pPr>
    </w:p>
    <w:p>
      <w:pPr>
        <w:ind w:left="-8" w:firstLine="921"/>
        <w:spacing w:after="0" w:line="289" w:lineRule="auto"/>
        <w:tabs>
          <w:tab w:leader="none" w:pos="1144" w:val="left"/>
        </w:tabs>
        <w:numPr>
          <w:ilvl w:val="1"/>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Proceedings</w:t>
      </w:r>
      <w:r>
        <w:rPr>
          <w:rFonts w:ascii="Arial" w:cs="Arial" w:eastAsia="Arial" w:hAnsi="Arial"/>
          <w:sz w:val="16"/>
          <w:szCs w:val="16"/>
          <w:color w:val="auto"/>
        </w:rPr>
        <w:t>. For purposes of this Agreement, the term “proceeding” shall be broadly construed and shall include, without limitation,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or otherwise by reason of: (i) the fact that Indemnitee is or was a director or officer of the Company; (ii) the fact that any action taken by Indemnitee or of any action on Indemnitee’s part while acting as director, officer, employee or agent of the Company;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w:t>
      </w:r>
    </w:p>
    <w:p>
      <w:pPr>
        <w:spacing w:after="0" w:line="112" w:lineRule="exact"/>
        <w:rPr>
          <w:rFonts w:ascii="Arial" w:cs="Arial" w:eastAsia="Arial" w:hAnsi="Arial"/>
          <w:sz w:val="16"/>
          <w:szCs w:val="16"/>
          <w:b w:val="1"/>
          <w:bCs w:val="1"/>
          <w:color w:val="auto"/>
        </w:rPr>
      </w:pPr>
    </w:p>
    <w:p>
      <w:pPr>
        <w:ind w:left="-8" w:right="100" w:firstLine="921"/>
        <w:spacing w:after="0" w:line="258" w:lineRule="auto"/>
        <w:tabs>
          <w:tab w:leader="none" w:pos="1163"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For purposes of this Agreement, the term “subsidiary” means any corporation or limited liability company of which more than 20%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 director, officer, employee, agent or fiduciary.</w:t>
      </w:r>
    </w:p>
    <w:p>
      <w:pPr>
        <w:spacing w:after="0" w:line="136" w:lineRule="exact"/>
        <w:rPr>
          <w:rFonts w:ascii="Arial" w:cs="Arial" w:eastAsia="Arial" w:hAnsi="Arial"/>
          <w:sz w:val="18"/>
          <w:szCs w:val="18"/>
          <w:b w:val="1"/>
          <w:bCs w:val="1"/>
          <w:color w:val="auto"/>
        </w:rPr>
      </w:pPr>
    </w:p>
    <w:p>
      <w:pPr>
        <w:ind w:left="-8" w:firstLine="921"/>
        <w:spacing w:after="0" w:line="309" w:lineRule="auto"/>
        <w:tabs>
          <w:tab w:leader="none" w:pos="1144" w:val="left"/>
        </w:tabs>
        <w:numPr>
          <w:ilvl w:val="1"/>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Independent Counsel</w:t>
      </w:r>
      <w:r>
        <w:rPr>
          <w:rFonts w:ascii="Arial" w:cs="Arial" w:eastAsia="Arial" w:hAnsi="Arial"/>
          <w:sz w:val="15"/>
          <w:szCs w:val="15"/>
          <w:color w:val="auto"/>
        </w:rPr>
        <w:t>. For purposes of this Agreement, the term “independent counsel” means a law firm, or a partner (or, if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member) of such a law firm, that is experienced in matters of corporation law and neither presently is, nor in the past five (5) years has been, retained to represent:</w:t>
      </w:r>
    </w:p>
    <w:p>
      <w:pPr>
        <w:ind w:left="212" w:hanging="212"/>
        <w:spacing w:after="0"/>
        <w:tabs>
          <w:tab w:leader="none" w:pos="2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or Indemnitee in any matter</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109" w:name="page110"/>
    <w:bookmarkEnd w:id="10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0" w:lineRule="exact"/>
        <w:rPr>
          <w:sz w:val="20"/>
          <w:szCs w:val="20"/>
          <w:color w:val="auto"/>
        </w:rPr>
      </w:pPr>
    </w:p>
    <w:p>
      <w:pPr>
        <w:jc w:val="both"/>
        <w:ind w:left="460" w:right="60" w:firstLine="443"/>
        <w:spacing w:after="0" w:line="258" w:lineRule="auto"/>
        <w:tabs>
          <w:tab w:leader="none" w:pos="107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The Company acknowledges that it has entered into this Agreement and assumes the obligations imposed on it hereby, in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to and separate from its obligations to Indemnitee under the Bylaws, to induce Indemnitee to serve, or continue to serve, as a director, officer, employee or agent of the Company, and the Company acknowledges that Indemnitee is relying upon this Agreement in serving as a director, officer, employee or agent of the Company.</w:t>
      </w:r>
    </w:p>
    <w:p>
      <w:pPr>
        <w:spacing w:after="0" w:line="55" w:lineRule="exact"/>
        <w:rPr>
          <w:rFonts w:ascii="Arial" w:cs="Arial" w:eastAsia="Arial" w:hAnsi="Arial"/>
          <w:sz w:val="18"/>
          <w:szCs w:val="18"/>
          <w:b w:val="1"/>
          <w:bCs w:val="1"/>
          <w:color w:val="auto"/>
        </w:rPr>
      </w:pPr>
    </w:p>
    <w:p>
      <w:pPr>
        <w:ind w:left="1080" w:hanging="177"/>
        <w:spacing w:after="0"/>
        <w:tabs>
          <w:tab w:leader="none" w:pos="10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ind w:firstLine="921"/>
        <w:spacing w:after="0" w:line="262" w:lineRule="auto"/>
        <w:tabs>
          <w:tab w:leader="none" w:pos="1162"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in Third Party Proceedings</w:t>
      </w:r>
      <w:r>
        <w:rPr>
          <w:rFonts w:ascii="Arial" w:cs="Arial" w:eastAsia="Arial" w:hAnsi="Arial"/>
          <w:sz w:val="18"/>
          <w:szCs w:val="18"/>
          <w:color w:val="auto"/>
        </w:rPr>
        <w:t>. Subject to Section 10 below, the Company shall indemnify Indemnitee, if Indemnitee is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or threatened to be made a party to or otherwise involved in any proceeding, for any and all expenses, actually and reasonably incurred by Indemnitee in connection with the investigation, defense, settlement or appeal of such proceeding.</w:t>
      </w:r>
    </w:p>
    <w:p>
      <w:pPr>
        <w:spacing w:after="0" w:line="132" w:lineRule="exact"/>
        <w:rPr>
          <w:rFonts w:ascii="Arial" w:cs="Arial" w:eastAsia="Arial" w:hAnsi="Arial"/>
          <w:sz w:val="18"/>
          <w:szCs w:val="18"/>
          <w:b w:val="1"/>
          <w:bCs w:val="1"/>
          <w:color w:val="auto"/>
        </w:rPr>
      </w:pPr>
    </w:p>
    <w:p>
      <w:pPr>
        <w:ind w:right="60" w:firstLine="921"/>
        <w:spacing w:after="0" w:line="258" w:lineRule="auto"/>
        <w:tabs>
          <w:tab w:leader="none" w:pos="1171"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in Derivative Actions and Direct Actions by the Company</w:t>
      </w:r>
      <w:r>
        <w:rPr>
          <w:rFonts w:ascii="Arial" w:cs="Arial" w:eastAsia="Arial" w:hAnsi="Arial"/>
          <w:sz w:val="18"/>
          <w:szCs w:val="18"/>
          <w:color w:val="auto"/>
        </w:rPr>
        <w:t>. Subject to Section 10 below, the Company shall indemnify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w:t>
      </w:r>
    </w:p>
    <w:p>
      <w:pPr>
        <w:spacing w:after="0" w:line="55" w:lineRule="exact"/>
        <w:rPr>
          <w:rFonts w:ascii="Arial" w:cs="Arial" w:eastAsia="Arial" w:hAnsi="Arial"/>
          <w:sz w:val="18"/>
          <w:szCs w:val="18"/>
          <w:b w:val="1"/>
          <w:bCs w:val="1"/>
          <w:color w:val="auto"/>
        </w:rPr>
      </w:pPr>
    </w:p>
    <w:p>
      <w:pPr>
        <w:ind w:left="460" w:firstLine="443"/>
        <w:spacing w:after="0" w:line="258" w:lineRule="auto"/>
        <w:tabs>
          <w:tab w:leader="none" w:pos="107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of Expenses of Successful Party</w:t>
      </w:r>
      <w:r>
        <w:rPr>
          <w:rFonts w:ascii="Arial" w:cs="Arial" w:eastAsia="Arial" w:hAnsi="Arial"/>
          <w:sz w:val="18"/>
          <w:szCs w:val="18"/>
          <w:color w:val="auto"/>
        </w:rPr>
        <w:t>. Notwithstanding any other provision of this Agreement, to the extent that Indemnitee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on the merits or otherwise in defense of any proceeding or in defense of any claim, issue or matter therein, including the dismissal of any action without prejudice, the Company shall indemnify Indemnitee against all expenses actually and reasonably incurred in connection with the investigation, defense or appeal of such proceeding.</w:t>
      </w:r>
    </w:p>
    <w:p>
      <w:pPr>
        <w:spacing w:after="0" w:line="55" w:lineRule="exact"/>
        <w:rPr>
          <w:rFonts w:ascii="Arial" w:cs="Arial" w:eastAsia="Arial" w:hAnsi="Arial"/>
          <w:sz w:val="18"/>
          <w:szCs w:val="18"/>
          <w:b w:val="1"/>
          <w:bCs w:val="1"/>
          <w:color w:val="auto"/>
        </w:rPr>
      </w:pPr>
    </w:p>
    <w:p>
      <w:pPr>
        <w:ind w:left="460" w:right="20" w:firstLine="443"/>
        <w:spacing w:after="0" w:line="258" w:lineRule="auto"/>
        <w:tabs>
          <w:tab w:leader="none" w:pos="107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Indemnification</w:t>
      </w:r>
      <w:r>
        <w:rPr>
          <w:rFonts w:ascii="Arial" w:cs="Arial" w:eastAsia="Arial" w:hAnsi="Arial"/>
          <w:sz w:val="18"/>
          <w:szCs w:val="18"/>
          <w:color w:val="auto"/>
        </w:rPr>
        <w:t>. If Indemnitee is entitled under any provision of this Agreement to indemnification by the Company for some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any expenses actually and reasonably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w:t>
      </w:r>
    </w:p>
    <w:p>
      <w:pPr>
        <w:spacing w:after="0" w:line="55" w:lineRule="exact"/>
        <w:rPr>
          <w:rFonts w:ascii="Arial" w:cs="Arial" w:eastAsia="Arial" w:hAnsi="Arial"/>
          <w:sz w:val="18"/>
          <w:szCs w:val="18"/>
          <w:b w:val="1"/>
          <w:bCs w:val="1"/>
          <w:color w:val="auto"/>
        </w:rPr>
      </w:pPr>
    </w:p>
    <w:p>
      <w:pPr>
        <w:ind w:left="460" w:right="180" w:firstLine="443"/>
        <w:spacing w:after="0" w:line="262" w:lineRule="auto"/>
        <w:tabs>
          <w:tab w:leader="none" w:pos="107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Advancement of Expenses</w:t>
      </w:r>
      <w:r>
        <w:rPr>
          <w:rFonts w:ascii="Arial" w:cs="Arial" w:eastAsia="Arial" w:hAnsi="Arial"/>
          <w:sz w:val="18"/>
          <w:szCs w:val="18"/>
          <w:color w:val="auto"/>
        </w:rPr>
        <w:t>. To the extent not prohibited by law, the Company shall advance the expenses incurred by Indemnitee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proceeding, and such advancement shall be made within twenty (20) days after the receipt by the Company of a statement or statements requesting such advances (which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0" w:name="page111"/>
    <w:bookmarkEnd w:id="110"/>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actually and reasonably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37" w:lineRule="exact"/>
        <w:rPr>
          <w:sz w:val="20"/>
          <w:szCs w:val="20"/>
          <w:color w:val="auto"/>
        </w:rPr>
      </w:pPr>
    </w:p>
    <w:p>
      <w:pPr>
        <w:ind w:left="1060" w:hanging="177"/>
        <w:spacing w:after="0"/>
        <w:tabs>
          <w:tab w:leader="none" w:pos="10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Notice and Other Indemnification Procedures</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jc w:val="both"/>
        <w:ind w:left="-20" w:right="100" w:firstLine="921"/>
        <w:spacing w:after="0" w:line="258" w:lineRule="auto"/>
        <w:tabs>
          <w:tab w:leader="none" w:pos="1142"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Proceeding</w:t>
      </w:r>
      <w:r>
        <w:rPr>
          <w:rFonts w:ascii="Arial" w:cs="Arial" w:eastAsia="Arial" w:hAnsi="Arial"/>
          <w:sz w:val="18"/>
          <w:szCs w:val="18"/>
          <w:color w:val="auto"/>
        </w:rPr>
        <w:t>. Indemnitee will notify the Company in writing promptly upon being served with any summons, citation, subpoena,</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w:t>
      </w:r>
    </w:p>
    <w:p>
      <w:pPr>
        <w:spacing w:after="0" w:line="136" w:lineRule="exact"/>
        <w:rPr>
          <w:rFonts w:ascii="Arial" w:cs="Arial" w:eastAsia="Arial" w:hAnsi="Arial"/>
          <w:sz w:val="18"/>
          <w:szCs w:val="18"/>
          <w:b w:val="1"/>
          <w:bCs w:val="1"/>
          <w:color w:val="auto"/>
        </w:rPr>
      </w:pPr>
    </w:p>
    <w:p>
      <w:pPr>
        <w:ind w:left="-20" w:right="80" w:firstLine="921"/>
        <w:spacing w:after="0" w:line="256" w:lineRule="auto"/>
        <w:tabs>
          <w:tab w:leader="none" w:pos="1151"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Request for Indemnification and Indemnification Payments</w:t>
      </w:r>
      <w:r>
        <w:rPr>
          <w:rFonts w:ascii="Arial" w:cs="Arial" w:eastAsia="Arial" w:hAnsi="Arial"/>
          <w:sz w:val="18"/>
          <w:szCs w:val="18"/>
          <w:color w:val="auto"/>
        </w:rPr>
        <w:t>. Indemnitee shall notify the Company promptly in writing upon receiving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demand, judgment or other requirement for payment that Indemnitee reasonably believes to be subject to indemnification under the terms of this Agreement, and shall request payment thereof by the Company. Indemnification payments requested by Indemnitee under Section 3 hereof shall be made by the Company no later than forty-five (45) days after receipt of the written request of Indemnitee. Claims for advancement of expenses shall be made under the provisions of Section 6 herein.</w:t>
      </w:r>
    </w:p>
    <w:p>
      <w:pPr>
        <w:spacing w:after="0" w:line="138" w:lineRule="exact"/>
        <w:rPr>
          <w:rFonts w:ascii="Arial" w:cs="Arial" w:eastAsia="Arial" w:hAnsi="Arial"/>
          <w:sz w:val="18"/>
          <w:szCs w:val="18"/>
          <w:b w:val="1"/>
          <w:bCs w:val="1"/>
          <w:color w:val="auto"/>
        </w:rPr>
      </w:pPr>
    </w:p>
    <w:p>
      <w:pPr>
        <w:ind w:left="-20" w:firstLine="921"/>
        <w:spacing w:after="0" w:line="293" w:lineRule="auto"/>
        <w:tabs>
          <w:tab w:leader="none" w:pos="1132" w:val="left"/>
        </w:tabs>
        <w:numPr>
          <w:ilvl w:val="1"/>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 for Enforcement</w:t>
      </w:r>
      <w:r>
        <w:rPr>
          <w:rFonts w:ascii="Arial" w:cs="Arial" w:eastAsia="Arial" w:hAnsi="Arial"/>
          <w:sz w:val="16"/>
          <w:szCs w:val="16"/>
          <w:color w:val="auto"/>
        </w:rPr>
        <w:t>. In the event the Company fails to make timely payments as set forth in Sections 6 or 7(b) above, Indemnitee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stockholders or independent counsel) that Indemnitee is not entitled to indemnification hereunder, shall not be a defense by the Company to the action nor create any presumption that Indemnitee is not entitled to indemnification or advancement of expenses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11" w:name="page112"/>
    <w:bookmarkEnd w:id="111"/>
    <w:p>
      <w:pPr>
        <w:ind w:left="-20" w:right="140" w:firstLine="921"/>
        <w:spacing w:after="0" w:line="334" w:lineRule="auto"/>
        <w:tabs>
          <w:tab w:leader="none" w:pos="1151"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of Certain Expenses</w:t>
      </w:r>
      <w:r>
        <w:rPr>
          <w:rFonts w:ascii="Arial" w:cs="Arial" w:eastAsia="Arial" w:hAnsi="Arial"/>
          <w:sz w:val="16"/>
          <w:szCs w:val="16"/>
          <w:color w:val="auto"/>
        </w:rPr>
        <w:t>. The Company shall indemnify Indemnitee against all expenses incurred in connection with any hearing</w:t>
      </w:r>
      <w:r>
        <w:rPr>
          <w:rFonts w:ascii="Arial" w:cs="Arial" w:eastAsia="Arial" w:hAnsi="Arial"/>
          <w:sz w:val="16"/>
          <w:szCs w:val="16"/>
          <w:b w:val="1"/>
          <w:bCs w:val="1"/>
          <w:color w:val="auto"/>
        </w:rPr>
        <w:t xml:space="preserve"> </w:t>
      </w:r>
      <w:r>
        <w:rPr>
          <w:rFonts w:ascii="Arial" w:cs="Arial" w:eastAsia="Arial" w:hAnsi="Arial"/>
          <w:sz w:val="16"/>
          <w:szCs w:val="16"/>
          <w:color w:val="auto"/>
        </w:rPr>
        <w:t>or proceeding under this Section 7 unless the Company prevails in such hearing or proceeding on the merits in all material respects.</w:t>
      </w:r>
    </w:p>
    <w:p>
      <w:pPr>
        <w:spacing w:after="0" w:line="1" w:lineRule="exact"/>
        <w:rPr>
          <w:rFonts w:ascii="Arial" w:cs="Arial" w:eastAsia="Arial" w:hAnsi="Arial"/>
          <w:sz w:val="16"/>
          <w:szCs w:val="16"/>
          <w:b w:val="1"/>
          <w:bCs w:val="1"/>
          <w:color w:val="auto"/>
        </w:rPr>
      </w:pPr>
    </w:p>
    <w:p>
      <w:pPr>
        <w:ind w:left="440" w:right="240" w:firstLine="443"/>
        <w:spacing w:after="0" w:line="310" w:lineRule="auto"/>
        <w:tabs>
          <w:tab w:leader="none" w:pos="1054"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Assumption of Defense</w:t>
      </w:r>
      <w:r>
        <w:rPr>
          <w:rFonts w:ascii="Arial" w:cs="Arial" w:eastAsia="Arial" w:hAnsi="Arial"/>
          <w:sz w:val="15"/>
          <w:szCs w:val="15"/>
          <w:color w:val="auto"/>
        </w:rPr>
        <w:t>. In the event the Company shall be requested by Indemnitee to pay the expenses of any proceeding, the Company, if</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is an actual or potential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20" w:lineRule="exact"/>
        <w:rPr>
          <w:rFonts w:ascii="Arial" w:cs="Arial" w:eastAsia="Arial" w:hAnsi="Arial"/>
          <w:sz w:val="15"/>
          <w:szCs w:val="15"/>
          <w:b w:val="1"/>
          <w:bCs w:val="1"/>
          <w:color w:val="auto"/>
        </w:rPr>
      </w:pPr>
    </w:p>
    <w:p>
      <w:pPr>
        <w:ind w:left="1060" w:hanging="177"/>
        <w:spacing w:after="0"/>
        <w:tabs>
          <w:tab w:leader="none" w:pos="10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To the extent that the Company maintains an insurance policy or policies providing liability insurance for directors, officers,</w:t>
      </w:r>
    </w:p>
    <w:p>
      <w:pPr>
        <w:spacing w:after="0" w:line="44" w:lineRule="exact"/>
        <w:rPr>
          <w:rFonts w:ascii="Arial" w:cs="Arial" w:eastAsia="Arial" w:hAnsi="Arial"/>
          <w:sz w:val="16"/>
          <w:szCs w:val="16"/>
          <w:b w:val="1"/>
          <w:bCs w:val="1"/>
          <w:color w:val="auto"/>
        </w:rPr>
      </w:pPr>
    </w:p>
    <w:p>
      <w:pPr>
        <w:ind w:left="440" w:right="8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employees, or agents of the Company or of any subsidiary (“D&amp;O Insurance”),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D&amp;O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31" w:lineRule="exact"/>
        <w:rPr>
          <w:rFonts w:ascii="Arial" w:cs="Arial" w:eastAsia="Arial" w:hAnsi="Arial"/>
          <w:sz w:val="16"/>
          <w:szCs w:val="16"/>
          <w:b w:val="1"/>
          <w:bCs w:val="1"/>
          <w:color w:val="auto"/>
        </w:rPr>
      </w:pPr>
    </w:p>
    <w:p>
      <w:pPr>
        <w:ind w:left="1140" w:hanging="257"/>
        <w:spacing w:after="0"/>
        <w:tabs>
          <w:tab w:leader="none" w:pos="11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ind w:left="-20" w:firstLine="921"/>
        <w:spacing w:after="0" w:line="296" w:lineRule="auto"/>
        <w:tabs>
          <w:tab w:leader="none" w:pos="1142"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Certain Matters</w:t>
      </w:r>
      <w:r>
        <w:rPr>
          <w:rFonts w:ascii="Arial" w:cs="Arial" w:eastAsia="Arial" w:hAnsi="Arial"/>
          <w:sz w:val="16"/>
          <w:szCs w:val="16"/>
          <w:color w:val="auto"/>
        </w:rPr>
        <w:t>. Any provision herein to the contrary notwithstanding, the Company shall not be obligated pursuant to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112" w:name="page113"/>
    <w:bookmarkEnd w:id="11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indicated in Section 10(d) below); (ii) a final judgment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Securities Exchange Act of 1934, as amended, or other provisions of any federal, state or local statute or rules and regulations thereunder;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14" w:lineRule="exact"/>
        <w:rPr>
          <w:sz w:val="20"/>
          <w:szCs w:val="20"/>
          <w:color w:val="auto"/>
        </w:rPr>
      </w:pPr>
    </w:p>
    <w:p>
      <w:pPr>
        <w:ind w:right="200" w:firstLine="921"/>
        <w:spacing w:after="0" w:line="291" w:lineRule="auto"/>
        <w:tabs>
          <w:tab w:leader="none" w:pos="1171"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Claims Initiated by Indemnitee</w:t>
      </w:r>
      <w:r>
        <w:rPr>
          <w:rFonts w:ascii="Arial" w:cs="Arial" w:eastAsia="Arial" w:hAnsi="Arial"/>
          <w:sz w:val="16"/>
          <w:szCs w:val="16"/>
          <w:color w:val="auto"/>
        </w:rPr>
        <w:t>. Any provision herein to the contrary notwithstanding, the Company shall not be obligated to indemnify or</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expenses to Indemnitee with respect to proceedings or claims initiated or brought by Indemnitee against the Company or its directors, officers, employees or other agents and not by way of defense, except (i) with respect to proceedings brought to establish or enforce a right to indemnification under this Agreement or under any other agreement, provision in the Bylaws or the Company’s Amended and Restated Certificate of Incorporation (the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w:t>
      </w:r>
      <w:r>
        <w:rPr>
          <w:rFonts w:ascii="Arial" w:cs="Arial" w:eastAsia="Arial" w:hAnsi="Arial"/>
          <w:sz w:val="16"/>
          <w:szCs w:val="16"/>
          <w:color w:val="auto"/>
        </w:rPr>
        <w:t>”) or applicable law, or (ii) with respect to any other proceeding initiated by Indemnitee that is either approved by the Board of Directors or</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Indemnitee’s participation is required by applicable law. However, indemnification or advancement of expenses may be provided by the Company in specific cases if the Board of Directors determines it to be appropriate.</w:t>
      </w:r>
    </w:p>
    <w:p>
      <w:pPr>
        <w:spacing w:after="0" w:line="113" w:lineRule="exact"/>
        <w:rPr>
          <w:rFonts w:ascii="Arial" w:cs="Arial" w:eastAsia="Arial" w:hAnsi="Arial"/>
          <w:sz w:val="16"/>
          <w:szCs w:val="16"/>
          <w:b w:val="1"/>
          <w:bCs w:val="1"/>
          <w:color w:val="auto"/>
        </w:rPr>
      </w:pPr>
    </w:p>
    <w:p>
      <w:pPr>
        <w:ind w:right="60" w:firstLine="921"/>
        <w:spacing w:after="0" w:line="296" w:lineRule="auto"/>
        <w:tabs>
          <w:tab w:leader="none" w:pos="1152"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Unauthorized Settlements</w:t>
      </w:r>
      <w:r>
        <w:rPr>
          <w:rFonts w:ascii="Arial" w:cs="Arial" w:eastAsia="Arial" w:hAnsi="Arial"/>
          <w:sz w:val="16"/>
          <w:szCs w:val="16"/>
          <w:color w:val="auto"/>
        </w:rPr>
        <w:t>. Any provision herein to the contrary notwithstanding, the Company shall not be obligated pursuant to 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07" w:lineRule="exact"/>
        <w:rPr>
          <w:rFonts w:ascii="Arial" w:cs="Arial" w:eastAsia="Arial" w:hAnsi="Arial"/>
          <w:sz w:val="16"/>
          <w:szCs w:val="16"/>
          <w:b w:val="1"/>
          <w:bCs w:val="1"/>
          <w:color w:val="auto"/>
        </w:rPr>
      </w:pPr>
    </w:p>
    <w:p>
      <w:pPr>
        <w:ind w:right="100" w:firstLine="921"/>
        <w:spacing w:after="0" w:line="296" w:lineRule="auto"/>
        <w:tabs>
          <w:tab w:leader="none" w:pos="1171"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Act Liabilities</w:t>
      </w:r>
      <w:r>
        <w:rPr>
          <w:rFonts w:ascii="Arial" w:cs="Arial" w:eastAsia="Arial" w:hAnsi="Arial"/>
          <w:sz w:val="16"/>
          <w:szCs w:val="16"/>
          <w:color w:val="auto"/>
        </w:rPr>
        <w:t>. Any provision herein to the contrary notwithstanding, the Company shall not be obligated pursuant to 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indemnify Indemnitee or otherwise act in violation of any undertaking appearing in and required by the rules and regulations promulgated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any liability under the Act on public policy grounds to a court of appropriate jurisdiction and to be governed by any final adjudication of such issue.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Indemnitee specifically agrees that any such undertaking shall supersede the provisions of this Agreement and to be bound by any such undertaking.</w:t>
      </w:r>
    </w:p>
    <w:p>
      <w:pPr>
        <w:spacing w:after="0" w:line="101" w:lineRule="exact"/>
        <w:rPr>
          <w:sz w:val="20"/>
          <w:szCs w:val="20"/>
          <w:color w:val="auto"/>
        </w:rPr>
      </w:pPr>
    </w:p>
    <w:p>
      <w:pPr>
        <w:ind w:left="460" w:right="80" w:firstLine="443"/>
        <w:spacing w:after="0" w:line="289" w:lineRule="auto"/>
        <w:tabs>
          <w:tab w:leader="none" w:pos="1152"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Nonexclusivity and Survival of Rights</w:t>
      </w:r>
      <w:r>
        <w:rPr>
          <w:rFonts w:ascii="Arial" w:cs="Arial" w:eastAsia="Arial" w:hAnsi="Arial"/>
          <w:sz w:val="16"/>
          <w:szCs w:val="16"/>
          <w:color w:val="auto"/>
        </w:rPr>
        <w:t>. The provisions for indemnification and advancement of expenses set forth in this Agreement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exclusive of any other rights which Indemnitee may at any time be entitled under any provision of applicable law, the Certificate of Incorporation, Bylaws or other agreements, both as to action in Indemnitee’s official capacity and Indemnitee’s action as an agent of the Company, in any court in which a proceeding is brought, and Indemnitee’s rights hereunder shall continue after Indemnitee has ceased acting as an agent of the Company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in writing to perform this Agreement in the same manner and to the same extent that the Company would be required to perform if no such succession had taken place.</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58" w:lineRule="exact"/>
        <w:rPr>
          <w:sz w:val="20"/>
          <w:szCs w:val="20"/>
          <w:color w:val="auto"/>
        </w:rPr>
      </w:pPr>
    </w:p>
    <w:p>
      <w:pPr>
        <w:ind w:left="460" w:right="20" w:firstLine="443"/>
        <w:spacing w:after="0" w:line="258" w:lineRule="auto"/>
        <w:tabs>
          <w:tab w:leader="none" w:pos="116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55" w:lineRule="exact"/>
        <w:rPr>
          <w:rFonts w:ascii="Arial" w:cs="Arial" w:eastAsia="Arial" w:hAnsi="Arial"/>
          <w:sz w:val="18"/>
          <w:szCs w:val="18"/>
          <w:b w:val="1"/>
          <w:bCs w:val="1"/>
          <w:color w:val="auto"/>
        </w:rPr>
      </w:pPr>
    </w:p>
    <w:p>
      <w:pPr>
        <w:ind w:left="460" w:right="440" w:firstLine="443"/>
        <w:spacing w:after="0" w:line="275" w:lineRule="auto"/>
        <w:tabs>
          <w:tab w:leader="none" w:pos="116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of Agreement</w:t>
      </w:r>
      <w:r>
        <w:rPr>
          <w:rFonts w:ascii="Arial" w:cs="Arial" w:eastAsia="Arial" w:hAnsi="Arial"/>
          <w:sz w:val="18"/>
          <w:szCs w:val="18"/>
          <w:color w:val="auto"/>
        </w:rPr>
        <w:t>. It is understood that the parties hereto intend this Agreement to be interpreted and enforced so as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to Indemnitee to the fullest extent now or hereafter permitted by law.</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4" w:name="page115"/>
    <w:bookmarkEnd w:id="114"/>
    <w:p>
      <w:pPr>
        <w:ind w:right="80" w:firstLine="443"/>
        <w:spacing w:after="0" w:line="254" w:lineRule="auto"/>
        <w:tabs>
          <w:tab w:leader="none" w:pos="70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If any provision of this Agreement shall be held to be invalid, illegal or unenforceable for any reason whatsoever, (a)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13 hereof.</w:t>
      </w:r>
    </w:p>
    <w:p>
      <w:pPr>
        <w:spacing w:after="0" w:line="60" w:lineRule="exact"/>
        <w:rPr>
          <w:rFonts w:ascii="Arial" w:cs="Arial" w:eastAsia="Arial" w:hAnsi="Arial"/>
          <w:sz w:val="18"/>
          <w:szCs w:val="18"/>
          <w:b w:val="1"/>
          <w:bCs w:val="1"/>
          <w:color w:val="auto"/>
        </w:rPr>
      </w:pPr>
    </w:p>
    <w:p>
      <w:pPr>
        <w:ind w:right="260" w:firstLine="443"/>
        <w:spacing w:after="0" w:line="262" w:lineRule="auto"/>
        <w:tabs>
          <w:tab w:leader="none" w:pos="70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r>
        <w:rPr>
          <w:rFonts w:ascii="Arial" w:cs="Arial" w:eastAsia="Arial" w:hAnsi="Arial"/>
          <w:sz w:val="18"/>
          <w:szCs w:val="18"/>
          <w:color w:val="auto"/>
        </w:rPr>
        <w:t>. No supplement, modification, amendment, termination, or cancellation of this Agreement shall be binding unless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51" w:lineRule="exact"/>
        <w:rPr>
          <w:rFonts w:ascii="Arial" w:cs="Arial" w:eastAsia="Arial" w:hAnsi="Arial"/>
          <w:sz w:val="18"/>
          <w:szCs w:val="18"/>
          <w:b w:val="1"/>
          <w:bCs w:val="1"/>
          <w:color w:val="auto"/>
        </w:rPr>
      </w:pPr>
    </w:p>
    <w:p>
      <w:pPr>
        <w:ind w:right="100" w:firstLine="443"/>
        <w:spacing w:after="0" w:line="291" w:lineRule="auto"/>
        <w:tabs>
          <w:tab w:leader="none" w:pos="70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Except as otherwise provided herein, any notice or demand which, by the provisions hereof, is required or which may be given to or</w:t>
      </w:r>
      <w:r>
        <w:rPr>
          <w:rFonts w:ascii="Arial" w:cs="Arial" w:eastAsia="Arial" w:hAnsi="Arial"/>
          <w:sz w:val="16"/>
          <w:szCs w:val="16"/>
          <w:b w:val="1"/>
          <w:bCs w:val="1"/>
          <w:color w:val="auto"/>
        </w:rPr>
        <w:t xml:space="preserve"> </w:t>
      </w:r>
      <w:r>
        <w:rPr>
          <w:rFonts w:ascii="Arial" w:cs="Arial" w:eastAsia="Arial" w:hAnsi="Arial"/>
          <w:sz w:val="16"/>
          <w:szCs w:val="16"/>
          <w:color w:val="auto"/>
        </w:rPr>
        <w:t>served upon the parties hereto shall be in writing and, if by telegram, telecopy or telex,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32" w:lineRule="exact"/>
        <w:rPr>
          <w:rFonts w:ascii="Arial" w:cs="Arial" w:eastAsia="Arial" w:hAnsi="Arial"/>
          <w:sz w:val="16"/>
          <w:szCs w:val="16"/>
          <w:b w:val="1"/>
          <w:bCs w:val="1"/>
          <w:color w:val="auto"/>
        </w:rPr>
      </w:pPr>
    </w:p>
    <w:p>
      <w:pPr>
        <w:ind w:firstLine="443"/>
        <w:spacing w:after="0" w:line="275" w:lineRule="auto"/>
        <w:tabs>
          <w:tab w:leader="none" w:pos="70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exclusively by and construed according to the internal laws of the State of California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the State of Delaware.</w:t>
      </w:r>
    </w:p>
    <w:p>
      <w:pPr>
        <w:spacing w:after="0" w:line="38" w:lineRule="exact"/>
        <w:rPr>
          <w:rFonts w:ascii="Arial" w:cs="Arial" w:eastAsia="Arial" w:hAnsi="Arial"/>
          <w:sz w:val="18"/>
          <w:szCs w:val="18"/>
          <w:b w:val="1"/>
          <w:bCs w:val="1"/>
          <w:color w:val="auto"/>
        </w:rPr>
      </w:pPr>
    </w:p>
    <w:p>
      <w:pPr>
        <w:jc w:val="both"/>
        <w:ind w:right="220" w:firstLine="443"/>
        <w:spacing w:after="0" w:line="262" w:lineRule="auto"/>
        <w:tabs>
          <w:tab w:leader="none" w:pos="70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for all purposes be deemed to be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but all of which together shall constitute but one and the same Agreement. Only one such counterpart need be produced to evidence the existence of this Agreement.</w:t>
      </w:r>
    </w:p>
    <w:p>
      <w:pPr>
        <w:spacing w:after="0" w:line="51" w:lineRule="exact"/>
        <w:rPr>
          <w:rFonts w:ascii="Arial" w:cs="Arial" w:eastAsia="Arial" w:hAnsi="Arial"/>
          <w:sz w:val="18"/>
          <w:szCs w:val="18"/>
          <w:b w:val="1"/>
          <w:bCs w:val="1"/>
          <w:color w:val="auto"/>
        </w:rPr>
      </w:pPr>
    </w:p>
    <w:p>
      <w:pPr>
        <w:ind w:right="300" w:firstLine="443"/>
        <w:spacing w:after="0" w:line="275" w:lineRule="auto"/>
        <w:tabs>
          <w:tab w:leader="none" w:pos="70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Agreement are inserted for convenience only and shall not be deemed to constitute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to affect the construction hereof.</w:t>
      </w:r>
    </w:p>
    <w:p>
      <w:pPr>
        <w:spacing w:after="0" w:line="38" w:lineRule="exact"/>
        <w:rPr>
          <w:rFonts w:ascii="Arial" w:cs="Arial" w:eastAsia="Arial" w:hAnsi="Arial"/>
          <w:sz w:val="18"/>
          <w:szCs w:val="18"/>
          <w:b w:val="1"/>
          <w:bCs w:val="1"/>
          <w:color w:val="auto"/>
        </w:rPr>
      </w:pPr>
    </w:p>
    <w:p>
      <w:pPr>
        <w:ind w:right="40" w:firstLine="443"/>
        <w:spacing w:after="0" w:line="301" w:lineRule="auto"/>
        <w:tabs>
          <w:tab w:leader="none" w:pos="70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constitutes the entire agreement between the parties with respect to the subject matter hereof and supersedes</w:t>
      </w:r>
      <w:r>
        <w:rPr>
          <w:rFonts w:ascii="Arial" w:cs="Arial" w:eastAsia="Arial" w:hAnsi="Arial"/>
          <w:sz w:val="16"/>
          <w:szCs w:val="16"/>
          <w:b w:val="1"/>
          <w:bCs w:val="1"/>
          <w:color w:val="auto"/>
        </w:rPr>
        <w:t xml:space="preserve"> </w:t>
      </w:r>
      <w:r>
        <w:rPr>
          <w:rFonts w:ascii="Arial" w:cs="Arial" w:eastAsia="Arial" w:hAnsi="Arial"/>
          <w:sz w:val="16"/>
          <w:szCs w:val="16"/>
          <w:color w:val="auto"/>
        </w:rPr>
        <w:t>all prior agreements, understandings and negotiations, written and oral, between the parties with respect to the subject matter of this Agreement; provided, however, that this Agreement is a supplement to and in furtherance of the Certificate of Incorporation, Bylaws, the Code and any other applicable law, and shall not be deemed a substitute therefor, and does not diminish or abrogate any rights of Indemnitee thereunder.</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[R</w:t>
      </w:r>
      <w:r>
        <w:rPr>
          <w:rFonts w:ascii="Arial" w:cs="Arial" w:eastAsia="Arial" w:hAnsi="Arial"/>
          <w:sz w:val="14"/>
          <w:szCs w:val="14"/>
          <w:b w:val="1"/>
          <w:bCs w:val="1"/>
          <w:i w:val="1"/>
          <w:iCs w:val="1"/>
          <w:color w:val="auto"/>
        </w:rPr>
        <w:t>EMAINDER OF THIS PAGE INTENTIONALLY LEFT BLANK</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hereto have entered into this Agreement effective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10795</wp:posOffset>
            </wp:positionV>
            <wp:extent cx="2675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center"/>
        <w:ind w:left="3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6985</wp:posOffset>
            </wp:positionV>
            <wp:extent cx="22123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-129540</wp:posOffset>
            </wp:positionV>
            <wp:extent cx="22123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160655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156845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jc w:val="right"/>
        <w:ind w:right="959"/>
        <w:spacing w:after="0"/>
        <w:rPr>
          <w:sz w:val="20"/>
          <w:szCs w:val="20"/>
          <w:color w:val="auto"/>
        </w:rPr>
      </w:pPr>
      <w:r>
        <w:rPr>
          <w:rFonts w:ascii="Arial" w:cs="Arial" w:eastAsia="Arial" w:hAnsi="Arial"/>
          <w:sz w:val="18"/>
          <w:szCs w:val="18"/>
          <w:color w:val="auto"/>
        </w:rPr>
        <w:t>Print or Type Name of Indemnitee</w:t>
      </w:r>
    </w:p>
    <w:p>
      <w:pPr>
        <w:sectPr>
          <w:pgSz w:w="11900" w:h="16838" w:orient="portrait"/>
          <w:cols w:equalWidth="0" w:num="1">
            <w:col w:w="9759"/>
          </w:cols>
          <w:pgMar w:left="700" w:top="274"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on Form S-8 (Nos. 333-151808, 333-141694 and 333-122665) and Form S-3 (No. 333-163116) of MediciNova, Inc. and in the related Prospectus of our reports dated March 28, 2013, with respect to the consolidated financial statements of MediciNova, Inc., and the effectiveness of internal control over financial reporting of MediciNova, Inc., included in this Annual Report (Form 10-K) for the year ended December 31, 2012.</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2013</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58"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2012 of MediciNova, Inc.;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firstLine="8"/>
        <w:spacing w:after="0" w:line="259"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28, 2013</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SECTION 302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158"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2012 of MediciNova, Inc.;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firstLine="8"/>
        <w:spacing w:after="0" w:line="259" w:lineRule="auto"/>
        <w:tabs>
          <w:tab w:leader="none" w:pos="1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firstLine="464"/>
        <w:spacing w:after="0" w:line="259" w:lineRule="auto"/>
        <w:tabs>
          <w:tab w:leader="none" w:pos="6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Gennaro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Gennaro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28, 2013</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2012,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28, 2013</w:t>
      </w:r>
      <w:r>
        <w:rPr>
          <w:sz w:val="20"/>
          <w:szCs w:val="20"/>
          <w:color w:val="auto"/>
        </w:rPr>
        <w:tab/>
      </w:r>
      <w:r>
        <w:rPr>
          <w:rFonts w:ascii="Arial" w:cs="Arial" w:eastAsia="Arial" w:hAnsi="Arial"/>
          <w:sz w:val="16"/>
          <w:szCs w:val="16"/>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pacing w:after="0" w:line="151"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2012, as filed with the Securities and Exchange Commission on the date hereof (the “Report”), I, Michael Gennaro, as Chief Financial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28, 2013</w:t>
      </w:r>
      <w:r>
        <w:rPr>
          <w:sz w:val="20"/>
          <w:szCs w:val="20"/>
          <w:color w:val="auto"/>
        </w:rPr>
        <w:tab/>
      </w:r>
      <w:r>
        <w:rPr>
          <w:rFonts w:ascii="Arial" w:cs="Arial" w:eastAsia="Arial" w:hAnsi="Arial"/>
          <w:sz w:val="16"/>
          <w:szCs w:val="16"/>
          <w:color w:val="auto"/>
        </w:rPr>
        <w:t>/s/ Michael Gennaro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Gennaro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2"/>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2"/>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5"/>
    </w:lvl>
  </w:abstractNum>
  <w:abstractNum w:abstractNumId="46">
    <w:nsid w:val="39386575"/>
    <w:multiLevelType w:val="hybridMultilevel"/>
    <w:lvl w:ilvl="0">
      <w:lvlJc w:val="left"/>
      <w:lvlText w:val="(%1)"/>
      <w:numFmt w:val="decimal"/>
      <w:start w:val="3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4"/>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lvl w:ilvl="1">
      <w:lvlJc w:val="left"/>
      <w:lvlText w:val="(%2)"/>
      <w:numFmt w:val="lowerLetter"/>
      <w:start w:val="1"/>
    </w:lvl>
  </w:abstractNum>
  <w:abstractNum w:abstractNumId="52">
    <w:nsid w:val="15B5AF5C"/>
    <w:multiLevelType w:val="hybridMultilevel"/>
    <w:lvl w:ilvl="0">
      <w:lvlJc w:val="left"/>
      <w:lvlText w:val="%1"/>
      <w:numFmt w:val="lowerLetter"/>
      <w:start w:val="1"/>
    </w:lvl>
    <w:lvl w:ilvl="1">
      <w:lvlJc w:val="left"/>
      <w:lvlText w:val="(%2)"/>
      <w:numFmt w:val="lowerLetter"/>
      <w:start w:val="2"/>
    </w:lvl>
  </w:abstractNum>
  <w:abstractNum w:abstractNumId="53">
    <w:nsid w:val="741226BB"/>
    <w:multiLevelType w:val="hybridMultilevel"/>
    <w:lvl w:ilvl="0">
      <w:lvlJc w:val="left"/>
      <w:lvlText w:val="(%1)"/>
      <w:numFmt w:val="lowerLetter"/>
      <w:start w:val="9"/>
    </w:lvl>
    <w:lvl w:ilvl="1">
      <w:lvlJc w:val="left"/>
      <w:lvlText w:val="%2"/>
      <w:numFmt w:val="lowerLetter"/>
      <w:start w:val="1"/>
    </w:lvl>
  </w:abstractNum>
  <w:abstractNum w:abstractNumId="54">
    <w:nsid w:val="D34B6A8"/>
    <w:multiLevelType w:val="hybridMultilevel"/>
    <w:lvl w:ilvl="0">
      <w:lvlJc w:val="left"/>
      <w:lvlText w:val="%1."/>
      <w:numFmt w:val="decimal"/>
      <w:start w:val="2"/>
    </w:lvl>
    <w:lvl w:ilvl="1">
      <w:lvlJc w:val="left"/>
      <w:lvlText w:val="(%2)"/>
      <w:numFmt w:val="lowerLetter"/>
      <w:start w:val="1"/>
    </w:lvl>
  </w:abstractNum>
  <w:abstractNum w:abstractNumId="55">
    <w:nsid w:val="10233C99"/>
    <w:multiLevelType w:val="hybridMultilevel"/>
    <w:lvl w:ilvl="0">
      <w:lvlJc w:val="left"/>
      <w:lvlText w:val="%1."/>
      <w:numFmt w:val="decimal"/>
      <w:start w:val="7"/>
    </w:lvl>
    <w:lvl w:ilvl="1">
      <w:lvlJc w:val="left"/>
      <w:lvlText w:val="(%2)"/>
      <w:numFmt w:val="lowerLetter"/>
      <w:start w:val="1"/>
    </w:lvl>
  </w:abstractNum>
  <w:abstractNum w:abstractNumId="56">
    <w:nsid w:val="3F6AB60F"/>
    <w:multiLevelType w:val="hybridMultilevel"/>
    <w:lvl w:ilvl="0">
      <w:lvlJc w:val="left"/>
      <w:lvlText w:val="%1"/>
      <w:numFmt w:val="decimal"/>
      <w:start w:val="1"/>
    </w:lvl>
    <w:lvl w:ilvl="1">
      <w:lvlJc w:val="left"/>
      <w:lvlText w:val="(%2)"/>
      <w:numFmt w:val="lowerLetter"/>
      <w:start w:val="4"/>
    </w:lvl>
  </w:abstractNum>
  <w:abstractNum w:abstractNumId="57">
    <w:nsid w:val="61574095"/>
    <w:multiLevelType w:val="hybridMultilevel"/>
    <w:lvl w:ilvl="0">
      <w:lvlJc w:val="left"/>
      <w:lvlText w:val="%1."/>
      <w:numFmt w:val="decimal"/>
      <w:start w:val="8"/>
    </w:lvl>
    <w:lvl w:ilvl="1">
      <w:lvlJc w:val="left"/>
      <w:lvlText w:val="(%2)"/>
      <w:numFmt w:val="lowerLetter"/>
      <w:start w:val="1"/>
    </w:lvl>
  </w:abstractNum>
  <w:abstractNum w:abstractNumId="58">
    <w:nsid w:val="7E0C57B1"/>
    <w:multiLevelType w:val="hybridMultilevel"/>
    <w:lvl w:ilvl="0">
      <w:lvlJc w:val="left"/>
      <w:lvlText w:val="(%1)"/>
      <w:numFmt w:val="lowerLetter"/>
      <w:start w:val="2"/>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decimal"/>
      <w:start w:val="12"/>
    </w:lvl>
  </w:abstractNum>
  <w:abstractNum w:abstractNumId="61">
    <w:nsid w:val="310C50B3"/>
    <w:multiLevelType w:val="hybridMultilevel"/>
    <w:lvl w:ilvl="0">
      <w:lvlJc w:val="left"/>
      <w:lvlText w:val="%1."/>
      <w:numFmt w:val="decimal"/>
      <w:start w:val="14"/>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2019-12-07T05:02:09Z</dcterms:created>
  <dcterms:modified xsi:type="dcterms:W3CDTF">2019-12-07T05:02:09Z</dcterms:modified>
</cp:coreProperties>
</file>