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26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49" w:lineRule="exact"/>
        <w:rPr>
          <w:sz w:val="24"/>
          <w:szCs w:val="24"/>
          <w:color w:val="auto"/>
        </w:rPr>
      </w:pPr>
    </w:p>
    <w:p>
      <w:pPr>
        <w:ind w:left="520" w:right="2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571" w:right="379" w:bottom="1440" w:gutter="0" w:footer="0" w:header="0"/>
        </w:sectPr>
      </w:pPr>
    </w:p>
    <w:p>
      <w:pPr>
        <w:spacing w:after="0" w:line="10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58" w:lineRule="exact"/>
        <w:rPr>
          <w:sz w:val="24"/>
          <w:szCs w:val="24"/>
          <w:color w:val="auto"/>
        </w:rPr>
      </w:pPr>
    </w:p>
    <w:p>
      <w:pPr>
        <w:sectPr>
          <w:pgSz w:w="11900" w:h="16838" w:orient="portrait"/>
          <w:cols w:equalWidth="0" w:num="2">
            <w:col w:w="6560" w:space="720"/>
            <w:col w:w="4000"/>
          </w:cols>
          <w:pgMar w:left="240" w:top="571" w:right="37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135255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280"/>
          </w:cols>
          <w:pgMar w:left="240" w:top="571" w:right="379" w:bottom="1440" w:gutter="0" w:footer="0" w:header="0"/>
          <w:type w:val="continuous"/>
        </w:sect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MEDICINOVA, INC.</w:t>
      </w:r>
    </w:p>
    <w:p>
      <w:pPr>
        <w:spacing w:after="0" w:line="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93"/>
              </w:rPr>
              <w:t>Delaware</w:t>
            </w:r>
          </w:p>
        </w:tc>
        <w:tc>
          <w:tcPr>
            <w:tcW w:w="1340" w:type="dxa"/>
            <w:vAlign w:val="bottom"/>
          </w:tcPr>
          <w:p>
            <w:pPr>
              <w:jc w:val="right"/>
              <w:ind w:right="41"/>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300" w:type="dxa"/>
            <w:vAlign w:val="bottom"/>
          </w:tcPr>
          <w:p>
            <w:pPr>
              <w:jc w:val="center"/>
              <w:ind w:right="36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300" w:type="dxa"/>
            <w:vAlign w:val="bottom"/>
          </w:tcPr>
          <w:p>
            <w:pPr>
              <w:jc w:val="center"/>
              <w:ind w:right="3679"/>
              <w:spacing w:after="0"/>
              <w:rPr>
                <w:sz w:val="20"/>
                <w:szCs w:val="20"/>
                <w:color w:val="auto"/>
              </w:rPr>
            </w:pPr>
            <w:r>
              <w:rPr>
                <w:rFonts w:ascii="Arial" w:cs="Arial" w:eastAsia="Arial" w:hAnsi="Arial"/>
                <w:sz w:val="14"/>
                <w:szCs w:val="14"/>
                <w:b w:val="1"/>
                <w:bCs w:val="1"/>
                <w:color w:val="auto"/>
                <w:w w:val="95"/>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89"/>
              </w:rPr>
              <w:t>4275 Executive Square, Suite 650</w:t>
            </w:r>
          </w:p>
        </w:tc>
        <w:tc>
          <w:tcPr>
            <w:tcW w:w="1340" w:type="dxa"/>
            <w:vAlign w:val="bottom"/>
          </w:tcPr>
          <w:p>
            <w:pPr>
              <w:spacing w:after="0"/>
              <w:rPr>
                <w:sz w:val="24"/>
                <w:szCs w:val="24"/>
                <w:color w:val="auto"/>
              </w:rPr>
            </w:pPr>
          </w:p>
        </w:tc>
      </w:tr>
      <w:tr>
        <w:trPr>
          <w:trHeight w:val="212"/>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95"/>
              </w:rPr>
              <w:t>La Jolla, CA</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92037</w:t>
            </w:r>
          </w:p>
        </w:tc>
      </w:tr>
      <w:tr>
        <w:trPr>
          <w:trHeight w:val="186"/>
        </w:trPr>
        <w:tc>
          <w:tcPr>
            <w:tcW w:w="6300" w:type="dxa"/>
            <w:vAlign w:val="bottom"/>
          </w:tcPr>
          <w:p>
            <w:pPr>
              <w:jc w:val="center"/>
              <w:ind w:right="36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34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376"/>
        </w:trPr>
        <w:tc>
          <w:tcPr>
            <w:tcW w:w="6300" w:type="dxa"/>
            <w:vAlign w:val="bottom"/>
          </w:tcPr>
          <w:p>
            <w:pPr>
              <w:jc w:val="right"/>
              <w:ind w:right="1539"/>
              <w:spacing w:after="0"/>
              <w:rPr>
                <w:sz w:val="20"/>
                <w:szCs w:val="20"/>
                <w:color w:val="auto"/>
              </w:rPr>
            </w:pPr>
            <w:r>
              <w:rPr>
                <w:rFonts w:ascii="Arial" w:cs="Arial" w:eastAsia="Arial" w:hAnsi="Arial"/>
                <w:sz w:val="16"/>
                <w:szCs w:val="16"/>
                <w:b w:val="1"/>
                <w:bCs w:val="1"/>
                <w:color w:val="auto"/>
              </w:rPr>
              <w:t>(858) 373-1500</w:t>
            </w:r>
          </w:p>
        </w:tc>
        <w:tc>
          <w:tcPr>
            <w:tcW w:w="1340" w:type="dxa"/>
            <w:vAlign w:val="bottom"/>
          </w:tcPr>
          <w:p>
            <w:pPr>
              <w:spacing w:after="0"/>
              <w:rPr>
                <w:sz w:val="24"/>
                <w:szCs w:val="24"/>
                <w:color w:val="auto"/>
              </w:rPr>
            </w:pPr>
          </w:p>
        </w:tc>
      </w:tr>
      <w:tr>
        <w:trPr>
          <w:trHeight w:val="210"/>
        </w:trPr>
        <w:tc>
          <w:tcPr>
            <w:tcW w:w="6300" w:type="dxa"/>
            <w:vAlign w:val="bottom"/>
          </w:tcPr>
          <w:p>
            <w:pPr>
              <w:jc w:val="center"/>
              <w:ind w:left="1959"/>
              <w:spacing w:after="0"/>
              <w:rPr>
                <w:sz w:val="20"/>
                <w:szCs w:val="20"/>
                <w:color w:val="auto"/>
              </w:rPr>
            </w:pPr>
            <w:r>
              <w:rPr>
                <w:rFonts w:ascii="Arial" w:cs="Arial" w:eastAsia="Arial" w:hAnsi="Arial"/>
                <w:sz w:val="16"/>
                <w:szCs w:val="16"/>
                <w:b w:val="1"/>
                <w:bCs w:val="1"/>
                <w:color w:val="auto"/>
                <w:w w:val="91"/>
              </w:rPr>
              <w:t>(Registrant’s Telephone Number, Including Area Code)</w:t>
            </w:r>
          </w:p>
        </w:tc>
        <w:tc>
          <w:tcPr>
            <w:tcW w:w="13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106680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0" w:lineRule="exact"/>
        <w:rPr>
          <w:sz w:val="24"/>
          <w:szCs w:val="24"/>
          <w:color w:val="auto"/>
        </w:rPr>
      </w:pPr>
    </w:p>
    <w:p>
      <w:pPr>
        <w:ind w:right="1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firstLine="518"/>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the definitions of “accelerated filer”, “large accelerated filer” and “smaller reporting company” in Rule 12b-2 of the Exchange Act. (Check one):</w:t>
      </w:r>
    </w:p>
    <w:p>
      <w:pPr>
        <w:sectPr>
          <w:pgSz w:w="11900" w:h="16838" w:orient="portrait"/>
          <w:cols w:equalWidth="0" w:num="1">
            <w:col w:w="11280"/>
          </w:cols>
          <w:pgMar w:left="240" w:top="571" w:right="379" w:bottom="1440" w:gutter="0" w:footer="0" w:header="0"/>
          <w:type w:val="continuous"/>
        </w:sectPr>
      </w:pPr>
    </w:p>
    <w:p>
      <w:pPr>
        <w:spacing w:after="0" w:line="159"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2" w:lineRule="exact"/>
        <w:rPr>
          <w:sz w:val="24"/>
          <w:szCs w:val="24"/>
          <w:color w:val="auto"/>
        </w:rPr>
      </w:pPr>
    </w:p>
    <w:p>
      <w:pPr>
        <w:sectPr>
          <w:pgSz w:w="11900" w:h="16838" w:orient="portrait"/>
          <w:cols w:equalWidth="0" w:num="4">
            <w:col w:w="1800" w:space="720"/>
            <w:col w:w="4840" w:space="720"/>
            <w:col w:w="2340" w:space="720"/>
            <w:col w:w="140"/>
          </w:cols>
          <w:pgMar w:left="240" w:top="571" w:right="37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5">
            <w:col w:w="1800" w:space="720"/>
            <w:col w:w="140" w:space="80"/>
            <w:col w:w="4620" w:space="720"/>
            <w:col w:w="2340" w:space="720"/>
            <w:col w:w="140"/>
          </w:cols>
          <w:pgMar w:left="240" w:top="571" w:right="379" w:bottom="1440" w:gutter="0" w:footer="0" w:header="0"/>
          <w:type w:val="continuous"/>
        </w:sectPr>
      </w:pPr>
    </w:p>
    <w:p>
      <w:pPr>
        <w:spacing w:after="0" w:line="14" w:lineRule="exact"/>
        <w:rPr>
          <w:sz w:val="24"/>
          <w:szCs w:val="24"/>
          <w:color w:val="auto"/>
        </w:rPr>
      </w:pPr>
    </w:p>
    <w:p>
      <w:pPr>
        <w:ind w:left="7780"/>
        <w:spacing w:after="0" w:line="184" w:lineRule="exact"/>
        <w:tabs>
          <w:tab w:leader="none" w:pos="1062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280"/>
          </w:cols>
          <w:pgMar w:left="240" w:top="571" w:right="379" w:bottom="1440" w:gutter="0" w:footer="0" w:header="0"/>
          <w:type w:val="continuous"/>
        </w:sectPr>
      </w:pP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w:t>
      </w:r>
    </w:p>
    <w:p>
      <w:pPr>
        <w:spacing w:after="0" w:line="24" w:lineRule="exact"/>
        <w:rPr>
          <w:sz w:val="24"/>
          <w:szCs w:val="24"/>
          <w:color w:val="auto"/>
        </w:rPr>
      </w:pPr>
    </w:p>
    <w:p>
      <w:pPr>
        <w:spacing w:after="0" w:line="184" w:lineRule="exact"/>
        <w:tabs>
          <w:tab w:leader="none" w:pos="6460" w:val="left"/>
        </w:tabs>
        <w:rPr>
          <w:sz w:val="20"/>
          <w:szCs w:val="20"/>
          <w:color w:val="auto"/>
        </w:rPr>
      </w:pPr>
      <w:r>
        <w:rPr>
          <w:rFonts w:ascii="Arial" w:cs="Arial" w:eastAsia="Arial" w:hAnsi="Arial"/>
          <w:sz w:val="16"/>
          <w:szCs w:val="16"/>
          <w:color w:val="auto"/>
        </w:rPr>
        <w:t>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87" w:lineRule="exact"/>
        <w:rPr>
          <w:sz w:val="24"/>
          <w:szCs w:val="24"/>
          <w:color w:val="auto"/>
        </w:rPr>
      </w:pPr>
    </w:p>
    <w:p>
      <w:pPr>
        <w:ind w:left="520" w:right="218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26, 2017, the registrant had 35,068,662 shares of Common Stock ($0.001 par value) outstanding.</w:t>
      </w:r>
    </w:p>
    <w:p>
      <w:pPr>
        <w:spacing w:after="0" w:line="200" w:lineRule="exact"/>
        <w:rPr>
          <w:sz w:val="24"/>
          <w:szCs w:val="24"/>
          <w:color w:val="auto"/>
        </w:rPr>
      </w:pPr>
    </w:p>
    <w:p>
      <w:pPr>
        <w:spacing w:after="0" w:line="25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71" w:right="3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93"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In light of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04"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or delay in completing clinical trials or obtaining FDA or foreign regulatory approval for our product candidates in a timely manner;</w:t>
      </w:r>
    </w:p>
    <w:p>
      <w:pPr>
        <w:spacing w:after="0" w:line="115" w:lineRule="exact"/>
        <w:rPr>
          <w:rFonts w:ascii="Arial" w:cs="Arial" w:eastAsia="Arial" w:hAnsi="Arial"/>
          <w:sz w:val="17"/>
          <w:szCs w:val="17"/>
          <w:color w:val="auto"/>
        </w:rPr>
      </w:pPr>
    </w:p>
    <w:p>
      <w:pPr>
        <w:ind w:left="1040" w:right="2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joint venture entity in China to develop and commercialize our product candidates in China;</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03"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if approved, may not gain market acceptance or obtain adequate coverage for third party reimbursement;</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60" w:type="dxa"/>
            <w:vAlign w:val="bottom"/>
            <w:gridSpan w:val="5"/>
          </w:tcPr>
          <w:p>
            <w:pPr>
              <w:jc w:val="center"/>
              <w:ind w:right="3680"/>
              <w:spacing w:after="0"/>
              <w:rPr>
                <w:sz w:val="20"/>
                <w:szCs w:val="20"/>
                <w:color w:val="auto"/>
              </w:rPr>
            </w:pPr>
            <w:r>
              <w:rPr>
                <w:rFonts w:ascii="Arial" w:cs="Arial" w:eastAsia="Arial" w:hAnsi="Arial"/>
                <w:sz w:val="18"/>
                <w:szCs w:val="18"/>
                <w:b w:val="1"/>
                <w:bCs w:val="1"/>
                <w:color w:val="auto"/>
              </w:rPr>
              <w:t>MEDICINOVA, INC.</w:t>
            </w:r>
          </w:p>
        </w:tc>
        <w:tc>
          <w:tcPr>
            <w:tcW w:w="72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60" w:type="dxa"/>
            <w:vAlign w:val="bottom"/>
            <w:gridSpan w:val="5"/>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r>
      <w:tr>
        <w:trPr>
          <w:trHeight w:val="405"/>
        </w:trPr>
        <w:tc>
          <w:tcPr>
            <w:tcW w:w="29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8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44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CONSOLIDATED FINANCIAL STATEMENTS (unaudited)</w:t>
              </w:r>
            </w:hyperlink>
          </w:p>
        </w:tc>
        <w:tc>
          <w:tcPr>
            <w:tcW w:w="500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MANAGEMENT’S DISCUSSION AND ANALYSIS OF FINANCIAL CONDITION AND RESULTS OF OPERATIONS</w:t>
              </w:r>
            </w:hyperlink>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16">
              <w:r>
                <w:rPr>
                  <w:rFonts w:ascii="Arial" w:cs="Arial" w:eastAsia="Arial" w:hAnsi="Arial"/>
                  <w:sz w:val="18"/>
                  <w:szCs w:val="18"/>
                  <w:color w:val="0000EE"/>
                  <w:w w:val="98"/>
                </w:rPr>
                <w:t>QUANTITATIVE AND QUALITATIVE DISCLOSURES ABOUT MARKET RISK</w:t>
              </w:r>
            </w:hyperlink>
          </w:p>
        </w:tc>
        <w:tc>
          <w:tcPr>
            <w:tcW w:w="330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CONTROLS AND PROCEDURES</w:t>
              </w:r>
            </w:hyperlink>
          </w:p>
        </w:tc>
        <w:tc>
          <w:tcPr>
            <w:tcW w:w="6840" w:type="dxa"/>
            <w:vAlign w:val="bottom"/>
            <w:gridSpan w:val="6"/>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45"/>
        </w:trPr>
        <w:tc>
          <w:tcPr>
            <w:tcW w:w="10680" w:type="dxa"/>
            <w:vAlign w:val="bottom"/>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PART II.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LEGAL PROCEEDINGS</w:t>
              </w:r>
            </w:hyperlink>
          </w:p>
        </w:tc>
        <w:tc>
          <w:tcPr>
            <w:tcW w:w="756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944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944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060" w:type="dxa"/>
            <w:vAlign w:val="bottom"/>
            <w:tcBorders>
              <w:top w:val="single" w:sz="8" w:color="0000EE"/>
            </w:tcBorders>
            <w:gridSpan w:val="1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DEFAULTS UPON SENIOR SECURITIES</w:t>
              </w:r>
            </w:hyperlink>
          </w:p>
        </w:tc>
        <w:tc>
          <w:tcPr>
            <w:tcW w:w="338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4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MINE SAFETY DISCLOSURES</w:t>
              </w:r>
            </w:hyperlink>
          </w:p>
        </w:tc>
        <w:tc>
          <w:tcPr>
            <w:tcW w:w="740" w:type="dxa"/>
            <w:vAlign w:val="bottom"/>
            <w:tcBorders>
              <w:top w:val="single" w:sz="8" w:color="0000EE"/>
            </w:tcBorders>
            <w:gridSpan w:val="2"/>
          </w:tcPr>
          <w:p>
            <w:pPr>
              <w:spacing w:after="0"/>
              <w:rPr>
                <w:sz w:val="18"/>
                <w:szCs w:val="18"/>
                <w:color w:val="auto"/>
              </w:rPr>
            </w:pPr>
          </w:p>
        </w:tc>
        <w:tc>
          <w:tcPr>
            <w:tcW w:w="626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5.</w:t>
            </w:r>
          </w:p>
        </w:tc>
        <w:tc>
          <w:tcPr>
            <w:tcW w:w="944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1880" w:type="dxa"/>
            <w:vAlign w:val="bottom"/>
            <w:tcBorders>
              <w:top w:val="single" w:sz="8" w:color="0000EE"/>
            </w:tcBorders>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756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45"/>
        </w:trPr>
        <w:tc>
          <w:tcPr>
            <w:tcW w:w="1240" w:type="dxa"/>
            <w:vAlign w:val="bottom"/>
            <w:gridSpan w:val="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8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900" w:type="dxa"/>
            <w:vAlign w:val="bottom"/>
          </w:tcPr>
          <w:p>
            <w:pPr>
              <w:jc w:val="center"/>
              <w:ind w:left="2870"/>
              <w:spacing w:after="0"/>
              <w:rPr>
                <w:sz w:val="20"/>
                <w:szCs w:val="20"/>
                <w:color w:val="auto"/>
              </w:rPr>
            </w:pPr>
            <w:r>
              <w:rPr>
                <w:rFonts w:ascii="Arial" w:cs="Arial" w:eastAsia="Arial" w:hAnsi="Arial"/>
                <w:sz w:val="18"/>
                <w:szCs w:val="18"/>
                <w:b w:val="1"/>
                <w:bCs w:val="1"/>
                <w:color w:val="auto"/>
              </w:rPr>
              <w:t>PART I. FINANCIAL INFORMATION</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900" w:type="dxa"/>
            <w:vAlign w:val="bottom"/>
          </w:tcPr>
          <w:p>
            <w:pPr>
              <w:ind w:left="380"/>
              <w:spacing w:after="0"/>
              <w:rPr>
                <w:sz w:val="20"/>
                <w:szCs w:val="20"/>
                <w:color w:val="auto"/>
              </w:rPr>
            </w:pPr>
            <w:r>
              <w:rPr>
                <w:rFonts w:ascii="Arial" w:cs="Arial" w:eastAsia="Arial" w:hAnsi="Arial"/>
                <w:sz w:val="18"/>
                <w:szCs w:val="18"/>
                <w:b w:val="1"/>
                <w:bCs w:val="1"/>
                <w:color w:val="auto"/>
              </w:rPr>
              <w:t>CONSOLIDATED FINANCIAL STATEMENTS.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00" w:type="dxa"/>
            <w:vAlign w:val="bottom"/>
          </w:tcPr>
          <w:p>
            <w:pPr>
              <w:jc w:val="center"/>
              <w:ind w:left="2870"/>
              <w:spacing w:after="0"/>
              <w:rPr>
                <w:sz w:val="20"/>
                <w:szCs w:val="20"/>
                <w:color w:val="auto"/>
              </w:rPr>
            </w:pPr>
            <w:r>
              <w:rPr>
                <w:rFonts w:ascii="Arial" w:cs="Arial" w:eastAsia="Arial" w:hAnsi="Arial"/>
                <w:sz w:val="18"/>
                <w:szCs w:val="18"/>
                <w:b w:val="1"/>
                <w:bCs w:val="1"/>
                <w:color w:val="auto"/>
              </w:rPr>
              <w:t>MEDICINOVA, INC.</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00" w:type="dxa"/>
            <w:vAlign w:val="bottom"/>
          </w:tcPr>
          <w:p>
            <w:pPr>
              <w:jc w:val="center"/>
              <w:ind w:left="2850"/>
              <w:spacing w:after="0"/>
              <w:rPr>
                <w:sz w:val="20"/>
                <w:szCs w:val="20"/>
                <w:color w:val="auto"/>
              </w:rPr>
            </w:pPr>
            <w:r>
              <w:rPr>
                <w:rFonts w:ascii="Arial" w:cs="Arial" w:eastAsia="Arial" w:hAnsi="Arial"/>
                <w:sz w:val="18"/>
                <w:szCs w:val="18"/>
                <w:b w:val="1"/>
                <w:bCs w:val="1"/>
                <w:color w:val="auto"/>
                <w:w w:val="99"/>
              </w:rPr>
              <w:t>CONSOLIDATED BALANCE SHEETS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1"/>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r>
      <w:tr>
        <w:trPr>
          <w:trHeight w:val="201"/>
        </w:trPr>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7"/>
                <w:szCs w:val="17"/>
                <w:color w:val="auto"/>
              </w:rPr>
            </w:pPr>
          </w:p>
        </w:tc>
      </w:tr>
      <w:tr>
        <w:trPr>
          <w:trHeight w:val="156"/>
        </w:trPr>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92"/>
              <w:spacing w:after="0" w:line="155"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20" w:type="dxa"/>
            <w:vAlign w:val="bottom"/>
          </w:tcPr>
          <w:p>
            <w:pPr>
              <w:spacing w:after="0"/>
              <w:rPr>
                <w:sz w:val="19"/>
                <w:szCs w:val="19"/>
                <w:color w:val="auto"/>
              </w:rPr>
            </w:pPr>
          </w:p>
        </w:tc>
        <w:tc>
          <w:tcPr>
            <w:tcW w:w="71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22,890,047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24,118,037</w:t>
            </w:r>
          </w:p>
        </w:tc>
        <w:tc>
          <w:tcPr>
            <w:tcW w:w="80" w:type="dxa"/>
            <w:vAlign w:val="bottom"/>
            <w:shd w:val="clear" w:color="auto" w:fill="CFF0FC"/>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69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472,834</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585,810</w:t>
            </w:r>
          </w:p>
        </w:tc>
        <w:tc>
          <w:tcPr>
            <w:tcW w:w="80" w:type="dxa"/>
            <w:vAlign w:val="bottom"/>
            <w:tcBorders>
              <w:bottom w:val="single" w:sz="8" w:color="CFF0FC"/>
            </w:tcBorders>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7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23,362,881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24,703,847</w:t>
            </w:r>
          </w:p>
        </w:tc>
        <w:tc>
          <w:tcPr>
            <w:tcW w:w="80" w:type="dxa"/>
            <w:vAlign w:val="bottom"/>
            <w:shd w:val="clear" w:color="auto" w:fill="CFF0FC"/>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9,600,240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9,600,240</w:t>
            </w:r>
          </w:p>
        </w:tc>
        <w:tc>
          <w:tcPr>
            <w:tcW w:w="80" w:type="dxa"/>
            <w:vAlign w:val="bottom"/>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7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80" w:type="dxa"/>
            <w:vAlign w:val="bottom"/>
            <w:shd w:val="clear" w:color="auto" w:fill="CFF0FC"/>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616,657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618,330</w:t>
            </w:r>
          </w:p>
        </w:tc>
        <w:tc>
          <w:tcPr>
            <w:tcW w:w="80" w:type="dxa"/>
            <w:vAlign w:val="bottom"/>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7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76,545</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90,717</w:t>
            </w:r>
          </w:p>
        </w:tc>
        <w:tc>
          <w:tcPr>
            <w:tcW w:w="80" w:type="dxa"/>
            <w:vAlign w:val="bottom"/>
            <w:shd w:val="clear" w:color="auto" w:fill="CFF0FC"/>
          </w:tcPr>
          <w:p>
            <w:pPr>
              <w:spacing w:after="0"/>
              <w:rPr>
                <w:sz w:val="19"/>
                <w:szCs w:val="19"/>
                <w:color w:val="auto"/>
              </w:rPr>
            </w:pPr>
          </w:p>
        </w:tc>
      </w:tr>
      <w:tr>
        <w:trPr>
          <w:trHeight w:val="263"/>
        </w:trPr>
        <w:tc>
          <w:tcPr>
            <w:tcW w:w="7680" w:type="dxa"/>
            <w:vAlign w:val="bottom"/>
            <w:gridSpan w:val="3"/>
          </w:tcPr>
          <w:p>
            <w:pPr>
              <w:ind w:left="520"/>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38,456,323</w:t>
            </w:r>
          </w:p>
        </w:tc>
        <w:tc>
          <w:tcPr>
            <w:tcW w:w="1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39,813,134</w:t>
            </w:r>
          </w:p>
        </w:tc>
        <w:tc>
          <w:tcPr>
            <w:tcW w:w="80" w:type="dxa"/>
            <w:vAlign w:val="bottom"/>
          </w:tcPr>
          <w:p>
            <w:pPr>
              <w:spacing w:after="0"/>
              <w:rPr>
                <w:sz w:val="22"/>
                <w:szCs w:val="22"/>
                <w:color w:val="auto"/>
              </w:rPr>
            </w:pPr>
          </w:p>
        </w:tc>
      </w:tr>
      <w:tr>
        <w:trPr>
          <w:trHeight w:val="210"/>
        </w:trPr>
        <w:tc>
          <w:tcPr>
            <w:tcW w:w="520" w:type="dxa"/>
            <w:vAlign w:val="bottom"/>
          </w:tcPr>
          <w:p>
            <w:pPr>
              <w:spacing w:after="0"/>
              <w:rPr>
                <w:sz w:val="18"/>
                <w:szCs w:val="18"/>
                <w:color w:val="auto"/>
              </w:rPr>
            </w:pPr>
          </w:p>
        </w:tc>
        <w:tc>
          <w:tcPr>
            <w:tcW w:w="7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5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6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300,410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367,275</w:t>
            </w:r>
          </w:p>
        </w:tc>
        <w:tc>
          <w:tcPr>
            <w:tcW w:w="80" w:type="dxa"/>
            <w:vAlign w:val="bottom"/>
            <w:shd w:val="clear" w:color="auto" w:fill="CFF0FC"/>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69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Accrued expenses</w:t>
            </w:r>
          </w:p>
        </w:tc>
        <w:tc>
          <w:tcPr>
            <w:tcW w:w="4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1,119,481</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1,263,767</w:t>
            </w:r>
          </w:p>
        </w:tc>
        <w:tc>
          <w:tcPr>
            <w:tcW w:w="80" w:type="dxa"/>
            <w:vAlign w:val="bottom"/>
            <w:tcBorders>
              <w:bottom w:val="single" w:sz="8" w:color="CFF0FC"/>
            </w:tcBorders>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7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1,419,891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1,631,042</w:t>
            </w:r>
          </w:p>
        </w:tc>
        <w:tc>
          <w:tcPr>
            <w:tcW w:w="80" w:type="dxa"/>
            <w:vAlign w:val="bottom"/>
            <w:shd w:val="clear" w:color="auto" w:fill="CFF0FC"/>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1,956,000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1,956,000</w:t>
            </w:r>
          </w:p>
        </w:tc>
        <w:tc>
          <w:tcPr>
            <w:tcW w:w="80" w:type="dxa"/>
            <w:vAlign w:val="bottom"/>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7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deferred revenue</w:t>
            </w:r>
          </w:p>
        </w:tc>
        <w:tc>
          <w:tcPr>
            <w:tcW w:w="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80" w:type="dxa"/>
            <w:vAlign w:val="bottom"/>
            <w:shd w:val="clear" w:color="auto" w:fill="CFF0FC"/>
          </w:tcPr>
          <w:p>
            <w:pPr>
              <w:spacing w:after="0"/>
              <w:rPr>
                <w:sz w:val="19"/>
                <w:szCs w:val="19"/>
                <w:color w:val="auto"/>
              </w:rPr>
            </w:pPr>
          </w:p>
        </w:tc>
      </w:tr>
      <w:tr>
        <w:trPr>
          <w:trHeight w:val="223"/>
        </w:trPr>
        <w:tc>
          <w:tcPr>
            <w:tcW w:w="7680" w:type="dxa"/>
            <w:vAlign w:val="bottom"/>
            <w:gridSpan w:val="3"/>
          </w:tcPr>
          <w:p>
            <w:pPr>
              <w:ind w:left="520"/>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5,070,054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5,281,205</w:t>
            </w:r>
          </w:p>
        </w:tc>
        <w:tc>
          <w:tcPr>
            <w:tcW w:w="80" w:type="dxa"/>
            <w:vAlign w:val="bottom"/>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7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520" w:type="dxa"/>
            <w:vAlign w:val="bottom"/>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 $0.001 par value; 100,000,000 shares authorized at June 30,</w:t>
            </w: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2017 and December 31, 2016; 35,018,640 and 34,523,678 shares issued and</w:t>
            </w: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outstanding at June 30, 2017 and December 31, 2016, respectively</w:t>
            </w: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35,019</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34,525</w:t>
            </w:r>
          </w:p>
        </w:tc>
        <w:tc>
          <w:tcPr>
            <w:tcW w:w="80" w:type="dxa"/>
            <w:vAlign w:val="bottom"/>
            <w:shd w:val="clear" w:color="auto" w:fill="CFF0FC"/>
          </w:tcPr>
          <w:p>
            <w:pPr>
              <w:spacing w:after="0"/>
              <w:rPr>
                <w:sz w:val="20"/>
                <w:szCs w:val="20"/>
                <w:color w:val="auto"/>
              </w:rPr>
            </w:pPr>
          </w:p>
        </w:tc>
      </w:tr>
      <w:tr>
        <w:trPr>
          <w:trHeight w:val="230"/>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369,544,260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364,886,468</w:t>
            </w:r>
          </w:p>
        </w:tc>
        <w:tc>
          <w:tcPr>
            <w:tcW w:w="80" w:type="dxa"/>
            <w:vAlign w:val="bottom"/>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other comprehensive loss</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(94,785)</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(96,000)</w:t>
            </w:r>
          </w:p>
        </w:tc>
      </w:tr>
      <w:tr>
        <w:trPr>
          <w:trHeight w:val="230"/>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(336,098,225)</w:t>
            </w: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(330,293,064)</w:t>
            </w:r>
          </w:p>
        </w:tc>
      </w:tr>
      <w:tr>
        <w:trPr>
          <w:trHeight w:val="223"/>
        </w:trPr>
        <w:tc>
          <w:tcPr>
            <w:tcW w:w="520" w:type="dxa"/>
            <w:vAlign w:val="bottom"/>
          </w:tcPr>
          <w:p>
            <w:pPr>
              <w:spacing w:after="0"/>
              <w:rPr>
                <w:sz w:val="19"/>
                <w:szCs w:val="19"/>
                <w:color w:val="auto"/>
              </w:rPr>
            </w:pPr>
          </w:p>
        </w:tc>
        <w:tc>
          <w:tcPr>
            <w:tcW w:w="7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33,386,269</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34,531,929</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7680" w:type="dxa"/>
            <w:vAlign w:val="bottom"/>
            <w:gridSpan w:val="3"/>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38,456,323</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39,813,134</w:t>
            </w:r>
          </w:p>
        </w:tc>
        <w:tc>
          <w:tcPr>
            <w:tcW w:w="8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240" w:top="337" w:right="75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92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920" w:type="dxa"/>
            <w:vAlign w:val="bottom"/>
          </w:tcPr>
          <w:p>
            <w:pPr>
              <w:ind w:left="360"/>
              <w:spacing w:after="0"/>
              <w:rPr>
                <w:sz w:val="20"/>
                <w:szCs w:val="20"/>
                <w:color w:val="auto"/>
              </w:rPr>
            </w:pPr>
            <w:r>
              <w:rPr>
                <w:rFonts w:ascii="Arial" w:cs="Arial" w:eastAsia="Arial" w:hAnsi="Arial"/>
                <w:sz w:val="18"/>
                <w:szCs w:val="18"/>
                <w:color w:val="auto"/>
              </w:rPr>
              <w:t>Research, development and patents</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897,208</w:t>
            </w:r>
          </w:p>
        </w:tc>
        <w:tc>
          <w:tcPr>
            <w:tcW w:w="180" w:type="dxa"/>
            <w:vAlign w:val="bottom"/>
          </w:tcPr>
          <w:p>
            <w:pPr>
              <w:spacing w:after="0"/>
              <w:rPr>
                <w:sz w:val="19"/>
                <w:szCs w:val="19"/>
                <w:color w:val="auto"/>
              </w:rPr>
            </w:pP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962,706</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1,797,869</w:t>
            </w:r>
          </w:p>
        </w:tc>
        <w:tc>
          <w:tcPr>
            <w:tcW w:w="200" w:type="dxa"/>
            <w:vAlign w:val="bottom"/>
          </w:tcPr>
          <w:p>
            <w:pPr>
              <w:spacing w:after="0"/>
              <w:rPr>
                <w:sz w:val="19"/>
                <w:szCs w:val="19"/>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2,038,028</w:t>
            </w:r>
          </w:p>
        </w:tc>
        <w:tc>
          <w:tcPr>
            <w:tcW w:w="80" w:type="dxa"/>
            <w:vAlign w:val="bottom"/>
          </w:tcPr>
          <w:p>
            <w:pPr>
              <w:spacing w:after="0"/>
              <w:rPr>
                <w:sz w:val="19"/>
                <w:szCs w:val="19"/>
                <w:color w:val="auto"/>
              </w:rPr>
            </w:pPr>
          </w:p>
        </w:tc>
      </w:tr>
      <w:tr>
        <w:trPr>
          <w:trHeight w:val="230"/>
        </w:trPr>
        <w:tc>
          <w:tcPr>
            <w:tcW w:w="39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1,907,780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2,242,051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4,030,641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4,558,305</w:t>
            </w:r>
          </w:p>
        </w:tc>
        <w:tc>
          <w:tcPr>
            <w:tcW w:w="80" w:type="dxa"/>
            <w:vAlign w:val="bottom"/>
            <w:shd w:val="clear" w:color="auto" w:fill="CFF0FC"/>
          </w:tcPr>
          <w:p>
            <w:pPr>
              <w:spacing w:after="0"/>
              <w:rPr>
                <w:sz w:val="19"/>
                <w:szCs w:val="19"/>
                <w:color w:val="auto"/>
              </w:rPr>
            </w:pPr>
          </w:p>
        </w:tc>
      </w:tr>
      <w:tr>
        <w:trPr>
          <w:trHeight w:val="223"/>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2,804,988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3,204,757</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5,828,510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6,596,333</w:t>
            </w:r>
          </w:p>
        </w:tc>
        <w:tc>
          <w:tcPr>
            <w:tcW w:w="80" w:type="dxa"/>
            <w:vAlign w:val="bottom"/>
            <w:tcBorders>
              <w:bottom w:val="single" w:sz="8" w:color="CFF0FC"/>
            </w:tcBorders>
          </w:tcPr>
          <w:p>
            <w:pPr>
              <w:spacing w:after="0"/>
              <w:rPr>
                <w:sz w:val="19"/>
                <w:szCs w:val="19"/>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(2,804,988)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(3,204,757)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(5,828,510)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(6,596,333)</w:t>
            </w:r>
          </w:p>
        </w:tc>
        <w:tc>
          <w:tcPr>
            <w:tcW w:w="8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Other expense</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(6,027)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(11,745)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(10,474)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(15,008)</w:t>
            </w: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6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18,192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39,913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32,939</w:t>
            </w:r>
          </w:p>
        </w:tc>
        <w:tc>
          <w:tcPr>
            <w:tcW w:w="80" w:type="dxa"/>
            <w:vAlign w:val="bottom"/>
            <w:shd w:val="clear" w:color="auto" w:fill="CFF0FC"/>
          </w:tcPr>
          <w:p>
            <w:pPr>
              <w:spacing w:after="0"/>
              <w:rPr>
                <w:sz w:val="19"/>
                <w:szCs w:val="19"/>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(2,786,607)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(3,198,310)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(5,799,071)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(6,578,402)</w:t>
            </w:r>
          </w:p>
        </w:tc>
        <w:tc>
          <w:tcPr>
            <w:tcW w:w="8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(6,090)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(2,516)</w:t>
            </w:r>
          </w:p>
        </w:tc>
      </w:tr>
      <w:tr>
        <w:trPr>
          <w:trHeight w:val="263"/>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6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(2,788,637)</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(3,199,321)</w:t>
            </w:r>
          </w:p>
        </w:tc>
        <w:tc>
          <w:tcPr>
            <w:tcW w:w="1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(5,805,161</w:t>
            </w:r>
          </w:p>
        </w:tc>
        <w:tc>
          <w:tcPr>
            <w:tcW w:w="200" w:type="dxa"/>
            <w:vAlign w:val="bottom"/>
            <w:tcBorders>
              <w:bottom w:val="single" w:sz="8" w:color="CFF0FC"/>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(6,580,918</w:t>
            </w:r>
          </w:p>
        </w:tc>
        <w:tc>
          <w:tcPr>
            <w:tcW w:w="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FF0FC"/>
          </w:tcPr>
          <w:p>
            <w:pPr>
              <w:spacing w:after="0"/>
              <w:rPr>
                <w:sz w:val="18"/>
                <w:szCs w:val="18"/>
                <w:color w:val="auto"/>
              </w:rPr>
            </w:pP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Shares used to compute basic and diluted net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loss per common share</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34,646,670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32,576,350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34,587,216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31,466,512</w:t>
            </w:r>
          </w:p>
        </w:tc>
        <w:tc>
          <w:tcPr>
            <w:tcW w:w="80" w:type="dxa"/>
            <w:vAlign w:val="bottom"/>
          </w:tcPr>
          <w:p>
            <w:pPr>
              <w:spacing w:after="0"/>
              <w:rPr>
                <w:sz w:val="20"/>
                <w:szCs w:val="20"/>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9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(2,788,637)</w:t>
            </w:r>
          </w:p>
        </w:tc>
        <w:tc>
          <w:tcPr>
            <w:tcW w:w="5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3"/>
              </w:rPr>
              <w:t>(3,199,321)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(5,805,161)</w:t>
            </w: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(6,580,918)</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9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15,209</w:t>
            </w:r>
          </w:p>
        </w:tc>
        <w:tc>
          <w:tcPr>
            <w:tcW w:w="80" w:type="dxa"/>
            <w:vAlign w:val="bottom"/>
            <w:shd w:val="clear" w:color="auto" w:fill="CFF0FC"/>
          </w:tcPr>
          <w:p>
            <w:pPr>
              <w:spacing w:after="0"/>
              <w:rPr>
                <w:sz w:val="19"/>
                <w:szCs w:val="19"/>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Comprehensive loss</w:t>
            </w:r>
          </w:p>
        </w:tc>
        <w:tc>
          <w:tcPr>
            <w:tcW w:w="6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(2,789,138)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(3,193,819)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(5,803,946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(6,565,709</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040"/>
          </w:cols>
          <w:pgMar w:left="940" w:top="337" w:right="9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10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4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(5,805,161)</w:t>
            </w:r>
          </w:p>
        </w:tc>
        <w:tc>
          <w:tcPr>
            <w:tcW w:w="5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5"/>
              </w:rPr>
              <w:t>(6,580,918)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Adjustments to reconcile net loss to net cash used in operating</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480"/>
              <w:spacing w:after="0"/>
              <w:rPr>
                <w:sz w:val="20"/>
                <w:szCs w:val="20"/>
                <w:color w:val="auto"/>
              </w:rPr>
            </w:pPr>
            <w:r>
              <w:rPr>
                <w:rFonts w:ascii="Arial" w:cs="Arial" w:eastAsia="Arial" w:hAnsi="Arial"/>
                <w:sz w:val="18"/>
                <w:szCs w:val="18"/>
                <w:color w:val="auto"/>
              </w:rPr>
              <w:t>activities: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Non-cash stock-based compensation</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1,928,039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2,768,824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Change in equity method investment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ind w:left="720"/>
              <w:spacing w:after="0"/>
              <w:rPr>
                <w:sz w:val="20"/>
                <w:szCs w:val="20"/>
                <w:color w:val="auto"/>
              </w:rPr>
            </w:pPr>
            <w:r>
              <w:rPr>
                <w:rFonts w:ascii="Arial" w:cs="Arial" w:eastAsia="Arial" w:hAnsi="Arial"/>
                <w:sz w:val="18"/>
                <w:szCs w:val="18"/>
                <w:color w:val="auto"/>
              </w:rPr>
              <w:t>Changes in assets and liabilities: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FF0FC"/>
          </w:tcPr>
          <w:p>
            <w:pPr>
              <w:ind w:left="110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ind w:left="110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(214,784)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(173,959)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(3,958,519)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(3,905,090)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Acquisition of property and equipment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(33,134)</w:t>
            </w: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10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Proceeds from issuance of common stock, exercise of common</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stock options and warrants, net of issuance costs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2,665,225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8,366,716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Proceeds from issuance of equity awards under ESPP</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2,730,250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8,416,639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(1,227,990)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4,488,674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24,118,037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22,076,749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80" w:type="dxa"/>
            <w:vAlign w:val="bottom"/>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22,890,047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26,565,423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Supplemental disclosures of cash flow information:</w:t>
            </w:r>
          </w:p>
        </w:tc>
        <w:tc>
          <w:tcPr>
            <w:tcW w:w="10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Income taxes paid</w:t>
            </w:r>
          </w:p>
        </w:tc>
        <w:tc>
          <w:tcPr>
            <w:tcW w:w="1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5,080</w:t>
            </w:r>
          </w:p>
        </w:tc>
        <w:tc>
          <w:tcPr>
            <w:tcW w:w="120" w:type="dxa"/>
            <w:vAlign w:val="bottom"/>
          </w:tcPr>
          <w:p>
            <w:pPr>
              <w:spacing w:after="0"/>
              <w:rPr>
                <w:sz w:val="20"/>
                <w:szCs w:val="20"/>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80"/>
          </w:cols>
          <w:pgMar w:left="560" w:top="337" w:right="559" w:bottom="1440" w:gutter="0" w:footer="0" w:header="0"/>
        </w:sectPr>
      </w:pPr>
    </w:p>
    <w:bookmarkStart w:id="6" w:name="page7"/>
    <w:bookmarkEnd w:id="6"/>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MediciNova, Inc. (the “Company” or “MediciNova”) was incorporated in the state of Delaware in September 2000 and is a public company. The Company’s common stock is listed in both the U.S. and Japan and trades on The NASDAQ Global Market and the JASDAQ Market of the Tokyo Stock Exchange. MediciNova is a biopharmaceutical company focused on acquiring and developing novel, small molecule therapeutics for the treatment of serious diseases with unmet medical needs with a commercial focus on the U.S. market. The Company’s current strategy is to focus its development activities on MN-166 (ibudilast) for neurological disorders such as progressive multiple sclerosis (MS), amyotrophic lateral sclerosis (ALS) and substance dependence (e.g.,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exacerbations of asthma and MN-029 (denibulin) for solid tumor cancers.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of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financial statements should be read in conjunction with the audited consolidated financial statements and notes thereto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included in the Company’s Annual Report on Form 10-K filed with the SEC. The results of operations for the interim period shown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report are not necessarily indicative of the results that may be expected for any other interim period or for the full year. The balance sheet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has been derived from the audited financial statements at that date, but does not include all of the information and footnotes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for complete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$0.8 million and $0.9 million for the three months ended June 30, 2017 and 2016, respectively. Research and development costs totaled $1.7 million and $1.8 million for the six months ended June 30, 2017 and 2016, respectively.</w:t>
      </w:r>
    </w:p>
    <w:p>
      <w:pPr>
        <w:spacing w:after="0" w:line="18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for both the three months ended June 30, 2017 and 2016 and $0.1 million and $0.2 million for the six months ended June 30, 2017 and 2016,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May 2014, the Financial Accounting Standards Board (“FASB”) amended the existing accounting standards for revenue recognition. The amendments are based on the principle that revenue should be recognized to depict the transfer of promised goods or services to customers in an amount that reflects the consideration to which the entity expects to be entitled in exchange for said goods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7" w:name="page8"/>
    <w:bookmarkEnd w:id="7"/>
    <w:p>
      <w:pPr>
        <w:ind w:right="320"/>
        <w:spacing w:after="0" w:line="286" w:lineRule="auto"/>
        <w:rPr>
          <w:sz w:val="20"/>
          <w:szCs w:val="20"/>
          <w:color w:val="auto"/>
        </w:rPr>
      </w:pPr>
      <w:r>
        <w:rPr>
          <w:rFonts w:ascii="Arial" w:cs="Arial" w:eastAsia="Arial" w:hAnsi="Arial"/>
          <w:sz w:val="17"/>
          <w:szCs w:val="17"/>
          <w:color w:val="auto"/>
        </w:rPr>
        <w:t>or services. The Company is required to adopt the amendments beginning January 1, 2018. Early adoption is permitted as of January 1, 2017. The amendments may be applied retrospectively to each prior period presented or retrospectively with the cumulative effect recognized as of the date of initial application. The adoption of this statement is not expected to have a material impact on the Company’s consolidated financial statements.</w:t>
      </w:r>
    </w:p>
    <w:p>
      <w:pPr>
        <w:spacing w:after="0" w:line="5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 xml:space="preserve">In February 2016, the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which introduces the recognition of lease assets and lease liabilities by lessees for those leases classified as operating leases under previous guidance. The new standard establishes a right-of-use ("ROU") model that requires a lessee to record an ROU asset and a lease liability on the balance sheet for all leases with terms longer than 12 months. The new standard is effective for fiscal years beginning after December 15, 2018 and interim periods within those fiscal years with early adoption permitted. We are evaluating the impact that the adoption of this standard will have on our financial statements.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Revenues consist of milestone payments and research and development services. Milestone payments are recognized as revenue upon achievement of pre-defined scientific events, which require substantive effort, and for which achievement of the milestone was not readily assured at the inception of the agreement. Milestones that do not meet the criteria for accounting under the milestone method because the payments are solely contingent upon the performance of a third party are accounted for as contingent revenue. Research and development services are recognized as research costs are incurred over the period the services are performed. For all other revenue the Company recognizes revenues when all four of the following criteria are met: (1) persuasive evidence that an arrangement exists; (2) delivery of the products and/or services has occurred; (3) the selling price is fixed or determinable; and (4) collectability is reasonably assured.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October 2011, the Company entered into an agreement with Kissei Pharmaceutical Co., Ltd., or Kissei, to perform research and development services relating to MN-221 in exchange for a non-refundable upfront payment of $2.5 million. Under the terms of the agreement, the Company is responsible for all costs to be incurred in the performance of these services. Certain of these research and development services were completed in 2013 and 2012, and the remaining services are expected to be delivered and completed at a future date. The Company assessed the deliverables in accordance with the authoritative guidance and concluded the existence of one deliverable, research and development services. As such, revenue is being recognized as the research and development services are performed. The amount received from Kissei, net of the amount recorded as revenue, is included on the balance sheet as long-term deferred revenue and will be recognized as revenue as the remaining services are performed. No services were performed and no revenue was recorded for the three and six months ended June 30, 2017 and 2016.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40" w:right="100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Cash and cash equivalents, including money market accounts of $663,202 and $661,287 measured at fair value as of June 30, 2017 and December 31, 2016, respectively, are classified within Level 1 of the fair value hierarchy.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Joint Venture</w:t>
      </w:r>
    </w:p>
    <w:p>
      <w:pPr>
        <w:spacing w:after="0" w:line="12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Company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ind w:right="40"/>
        <w:spacing w:after="0" w:line="271" w:lineRule="auto"/>
        <w:rPr>
          <w:sz w:val="20"/>
          <w:szCs w:val="20"/>
          <w:color w:val="auto"/>
        </w:rPr>
      </w:pPr>
      <w:r>
        <w:rPr>
          <w:rFonts w:ascii="Arial" w:cs="Arial" w:eastAsia="Arial" w:hAnsi="Arial"/>
          <w:sz w:val="17"/>
          <w:szCs w:val="17"/>
          <w:color w:val="auto"/>
        </w:rPr>
        <w:t>to develop and commercialize MN-221 in China and pursue additional compounds to develop. A sublicense agreement would be required under which Zhejiang Sunmy would license MN-221 from the Company and, as of the date of this filing, no such sublicense agreement has been entered into. In accordance with the joint venture agreement, in March 2012 the Company paid $680,000 for a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and for Beijing Medfron Medical Technologies Co., Ltd. and MediciNova to each have a 50% interest in Zhejiang Sunmy. No additional capital was contributed by either remaining party and the Company has no future funding obligations.</w:t>
      </w:r>
    </w:p>
    <w:p>
      <w:pPr>
        <w:spacing w:after="0" w:line="179"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Zhejiang Sunmy is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 At June 30, 2017 and December 31, 2016, the investment is reflected as a long-term asset on the Company’s consolidated balance sheet which represents the investment and maximum loss exposure in Zhejiang Sunmy, net of the Company’s portion of any generated loss or income. On July 24, 2017, the Company and Beijing Medfron Medical Technologies Co., Ltd. agreed to dissolve Zhejiang Sunmy, subject to approval by applicable Chinese regulatory authorities.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2,500,000 shares of common stock were initially reserved for issuance under the 2013 Plan. On June 8, 2017, at the 2017 annual meeting of stockholders, the Company’s stockholders approved an amendment to the 2013 Plan to increase the number of shares of common stock reserved for issuance under the plan by 1,200,000 shares.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June 30, 2017, 1,248,192 shares remain available for future grant under the 2013 Plan.</w:t>
      </w:r>
    </w:p>
    <w:p>
      <w:pPr>
        <w:spacing w:after="0" w:line="183"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occasionally issue employee performance-based stock options, the vesting of which is based on a determination made by our board of directors as to the achievement of certain corporate objectives at the end of the performance period. The grant date of such awards is the date on which our board of directors makes its determination. For periods preceding the grant date, the expense related to these awards is measured based on their fair value at each reporting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Options granted under the 2013 Plan and the 2004 Plan have terms of ten years from the date of grant and generally vest over a three or four year period. The exercise price of all options granted through June 30, 2017 and in 2016 was equal to the market value of the Company’s common stock on the date of grant.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June 30,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Option 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3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4,432,017</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3.47</w:t>
            </w:r>
          </w:p>
        </w:tc>
        <w:tc>
          <w:tcPr>
            <w:tcW w:w="140" w:type="dxa"/>
            <w:vAlign w:val="bottom"/>
            <w:tcBorders>
              <w:top w:val="single" w:sz="8" w:color="CFF0FC"/>
            </w:tcBorders>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Granted</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1,160,000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6.08</w:t>
            </w:r>
          </w:p>
        </w:tc>
        <w:tc>
          <w:tcPr>
            <w:tcW w:w="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Cancelled</w:t>
            </w:r>
          </w:p>
        </w:tc>
        <w:tc>
          <w:tcPr>
            <w:tcW w:w="2440" w:type="dxa"/>
            <w:vAlign w:val="bottom"/>
            <w:gridSpan w:val="3"/>
          </w:tcPr>
          <w:p>
            <w:pPr>
              <w:jc w:val="right"/>
              <w:ind w:right="40"/>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7.96</w:t>
            </w:r>
          </w:p>
        </w:tc>
        <w:tc>
          <w:tcPr>
            <w:tcW w:w="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2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2017</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5,587,017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4.01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2240"/>
              <w:spacing w:after="0"/>
              <w:rPr>
                <w:sz w:val="20"/>
                <w:szCs w:val="20"/>
                <w:color w:val="auto"/>
              </w:rPr>
            </w:pPr>
            <w:r>
              <w:rPr>
                <w:rFonts w:ascii="Arial" w:cs="Arial" w:eastAsia="Arial" w:hAnsi="Arial"/>
                <w:sz w:val="18"/>
                <w:szCs w:val="18"/>
                <w:color w:val="auto"/>
              </w:rPr>
              <w:t>Exercisable at June 30, 2017</w:t>
            </w:r>
          </w:p>
        </w:tc>
        <w:tc>
          <w:tcPr>
            <w:tcW w:w="2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4,233,843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3.46</w:t>
            </w: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00" w:type="dxa"/>
            <w:vAlign w:val="bottom"/>
            <w:vMerge w:val="restart"/>
          </w:tcPr>
          <w:p>
            <w:pPr>
              <w:jc w:val="right"/>
              <w:ind w:right="650"/>
              <w:spacing w:after="0"/>
              <w:rPr>
                <w:sz w:val="20"/>
                <w:szCs w:val="20"/>
                <w:color w:val="auto"/>
              </w:rPr>
            </w:pPr>
            <w:r>
              <w:rPr>
                <w:rFonts w:ascii="Arial" w:cs="Arial" w:eastAsia="Arial" w:hAnsi="Arial"/>
                <w:sz w:val="18"/>
                <w:szCs w:val="18"/>
                <w:color w:val="auto"/>
              </w:rPr>
              <w:t>9</w:t>
            </w: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2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9" w:name="page10"/>
    <w:bookmarkEnd w:id="9"/>
    <w:p>
      <w:pPr>
        <w:ind w:right="560" w:firstLine="518"/>
        <w:spacing w:after="0" w:line="277" w:lineRule="auto"/>
        <w:rPr>
          <w:sz w:val="20"/>
          <w:szCs w:val="20"/>
          <w:color w:val="auto"/>
        </w:rPr>
      </w:pPr>
      <w:r>
        <w:rPr>
          <w:rFonts w:ascii="Arial" w:cs="Arial" w:eastAsia="Arial" w:hAnsi="Arial"/>
          <w:sz w:val="18"/>
          <w:szCs w:val="18"/>
          <w:color w:val="auto"/>
        </w:rPr>
        <w:t>No options were exercised during the six months ended June 30, 2017. During the six months ended June 30, 2016, there were 159,285 options exercised, from which gross proceeds of $787,885 were received.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Under the Company’s 2007 Employee Stock Purchase Plan, or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7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For the six months ended June 30, 2017, an aggregate of 12,775 shares were issued under the ESPP. As of June 30, 2017, there are 186,350 shares available for future issuance under the ESPP.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Stock-based compensation expense for stock option awards and ESPP shares are reflected in total operating expenses for each respective year. For the three months ended June 30, 2017 and 2016, stock-based compensation expense related to stock options and the ESPP was $0.7 million and $1.3 million, respectively. For the six months ended June 30, 2017 and 2016, stock-based compensation expense related to stock options and the ESPP was $1.9 million and $2.8 million, respectively.</w:t>
      </w:r>
    </w:p>
    <w:p>
      <w:pPr>
        <w:spacing w:after="0" w:line="187"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The Company uses the Black-Scholes valuation model for determining the estimated fair value for stock-based awards granted to employees. The following table provides the assumptions used in the Black-Scholes valuation model used to estimate the fair value of options granted during the six months ended June 30, 2017 and 2016 and to estimate the fair value of performance-based stock options as of June 30, 2017.</w:t>
      </w:r>
    </w:p>
    <w:p>
      <w:pPr>
        <w:sectPr>
          <w:pgSz w:w="11900" w:h="16838" w:orient="portrait"/>
          <w:cols w:equalWidth="0" w:num="1">
            <w:col w:w="11400"/>
          </w:cols>
          <w:pgMar w:left="240" w:top="382" w:right="259" w:bottom="1440" w:gutter="0" w:footer="0" w:header="0"/>
        </w:sectPr>
      </w:pPr>
    </w:p>
    <w:p>
      <w:pPr>
        <w:spacing w:after="0" w:line="252" w:lineRule="exact"/>
        <w:rPr>
          <w:sz w:val="20"/>
          <w:szCs w:val="20"/>
          <w:color w:val="auto"/>
        </w:rPr>
      </w:pPr>
    </w:p>
    <w:p>
      <w:pPr>
        <w:jc w:val="center"/>
        <w:ind w:left="6040"/>
        <w:spacing w:after="0"/>
        <w:rPr>
          <w:sz w:val="20"/>
          <w:szCs w:val="20"/>
          <w:color w:val="auto"/>
        </w:rPr>
      </w:pPr>
      <w:r>
        <w:rPr>
          <w:rFonts w:ascii="Arial" w:cs="Arial" w:eastAsia="Arial" w:hAnsi="Arial"/>
          <w:sz w:val="12"/>
          <w:szCs w:val="12"/>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20955</wp:posOffset>
            </wp:positionV>
            <wp:extent cx="1243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June 30, 2017</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1500"/>
        <w:spacing w:after="0"/>
        <w:rPr>
          <w:sz w:val="20"/>
          <w:szCs w:val="20"/>
          <w:color w:val="auto"/>
        </w:rPr>
      </w:pPr>
      <w:r>
        <w:rPr>
          <w:rFonts w:ascii="Arial" w:cs="Arial" w:eastAsia="Arial" w:hAnsi="Arial"/>
          <w:sz w:val="12"/>
          <w:szCs w:val="12"/>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20955</wp:posOffset>
            </wp:positionV>
            <wp:extent cx="12179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28" w:lineRule="exact"/>
        <w:rPr>
          <w:sz w:val="20"/>
          <w:szCs w:val="20"/>
          <w:color w:val="auto"/>
        </w:rPr>
      </w:pPr>
    </w:p>
    <w:p>
      <w:pPr>
        <w:jc w:val="center"/>
        <w:ind w:right="1500"/>
        <w:spacing w:after="0"/>
        <w:rPr>
          <w:sz w:val="20"/>
          <w:szCs w:val="20"/>
          <w:color w:val="auto"/>
        </w:rPr>
      </w:pPr>
      <w:r>
        <w:rPr>
          <w:rFonts w:ascii="Arial" w:cs="Arial" w:eastAsia="Arial" w:hAnsi="Arial"/>
          <w:sz w:val="14"/>
          <w:szCs w:val="14"/>
          <w:b w:val="1"/>
          <w:bCs w:val="1"/>
          <w:color w:val="auto"/>
        </w:rPr>
        <w:t>June 30, 2016</w:t>
      </w:r>
    </w:p>
    <w:p>
      <w:pPr>
        <w:spacing w:after="0" w:line="1" w:lineRule="exact"/>
        <w:rPr>
          <w:sz w:val="20"/>
          <w:szCs w:val="20"/>
          <w:color w:val="auto"/>
        </w:rPr>
      </w:pPr>
    </w:p>
    <w:p>
      <w:pPr>
        <w:sectPr>
          <w:pgSz w:w="11900" w:h="16838" w:orient="portrait"/>
          <w:cols w:equalWidth="0" w:num="2">
            <w:col w:w="8080" w:space="720"/>
            <w:col w:w="2600"/>
          </w:cols>
          <w:pgMar w:left="240" w:top="382" w:right="259" w:bottom="1440" w:gutter="0" w:footer="0" w:header="0"/>
          <w:type w:val="continuous"/>
        </w:sectPr>
      </w:pPr>
    </w:p>
    <w:tbl>
      <w:tblPr>
        <w:tblLayout w:type="fixed"/>
        <w:tblInd w:w="9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19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960" w:type="dxa"/>
            <w:vAlign w:val="bottom"/>
          </w:tcPr>
          <w:p>
            <w:pPr>
              <w:jc w:val="center"/>
              <w:ind w:right="70"/>
              <w:spacing w:after="0"/>
              <w:rPr>
                <w:sz w:val="20"/>
                <w:szCs w:val="20"/>
                <w:color w:val="auto"/>
              </w:rPr>
            </w:pPr>
            <w:r>
              <w:rPr>
                <w:rFonts w:ascii="Arial" w:cs="Arial" w:eastAsia="Arial" w:hAnsi="Arial"/>
                <w:sz w:val="18"/>
                <w:szCs w:val="18"/>
                <w:color w:val="auto"/>
                <w:w w:val="90"/>
              </w:rPr>
              <w:t>1.75 - 1.89%</w:t>
            </w:r>
          </w:p>
        </w:tc>
        <w:tc>
          <w:tcPr>
            <w:tcW w:w="28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1.22% - 1.61%</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196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91"/>
              </w:rPr>
              <w:t>66.33 - 70.93%</w:t>
            </w:r>
          </w:p>
        </w:tc>
        <w:tc>
          <w:tcPr>
            <w:tcW w:w="280" w:type="dxa"/>
            <w:vAlign w:val="bottom"/>
            <w:shd w:val="clear" w:color="auto" w:fill="CFF0FC"/>
          </w:tcPr>
          <w:p>
            <w:pPr>
              <w:spacing w:after="0"/>
              <w:rPr>
                <w:sz w:val="19"/>
                <w:szCs w:val="19"/>
                <w:color w:val="auto"/>
              </w:rPr>
            </w:pPr>
          </w:p>
        </w:tc>
        <w:tc>
          <w:tcPr>
            <w:tcW w:w="1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77.20 - 78.46%</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Dividend yield</w:t>
            </w: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96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90"/>
              </w:rPr>
              <w:t>5.1 - 5.3</w:t>
            </w:r>
          </w:p>
        </w:tc>
        <w:tc>
          <w:tcPr>
            <w:tcW w:w="280" w:type="dxa"/>
            <w:vAlign w:val="bottom"/>
            <w:shd w:val="clear" w:color="auto" w:fill="CFF0FC"/>
          </w:tcPr>
          <w:p>
            <w:pPr>
              <w:spacing w:after="0"/>
              <w:rPr>
                <w:sz w:val="19"/>
                <w:szCs w:val="19"/>
                <w:color w:val="auto"/>
              </w:rPr>
            </w:pPr>
          </w:p>
        </w:tc>
        <w:tc>
          <w:tcPr>
            <w:tcW w:w="1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5.3 - 5.7</w:t>
            </w:r>
          </w:p>
        </w:tc>
        <w:tc>
          <w:tcPr>
            <w:tcW w:w="120" w:type="dxa"/>
            <w:vAlign w:val="bottom"/>
            <w:shd w:val="clear" w:color="auto" w:fill="CFF0FC"/>
          </w:tcPr>
          <w:p>
            <w:pPr>
              <w:spacing w:after="0"/>
              <w:rPr>
                <w:sz w:val="19"/>
                <w:szCs w:val="19"/>
                <w:color w:val="auto"/>
              </w:rPr>
            </w:pPr>
          </w:p>
        </w:tc>
      </w:tr>
      <w:tr>
        <w:trPr>
          <w:trHeight w:val="243"/>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ESPP assumptions:</w:t>
            </w: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0.92%</w:t>
            </w:r>
          </w:p>
        </w:tc>
        <w:tc>
          <w:tcPr>
            <w:tcW w:w="280" w:type="dxa"/>
            <w:vAlign w:val="bottom"/>
            <w:shd w:val="clear" w:color="auto" w:fill="CFF0FC"/>
          </w:tcPr>
          <w:p>
            <w:pPr>
              <w:spacing w:after="0"/>
              <w:rPr>
                <w:sz w:val="19"/>
                <w:szCs w:val="19"/>
                <w:color w:val="auto"/>
              </w:rPr>
            </w:pPr>
          </w:p>
        </w:tc>
        <w:tc>
          <w:tcPr>
            <w:tcW w:w="192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0"/>
              </w:rPr>
              <w:t>0.40%</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34.9%</w:t>
            </w:r>
          </w:p>
        </w:tc>
        <w:tc>
          <w:tcPr>
            <w:tcW w:w="280" w:type="dxa"/>
            <w:vAlign w:val="bottom"/>
          </w:tcPr>
          <w:p>
            <w:pPr>
              <w:spacing w:after="0"/>
              <w:rPr>
                <w:sz w:val="19"/>
                <w:szCs w:val="19"/>
                <w:color w:val="auto"/>
              </w:rPr>
            </w:pPr>
          </w:p>
        </w:tc>
        <w:tc>
          <w:tcPr>
            <w:tcW w:w="1920" w:type="dxa"/>
            <w:vAlign w:val="bottom"/>
          </w:tcPr>
          <w:p>
            <w:pPr>
              <w:jc w:val="center"/>
              <w:ind w:left="10"/>
              <w:spacing w:after="0"/>
              <w:rPr>
                <w:sz w:val="20"/>
                <w:szCs w:val="20"/>
                <w:color w:val="auto"/>
              </w:rPr>
            </w:pPr>
            <w:r>
              <w:rPr>
                <w:rFonts w:ascii="Arial" w:cs="Arial" w:eastAsia="Arial" w:hAnsi="Arial"/>
                <w:sz w:val="18"/>
                <w:szCs w:val="18"/>
                <w:color w:val="auto"/>
                <w:w w:val="90"/>
              </w:rPr>
              <w:t>52.7%</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0.0%</w:t>
            </w:r>
          </w:p>
        </w:tc>
        <w:tc>
          <w:tcPr>
            <w:tcW w:w="280" w:type="dxa"/>
            <w:vAlign w:val="bottom"/>
            <w:shd w:val="clear" w:color="auto" w:fill="CFF0FC"/>
          </w:tcPr>
          <w:p>
            <w:pPr>
              <w:spacing w:after="0"/>
              <w:rPr>
                <w:sz w:val="19"/>
                <w:szCs w:val="19"/>
                <w:color w:val="auto"/>
              </w:rPr>
            </w:pPr>
          </w:p>
        </w:tc>
        <w:tc>
          <w:tcPr>
            <w:tcW w:w="192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960" w:type="dxa"/>
            <w:vAlign w:val="bottom"/>
          </w:tcPr>
          <w:p>
            <w:pPr>
              <w:jc w:val="center"/>
              <w:spacing w:after="0"/>
              <w:rPr>
                <w:sz w:val="20"/>
                <w:szCs w:val="20"/>
                <w:color w:val="auto"/>
              </w:rPr>
            </w:pPr>
            <w:r>
              <w:rPr>
                <w:rFonts w:ascii="Arial" w:cs="Arial" w:eastAsia="Arial" w:hAnsi="Arial"/>
                <w:sz w:val="18"/>
                <w:szCs w:val="18"/>
                <w:color w:val="auto"/>
                <w:w w:val="95"/>
              </w:rPr>
              <w:t>0.5</w:t>
            </w:r>
          </w:p>
        </w:tc>
        <w:tc>
          <w:tcPr>
            <w:tcW w:w="280" w:type="dxa"/>
            <w:vAlign w:val="bottom"/>
          </w:tcPr>
          <w:p>
            <w:pPr>
              <w:spacing w:after="0"/>
              <w:rPr>
                <w:sz w:val="20"/>
                <w:szCs w:val="20"/>
                <w:color w:val="auto"/>
              </w:rPr>
            </w:pPr>
          </w:p>
        </w:tc>
        <w:tc>
          <w:tcPr>
            <w:tcW w:w="1920" w:type="dxa"/>
            <w:vAlign w:val="bottom"/>
          </w:tcPr>
          <w:p>
            <w:pPr>
              <w:jc w:val="center"/>
              <w:ind w:left="10"/>
              <w:spacing w:after="0"/>
              <w:rPr>
                <w:sz w:val="20"/>
                <w:szCs w:val="20"/>
                <w:color w:val="auto"/>
              </w:rPr>
            </w:pPr>
            <w:r>
              <w:rPr>
                <w:rFonts w:ascii="Arial" w:cs="Arial" w:eastAsia="Arial" w:hAnsi="Arial"/>
                <w:sz w:val="18"/>
                <w:szCs w:val="18"/>
                <w:color w:val="auto"/>
                <w:w w:val="87"/>
              </w:rPr>
              <w:t>0.5</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As of June 30, 2017, there was $1.9 million of unamortized compensation cost related to unvested stock option awards which is expected to be recognized over a remaining weighted-average vesting period of 0.28 years, on a straight-line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On May 22, 2015, the Company entered into an at-the-market issuance sales agreement with MLV &amp; Co. LLC, or MLV, pursuant to which the Company may sell common stock through MLV from time to time up to an aggregate offering price of $30.0 million. Sales of the Company’s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the Company’s prior approval. The Company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type w:val="continuous"/>
        </w:sectPr>
      </w:pPr>
    </w:p>
    <w:bookmarkStart w:id="10" w:name="page11"/>
    <w:bookmarkEnd w:id="10"/>
    <w:p>
      <w:pPr>
        <w:ind w:left="520"/>
        <w:spacing w:after="0"/>
        <w:rPr>
          <w:sz w:val="20"/>
          <w:szCs w:val="20"/>
          <w:color w:val="auto"/>
        </w:rPr>
      </w:pPr>
      <w:r>
        <w:rPr>
          <w:rFonts w:ascii="Arial" w:cs="Arial" w:eastAsia="Arial" w:hAnsi="Arial"/>
          <w:sz w:val="16"/>
          <w:szCs w:val="16"/>
          <w:color w:val="auto"/>
        </w:rPr>
        <w:t>On September 16, 2016, the Company entered into an amendment No.1 to the original sales agreement with MLV to also include FBR Capital Markets</w:t>
      </w:r>
    </w:p>
    <w:p>
      <w:pPr>
        <w:spacing w:after="0" w:line="46" w:lineRule="exact"/>
        <w:rPr>
          <w:sz w:val="20"/>
          <w:szCs w:val="20"/>
          <w:color w:val="auto"/>
        </w:rPr>
      </w:pPr>
    </w:p>
    <w:p>
      <w:pPr>
        <w:ind w:firstLine="8"/>
        <w:spacing w:after="0" w:line="261" w:lineRule="auto"/>
        <w:tabs>
          <w:tab w:leader="none" w:pos="18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 as a sales agent. The Company is not obligated to make any sales of common stock under the sales agreement and may terminate the sales agreement at any time upon written notice.</w:t>
      </w:r>
    </w:p>
    <w:p>
      <w:pPr>
        <w:spacing w:after="0" w:line="184"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For the six months ended June 30, 2017, the Company generated gross proceeds of $2.8 million and incurred issuance costs of $0.1 million under this agreement on sales of 482,187 shares of the Company’s common stock at a weighted average of $5.78 per share. No shares of common stock were sold under this agreement in the three and six months ended June 30,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No warrants were exercised during the six months ended June 30, 2017. During the six months ended June 30, 2016, warrants to purchase 2,131,700 shares of the Company’s common stock were exercised for gross proceeds of $7.6 million. On May 10, 2017, warrants to purchase 198,020 shares expired unexercised.</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2017, the Company had the following warrants outstanding:</w:t>
      </w:r>
    </w:p>
    <w:p>
      <w:pPr>
        <w:spacing w:after="0" w:line="117" w:lineRule="exact"/>
        <w:rPr>
          <w:sz w:val="20"/>
          <w:szCs w:val="20"/>
          <w:color w:val="auto"/>
        </w:rPr>
      </w:pPr>
    </w:p>
    <w:p>
      <w:pPr>
        <w:ind w:left="980" w:hanging="459"/>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750,000 common stock warrants at an exercise price of $3.15 per share, which expire on May 9, 2018;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119,047 common stock warrants at an exercise price of $3.38 per share, which expire on May 9, 2018.</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if their effect is anti-dilutive.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potentially dilutive outstanding securities were excluded from diluted net loss per common share because of their anti-dilutive effect:</w:t>
      </w:r>
    </w:p>
    <w:p>
      <w:pPr>
        <w:spacing w:after="0" w:line="321" w:lineRule="exact"/>
        <w:rPr>
          <w:sz w:val="20"/>
          <w:szCs w:val="20"/>
          <w:color w:val="auto"/>
        </w:rPr>
      </w:pPr>
    </w:p>
    <w:tbl>
      <w:tblPr>
        <w:tblLayout w:type="fixed"/>
        <w:tblInd w:w="22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4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5,587,017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89"/>
              </w:rPr>
              <w:t>5,071,884</w:t>
            </w:r>
          </w:p>
        </w:tc>
        <w:tc>
          <w:tcPr>
            <w:tcW w:w="100" w:type="dxa"/>
            <w:vAlign w:val="bottom"/>
            <w:shd w:val="clear" w:color="auto" w:fill="CFF0FC"/>
          </w:tcPr>
          <w:p>
            <w:pPr>
              <w:spacing w:after="0"/>
              <w:rPr>
                <w:sz w:val="19"/>
                <w:szCs w:val="19"/>
                <w:color w:val="auto"/>
              </w:rPr>
            </w:pPr>
          </w:p>
        </w:tc>
      </w:tr>
      <w:tr>
        <w:trPr>
          <w:trHeight w:val="230"/>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Warrants</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869,047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89"/>
              </w:rPr>
              <w:t>1,067,067</w:t>
            </w:r>
          </w:p>
        </w:tc>
        <w:tc>
          <w:tcPr>
            <w:tcW w:w="100" w:type="dxa"/>
            <w:vAlign w:val="bottom"/>
            <w:tcBorders>
              <w:bottom w:val="single" w:sz="8" w:color="CFF0FC"/>
            </w:tcBorders>
          </w:tcPr>
          <w:p>
            <w:pPr>
              <w:spacing w:after="0"/>
              <w:rPr>
                <w:sz w:val="19"/>
                <w:szCs w:val="19"/>
                <w:color w:val="auto"/>
              </w:rPr>
            </w:pPr>
          </w:p>
        </w:tc>
      </w:tr>
      <w:tr>
        <w:trPr>
          <w:trHeight w:val="223"/>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6,456,064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89"/>
              </w:rPr>
              <w:t>6,138,951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On October 13, 2011, the Company entered into a services agreement with Kissei to perform two separate studies relating to MN-221 in exchange for $2.5 million paid to the Company in October 2011. The Company is responsible for all costs to be incurred in the performance of these studies. The amount received from Kissei, net of the amount recorded as revenue through June 30, 2017, is included on the balance sheet at June 30, 2017 as long-term deferred revenue and will be recognized as revenue in future periods upon the Company’s performance of the remaining services. No services were performed and no revenues related to this services agreements were recognized during the three and six months ended June 30,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Preferred Stock</w:t>
      </w:r>
    </w:p>
    <w:p>
      <w:pPr>
        <w:spacing w:after="0" w:line="229" w:lineRule="exact"/>
        <w:rPr>
          <w:sz w:val="20"/>
          <w:szCs w:val="20"/>
          <w:color w:val="auto"/>
        </w:rPr>
      </w:pPr>
    </w:p>
    <w:p>
      <w:pPr>
        <w:ind w:right="340" w:firstLine="450"/>
        <w:spacing w:after="0" w:line="264" w:lineRule="auto"/>
        <w:rPr>
          <w:sz w:val="20"/>
          <w:szCs w:val="20"/>
          <w:color w:val="auto"/>
        </w:rPr>
      </w:pPr>
      <w:r>
        <w:rPr>
          <w:rFonts w:ascii="Arial" w:cs="Arial" w:eastAsia="Arial" w:hAnsi="Arial"/>
          <w:sz w:val="18"/>
          <w:szCs w:val="18"/>
          <w:color w:val="auto"/>
        </w:rPr>
        <w:t>On September 26, 2011, the Company issued and sold to Kissei 220,000 shares of Series B Convertible Preferred Stock. Each share of the Series B Preferred stock was convertible into shares of common stock at a conversion rate of 1:10 at the option of the holder. On June 15, 2016, Kissei elected to convert all 220,000 preferred shares into 2,200,000 shares of common stock.</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 w:name="page12"/>
    <w:bookmarkEnd w:id="11"/>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2016 included in our Annual Report on Form 10-K filed with the Securities and Exchange Commission, or SEC, on February 14, 2017. Past operating results are not necessarily indicative of results that may occur in future periods.</w:t>
      </w:r>
    </w:p>
    <w:p>
      <w:pPr>
        <w:spacing w:after="0" w:line="17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We are a biopharmaceutical company focused on acquiring and developing novel, small molecule therapeutics for the treatment of serious diseases with unmet medical needs and a commercial focus on the U.S. market. Our current strategy is to focus our development activities on MN-166 (ibudilast) for neurological disorders such as progressive multiple sclerosis (MS), amyotrophic lateral sclerosis (ALS) and substance dependence and addiction (e.g., methamphetamine dependence, opioid dependence, and alcohol dependence), and MN-001 (tipelukast) for fibrotic diseases such as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178"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We have incurred significant net losses since our inception. As of June 30, 2017, we had an accumulated deficit of $336.1 million and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4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62" w:lineRule="exact"/>
        <w:rPr>
          <w:sz w:val="20"/>
          <w:szCs w:val="20"/>
          <w:color w:val="auto"/>
        </w:rPr>
      </w:pPr>
    </w:p>
    <w:p>
      <w:pPr>
        <w:ind w:left="1040" w:hanging="519"/>
        <w:spacing w:after="0"/>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225" w:lineRule="exact"/>
        <w:rPr>
          <w:rFonts w:ascii="Arial" w:cs="Arial" w:eastAsia="Arial" w:hAnsi="Arial"/>
          <w:sz w:val="18"/>
          <w:szCs w:val="18"/>
          <w:color w:val="auto"/>
        </w:rPr>
      </w:pPr>
    </w:p>
    <w:p>
      <w:pPr>
        <w:ind w:left="1040" w:right="60"/>
        <w:spacing w:after="0" w:line="255" w:lineRule="auto"/>
        <w:rPr>
          <w:rFonts w:ascii="Arial" w:cs="Arial" w:eastAsia="Arial" w:hAnsi="Arial"/>
          <w:sz w:val="18"/>
          <w:szCs w:val="18"/>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are funding portions of the consortium-sponsored trials. For example, we have contributed financially to the Secondary and Primary Progressive Ibudilast NeuroNEXT Trial in Multiple Sclerosis (SPRINT-MS) Phase 2 clinical trial of MN-166 (ibudilast) for the treatment of progressive MS, which is primarily funded by the NIH. In addition, we are contributing financially to the ongoing clinical trial of MN-166 (ibudilast) for the treatment of ALS as well as the ongoing ALS / Biomarker study. We intend to pursue additional strategic alliances to help support further clinical development of MN-166 (ibudilast).</w:t>
      </w:r>
    </w:p>
    <w:p>
      <w:pPr>
        <w:spacing w:after="0" w:line="81" w:lineRule="exact"/>
        <w:rPr>
          <w:rFonts w:ascii="Arial" w:cs="Arial" w:eastAsia="Arial" w:hAnsi="Arial"/>
          <w:sz w:val="18"/>
          <w:szCs w:val="18"/>
          <w:color w:val="auto"/>
        </w:rPr>
      </w:pPr>
    </w:p>
    <w:p>
      <w:pPr>
        <w:ind w:left="1040" w:hanging="55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diseases such as NASH and IPF.</w:t>
      </w:r>
    </w:p>
    <w:p>
      <w:pPr>
        <w:spacing w:after="0" w:line="117" w:lineRule="exact"/>
        <w:rPr>
          <w:rFonts w:ascii="Arial" w:cs="Arial" w:eastAsia="Arial" w:hAnsi="Arial"/>
          <w:sz w:val="18"/>
          <w:szCs w:val="18"/>
          <w:color w:val="auto"/>
        </w:rPr>
      </w:pPr>
    </w:p>
    <w:p>
      <w:pPr>
        <w:ind w:left="1040" w:right="4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ind w:left="1040" w:right="6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Strategically partner with one or more leading pharmaceutical companies to complete late-stage product development and successfully commercialize our products.</w:t>
      </w:r>
    </w:p>
    <w:p>
      <w:pPr>
        <w:spacing w:after="0" w:line="62" w:lineRule="exact"/>
        <w:rPr>
          <w:rFonts w:ascii="Arial" w:cs="Arial" w:eastAsia="Arial" w:hAnsi="Arial"/>
          <w:sz w:val="18"/>
          <w:szCs w:val="18"/>
          <w:color w:val="auto"/>
        </w:rPr>
      </w:pPr>
    </w:p>
    <w:p>
      <w:pPr>
        <w:ind w:left="1040" w:right="260"/>
        <w:spacing w:after="0" w:line="312" w:lineRule="auto"/>
        <w:rPr>
          <w:rFonts w:ascii="Arial" w:cs="Arial" w:eastAsia="Arial" w:hAnsi="Arial"/>
          <w:sz w:val="18"/>
          <w:szCs w:val="18"/>
          <w:color w:val="auto"/>
        </w:rPr>
      </w:pPr>
      <w:r>
        <w:rPr>
          <w:rFonts w:ascii="Arial" w:cs="Arial" w:eastAsia="Arial" w:hAnsi="Arial"/>
          <w:sz w:val="16"/>
          <w:szCs w:val="16"/>
          <w:color w:val="auto"/>
        </w:rPr>
        <w:t>We develop and maintain relationships with pharmaceutical companies that are therapeutic category leaders. Upon completion of proof-of-concept Phase 2 clinical trials, we intend to enter into strategic alliances with leading pharmaceutical companies who seek late-stage product candidates, such as MN-166, MN-001, MN-221 and MN-029, to support further clinical development and product commercialization.</w:t>
      </w:r>
    </w:p>
    <w:p>
      <w:pPr>
        <w:spacing w:after="0" w:line="14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the joint venture agreement, in March 2012 we paid $680,000 for our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and for Beijing Medfron Medical Technologies Co., Ltd. and MediciNova to each have a 50% interest in Zhejiang Sunmy. No additional capital was contributed by either remaining party. We have not entered into the sublicense of MN-221 with Zhejiang Sunmy as of the date of this report.</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Zhejiang Sunmy is a variable interest entity for which we are not the primary beneficiary as we do not have a majority of the board seats and we do not have power to direct or significantly influence the actions of the entity. We therefore account for the activities of Zhejiang Sunmy under the equity method whereby we absorb any loss or income generated by Zhejiang Sunmy according to our percentage ownership. At June 30, 2017, we reflect a long-term asset on our consolidated balance sheet which represents our investment in Zhejiang Sunmy, net of our portion of any generated loss or income. On July 24, 2017, the Company and Beijing Medfron Medical Technologies Co., Ltd. agreed to dissolve Zhejiang Sunmy, subject to approval by applicable Chinese regulatory authorities.</w:t>
      </w:r>
    </w:p>
    <w:p>
      <w:pPr>
        <w:spacing w:after="0" w:line="193"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Upon completion of proof-of-concept Phase 2 clinical trials, we intend to enter into strategic alliances with leading pharmaceutical or biotechnology companies who seek late stage product candidates to support further clinical development and product commercialization.</w:t>
      </w:r>
    </w:p>
    <w:p>
      <w:pPr>
        <w:spacing w:after="0" w:line="170"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Depending on decisions we may make as to further clinical development, we may seek to raise additional capital. We may also pursue potential partnerships and potential acquirers of license rights to our programs in markets outside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In October 2011, we entered into an agreement with Kissei to perform research and development services relating to MN-221 in exchange for a non-refundable upfront payment of $2.5 million. Under the terms of the agreement, we are responsible for all costs incurred and to be incurred in the performance of these services. Certain of the development services were completed in 2013 and 2012, and the remaining services are expected to be delivered and completed at a future date. We assessed the deliverables in accordance with the authoritative guidance and concluded the existence of one deliverable, which was research and development services. The $2.5 million was initially recorded as deferred revenue of which $0.8 million was recognized through 2013. No revenue associated with the Kissei agreement was recorded for the three and six months ended June 30, 2017 and 2016.</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Our research, development and patent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 and we expect to increase such costs throughout 2017 as our development programs progress.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 w:name="page14"/>
    <w:bookmarkEnd w:id="13"/>
    <w:p>
      <w:pPr>
        <w:ind w:firstLine="518"/>
        <w:spacing w:after="0" w:line="264" w:lineRule="auto"/>
        <w:rPr>
          <w:sz w:val="20"/>
          <w:szCs w:val="20"/>
          <w:color w:val="auto"/>
        </w:rPr>
      </w:pPr>
      <w:r>
        <w:rPr>
          <w:rFonts w:ascii="Arial" w:cs="Arial" w:eastAsia="Arial" w:hAnsi="Arial"/>
          <w:sz w:val="18"/>
          <w:szCs w:val="18"/>
          <w:color w:val="auto"/>
        </w:rPr>
        <w:t>The following table summarizes our research, development and patent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254"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2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485"/>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5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980" w:type="dxa"/>
            <w:vAlign w:val="bottom"/>
          </w:tcPr>
          <w:p>
            <w:pPr>
              <w:ind w:left="360"/>
              <w:spacing w:after="0"/>
              <w:rPr>
                <w:sz w:val="20"/>
                <w:szCs w:val="20"/>
                <w:color w:val="auto"/>
              </w:rPr>
            </w:pPr>
            <w:r>
              <w:rPr>
                <w:rFonts w:ascii="Arial" w:cs="Arial" w:eastAsia="Arial" w:hAnsi="Arial"/>
                <w:sz w:val="18"/>
                <w:szCs w:val="18"/>
                <w:color w:val="auto"/>
              </w:rPr>
              <w:t>MN-221</w:t>
            </w:r>
          </w:p>
        </w:tc>
        <w:tc>
          <w:tcPr>
            <w:tcW w:w="124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ind w:right="54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30"/>
        </w:trPr>
        <w:tc>
          <w:tcPr>
            <w:tcW w:w="3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MN-166</w:t>
            </w: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287</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196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FF0FC"/>
          </w:tcPr>
          <w:p>
            <w:pPr>
              <w:spacing w:after="0"/>
              <w:rPr>
                <w:sz w:val="19"/>
                <w:szCs w:val="19"/>
                <w:color w:val="auto"/>
              </w:rPr>
            </w:pPr>
          </w:p>
        </w:tc>
      </w:tr>
      <w:tr>
        <w:trPr>
          <w:trHeight w:val="230"/>
        </w:trPr>
        <w:tc>
          <w:tcPr>
            <w:tcW w:w="3980" w:type="dxa"/>
            <w:vAlign w:val="bottom"/>
          </w:tcPr>
          <w:p>
            <w:pPr>
              <w:ind w:left="360"/>
              <w:spacing w:after="0"/>
              <w:rPr>
                <w:sz w:val="20"/>
                <w:szCs w:val="20"/>
                <w:color w:val="auto"/>
              </w:rPr>
            </w:pPr>
            <w:r>
              <w:rPr>
                <w:rFonts w:ascii="Arial" w:cs="Arial" w:eastAsia="Arial" w:hAnsi="Arial"/>
                <w:sz w:val="18"/>
                <w:szCs w:val="18"/>
                <w:color w:val="auto"/>
              </w:rPr>
              <w:t>MN-001</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r>
      <w:tr>
        <w:trPr>
          <w:trHeight w:val="230"/>
        </w:trPr>
        <w:tc>
          <w:tcPr>
            <w:tcW w:w="3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MN-029</w:t>
            </w:r>
          </w:p>
        </w:tc>
        <w:tc>
          <w:tcPr>
            <w:tcW w:w="5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Total external development expense</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321</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297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454</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575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5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5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897</w:t>
            </w:r>
          </w:p>
        </w:tc>
        <w:tc>
          <w:tcPr>
            <w:tcW w:w="2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963</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1,798</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1"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Research, development and patent costs are expensed as incurred based on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deductions at the lower of 85% of fair market value at the beginning of the offering period or the end of each six-month offering period. The benefits provided under all of these plans require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ind w:right="40"/>
        <w:spacing w:after="0" w:line="273" w:lineRule="auto"/>
        <w:rPr>
          <w:sz w:val="20"/>
          <w:szCs w:val="20"/>
          <w:color w:val="auto"/>
        </w:rPr>
      </w:pPr>
      <w:r>
        <w:rPr>
          <w:rFonts w:ascii="Arial" w:cs="Arial" w:eastAsia="Arial" w:hAnsi="Arial"/>
          <w:sz w:val="17"/>
          <w:szCs w:val="17"/>
          <w:color w:val="auto"/>
        </w:rPr>
        <w:t>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expenses related to these awards is measured based on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78"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Valuation of our stock option grants requires us to estimate certain variables, such as estimated volatility and expected life. If any of our estimations change, such changes could have a significant impact on the amount of stock-based compensation expense that we recognize.</w:t>
      </w:r>
    </w:p>
    <w:p>
      <w:pPr>
        <w:spacing w:after="0" w:line="147"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A total of 2,500,000 shares of common stock were initially reserved for issuance under the 2013 Plan. On June 8, 2017, at the 2017 annual meeting of stockholders, the Company’s stockholders approved an amendment to the 2013 Plan to increase the number of shares of common stock reserved for issuance under the plan by 1,200,000 shares. As of June 30, 2017, 1,248,192 shares remain available for future grant under the 2013 Plan.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Goodwill is recorded when the consideration paid for an acquisition exceeds the fair value of the identified net tangible and intangible assets of an acquired business. The allocation of purchase price for acquisitions requires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such as in-process research and development or IPR&amp;D are not amortized, but are subject to annual impairment tests. The amounts and useful lives assigned to intangible assets that have finite useful lives require the use of estimates and the exercise of judgment. These judgments can significantly affect our net operating results. As of June 30, 2017, goodwill and in-process research and development, or IPR&amp;D, were $9.6 million and $4.8 million, respectively.</w:t>
      </w:r>
    </w:p>
    <w:p>
      <w:pPr>
        <w:spacing w:after="0" w:line="179"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Research, development and patent expenses were $0.9 million and $1.0 million for the three months ended June 30, 2017 and 2016, respectively. This $0.1 million decrease was due to lower stock compensation expense for performance-based stock options for the three months ended June 30, 2017 relative to the same period in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General and administrative expenses were $1.9 million and $2.2 million for the three months ended June 30, 2017 and 2016, respectively. The decrease of $0.3 million was due to lower stock compensation expense for performance-based stock options for the three months ended June 30, 2017 relative to the same period in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Research, development and patent expenses were $1.8 million and $2.0 million for the six months ended June 30, 2017 and 2016, respectively. This $0.2 million decrease was due to lower stock compensation expense for performance-based stock options for the six months ended June 30, 2017 relative to the same period in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ind w:right="140" w:firstLine="518"/>
        <w:spacing w:after="0" w:line="264" w:lineRule="auto"/>
        <w:rPr>
          <w:sz w:val="20"/>
          <w:szCs w:val="20"/>
          <w:color w:val="auto"/>
        </w:rPr>
      </w:pPr>
      <w:r>
        <w:rPr>
          <w:rFonts w:ascii="Arial" w:cs="Arial" w:eastAsia="Arial" w:hAnsi="Arial"/>
          <w:sz w:val="18"/>
          <w:szCs w:val="18"/>
          <w:color w:val="auto"/>
        </w:rPr>
        <w:t>General and administrative expenses were $4.0 million and $4.6 million for the six months ended June 30, 2017 and 2016, respectively. The decrease of $0.6 million was due to lower stock compensation expense for performance-based stock options for the six months ended June 30, 2017 relative to the same period in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Net cash used in operating activities during the six months ended June 30, 2017 was $4.0 million compared to $3.9 million during the same period in 2016. Net cash used in operating activities primarily reflects the net loss for those periods, which was partially offset by non-cash stock-based compensation expense and changes in operating assets and liabilities.</w:t>
      </w:r>
    </w:p>
    <w:p>
      <w:pPr>
        <w:spacing w:after="0" w:line="181"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Net cash provided by financing activities was $2.7 million during the six months ended June 30, 2017 compared to $8.4 million during the same period in 2016. Net cash provided by financing activities during the six months ended June 30, 2016 was primarily due to the exercise of 2,131,700 warrants and 159,285 stock options for gross proceeds of $7.6 million and $0.8 million, respectively. Net cash provided by financing activities during the six months ended June 30, 2017 is primarily due to the issuance of 482,187 common stock shares under the at-the-market sales agreement for net proceeds of $2.7 million. Cash proceeds from financing activities are used for working capital and general corporate purposes.</w:t>
      </w:r>
    </w:p>
    <w:p>
      <w:pPr>
        <w:spacing w:after="0" w:line="173"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On May 22, 2015, we entered into an at-the-market issuance sales agreement with MLV &amp; Co. LLC, or MLV, pursuant to which we may sell common stock through MLV from time to time up to an aggregate offering price of $30.0 million. Sales of our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our prior approval. We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We are not obligated to make any sales of common stock under the sales agreement and may terminate the sales agreement at any time upon written notice. On September 16, 2016, we entered into an amendment No.1 to the original sales agreement with MLV to also include FBR Capital Markets &amp; Co. as a sales agent.</w:t>
      </w:r>
    </w:p>
    <w:p>
      <w:pPr>
        <w:spacing w:after="0" w:line="182"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For the six months ended June 30, 2017, we generated gross proceeds of $2.8 million and incurred issuance costs of $0.1 million under this agreement on sales of 482,187 shares of our common stock at a weighted average of $5.78 per share. No shares of common stock were sold under this agreement in the six months ended June 30, 2016.</w:t>
      </w:r>
    </w:p>
    <w:p>
      <w:pPr>
        <w:spacing w:after="0" w:line="18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As of June 30, 2017, we had available cash and cash equivalents of $22.9 million and working capital of $21.9 million. As of the date of this report, we believe we have working capital sufficient to fund operations at least through December 31, 2019. However, we cannot provide assurance that these capital resources will be sufficient to conduct all of our research and development programs as planned.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At June 30, 2017,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primary exposure to market risks due to changes in interest rates, which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interest-rate sensitive financial instruments due to their relatively short term nature.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6" w:name="page17"/>
    <w:bookmarkEnd w:id="16"/>
    <w:p>
      <w:pPr>
        <w:jc w:val="both"/>
        <w:ind w:right="100" w:firstLine="518"/>
        <w:spacing w:after="0" w:line="264" w:lineRule="auto"/>
        <w:rPr>
          <w:sz w:val="20"/>
          <w:szCs w:val="20"/>
          <w:color w:val="auto"/>
        </w:rPr>
      </w:pPr>
      <w:r>
        <w:rPr>
          <w:rFonts w:ascii="Arial" w:cs="Arial" w:eastAsia="Arial" w:hAnsi="Arial"/>
          <w:sz w:val="18"/>
          <w:szCs w:val="18"/>
          <w:color w:val="auto"/>
        </w:rPr>
        <w:t>Cash and cash equivalents as of June 30, 2017 were $22.9 million and were primarily invested in money market interest bearing accounts and money market funds. A hypothetical 10% adverse change in the average interest rate on our cash and cash equivalents would have had no material effect on net loss for the three and six months ended June 30, 2017.</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not involved in any material legal proceedings as of June 30, 2017.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2016,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2016.</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Company and Beijing Medfron Medical Technologies Co., Ltd. (“Beijing Medfron”) are joint venture partners of a joint venture entity, Zhejiang Sunmy Bio-Medical Co., Ltd. (“Zhejiang Sunmy”). On July 24, 2017, the Company and Beijing Medfron agreed to dissolve Zhejiang Sunmy, subject to approval by applicable Chinese regulatory authorities.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ITEM 6.</w:t>
            </w:r>
          </w:p>
        </w:tc>
        <w:tc>
          <w:tcPr>
            <w:tcW w:w="10600" w:type="dxa"/>
            <w:vAlign w:val="bottom"/>
          </w:tcPr>
          <w:p>
            <w:pPr>
              <w:ind w:left="3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600" w:type="dxa"/>
            <w:vAlign w:val="bottom"/>
            <w:vMerge w:val="restart"/>
          </w:tcPr>
          <w:p>
            <w:pPr>
              <w:ind w:left="4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10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2013 Equity Incentive Plan of the Registrant.*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Principal Executive Officer pursuant to Section 302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Principal Financial Officer pursuant to Section 302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Principal Executive Officer pursuant to 18 U.S.C. Section 1350 (Section 906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Financial Officer pursuant to 18 U.S.C. Section 1350 (Section 906 of the Sarbanes-Oxley Act of 2002).</w:t>
      </w:r>
    </w:p>
    <w:p>
      <w:pPr>
        <w:spacing w:after="0" w:line="131" w:lineRule="exact"/>
        <w:rPr>
          <w:sz w:val="20"/>
          <w:szCs w:val="20"/>
          <w:color w:val="auto"/>
        </w:rPr>
      </w:pPr>
    </w:p>
    <w:p>
      <w:pPr>
        <w:ind w:left="820" w:right="260" w:hanging="812"/>
        <w:spacing w:after="0" w:line="31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financial statements from the MediciNova, Inc. Quarterly Report on Form 10-Q for the quarter ended June 30, 2017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146"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520" w:val="left"/>
          <w:tab w:leader="none" w:pos="8480" w:val="left"/>
          <w:tab w:leader="none" w:pos="8820" w:val="left"/>
        </w:tabs>
        <w:rPr>
          <w:sz w:val="20"/>
          <w:szCs w:val="20"/>
          <w:color w:val="auto"/>
        </w:rPr>
      </w:pPr>
      <w:r>
        <w:rPr>
          <w:rFonts w:ascii="Arial" w:cs="Arial" w:eastAsia="Arial" w:hAnsi="Arial"/>
          <w:sz w:val="18"/>
          <w:szCs w:val="18"/>
          <w:color w:val="auto"/>
        </w:rPr>
        <w:t>Date: July 26,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540"/>
        <w:spacing w:after="0"/>
        <w:tabs>
          <w:tab w:leader="none" w:pos="846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Ryan Selhorn</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00"/>
          </w:cols>
          <w:pgMar w:left="240" w:top="337" w:right="8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0" w:type="dxa"/>
            <w:vAlign w:val="bottom"/>
          </w:tcPr>
          <w:p>
            <w:pPr>
              <w:ind w:left="40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600" w:type="dxa"/>
            <w:vAlign w:val="bottom"/>
            <w:vMerge w:val="restart"/>
          </w:tcPr>
          <w:p>
            <w:pPr>
              <w:ind w:left="5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0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700" w:type="dxa"/>
            <w:vAlign w:val="bottom"/>
            <w:tcBorders>
              <w:top w:val="single" w:sz="8" w:color="auto"/>
            </w:tcBorders>
          </w:tcPr>
          <w:p>
            <w:pPr>
              <w:jc w:val="right"/>
              <w:ind w:right="302"/>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0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Amended and Restated 2013 Equity Incentive Plan of the Registrant.*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Principal Executive Officer pursuant to Section 302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Principal Financial Officer pursuant to Section 302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Principal Executive Officer pursuant to 18 U.S.C. Section 1350 (Section 906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Financial Officer pursuant to 18 U.S.C. Section 1350 (Section 906 of the Sarbanes-Oxley Act of 2002).</w:t>
      </w:r>
    </w:p>
    <w:p>
      <w:pPr>
        <w:spacing w:after="0" w:line="131" w:lineRule="exact"/>
        <w:rPr>
          <w:sz w:val="20"/>
          <w:szCs w:val="20"/>
          <w:color w:val="auto"/>
        </w:rPr>
      </w:pPr>
    </w:p>
    <w:p>
      <w:pPr>
        <w:ind w:left="820" w:right="260" w:hanging="812"/>
        <w:spacing w:after="0" w:line="312"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financial statements from the MediciNova, Inc. Quarterly Report on Form 10-Q for the quarter ended June 30, 2017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146"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M</w:t>
      </w:r>
      <w:r>
        <w:rPr>
          <w:rFonts w:ascii="Arial" w:cs="Arial" w:eastAsia="Arial" w:hAnsi="Arial"/>
          <w:sz w:val="16"/>
          <w:szCs w:val="16"/>
          <w:b w:val="1"/>
          <w:bCs w:val="1"/>
          <w:color w:val="auto"/>
        </w:rPr>
        <w:t>EDICI</w:t>
      </w:r>
      <w:r>
        <w:rPr>
          <w:rFonts w:ascii="Arial" w:cs="Arial" w:eastAsia="Arial" w:hAnsi="Arial"/>
          <w:sz w:val="23"/>
          <w:szCs w:val="23"/>
          <w:b w:val="1"/>
          <w:bCs w:val="1"/>
          <w:color w:val="auto"/>
        </w:rPr>
        <w:t>N</w:t>
      </w:r>
      <w:r>
        <w:rPr>
          <w:rFonts w:ascii="Arial" w:cs="Arial" w:eastAsia="Arial" w:hAnsi="Arial"/>
          <w:sz w:val="16"/>
          <w:szCs w:val="16"/>
          <w:b w:val="1"/>
          <w:bCs w:val="1"/>
          <w:color w:val="auto"/>
        </w:rPr>
        <w:t>OVA</w:t>
      </w:r>
      <w:r>
        <w:rPr>
          <w:rFonts w:ascii="Arial" w:cs="Arial" w:eastAsia="Arial" w:hAnsi="Arial"/>
          <w:sz w:val="23"/>
          <w:szCs w:val="23"/>
          <w:b w:val="1"/>
          <w:bCs w:val="1"/>
          <w:color w:val="auto"/>
        </w:rPr>
        <w:t>, I</w:t>
      </w:r>
      <w:r>
        <w:rPr>
          <w:rFonts w:ascii="Arial" w:cs="Arial" w:eastAsia="Arial" w:hAnsi="Arial"/>
          <w:sz w:val="16"/>
          <w:szCs w:val="16"/>
          <w:b w:val="1"/>
          <w:bCs w:val="1"/>
          <w:color w:val="auto"/>
        </w:rPr>
        <w:t>NC</w:t>
      </w:r>
      <w:r>
        <w:rPr>
          <w:rFonts w:ascii="Arial" w:cs="Arial" w:eastAsia="Arial" w:hAnsi="Arial"/>
          <w:sz w:val="23"/>
          <w:szCs w:val="23"/>
          <w:b w:val="1"/>
          <w:bCs w:val="1"/>
          <w:color w:val="auto"/>
        </w:rPr>
        <w: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2013 EQUITY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amended by the Board of Directors April 6, 2017)</w:t>
      </w:r>
    </w:p>
    <w:p>
      <w:pPr>
        <w:spacing w:after="0" w:line="200" w:lineRule="exact"/>
        <w:rPr>
          <w:sz w:val="20"/>
          <w:szCs w:val="20"/>
          <w:color w:val="auto"/>
        </w:rPr>
      </w:pPr>
    </w:p>
    <w:p>
      <w:pPr>
        <w:spacing w:after="0" w:line="223" w:lineRule="exact"/>
        <w:rPr>
          <w:sz w:val="20"/>
          <w:szCs w:val="20"/>
          <w:color w:val="auto"/>
        </w:rPr>
      </w:pPr>
    </w:p>
    <w:p>
      <w:pPr>
        <w:ind w:left="820" w:hanging="812"/>
        <w:spacing w:after="0"/>
        <w:tabs>
          <w:tab w:leader="none" w:pos="820" w:val="left"/>
        </w:tabs>
        <w:numPr>
          <w:ilvl w:val="0"/>
          <w:numId w:val="10"/>
        </w:numPr>
        <w:rPr>
          <w:rFonts w:ascii="Arial" w:cs="Arial" w:eastAsia="Arial" w:hAnsi="Arial"/>
          <w:sz w:val="22"/>
          <w:szCs w:val="22"/>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w:t>
      </w:r>
    </w:p>
    <w:p>
      <w:pPr>
        <w:spacing w:after="0" w:line="224" w:lineRule="exact"/>
        <w:rPr>
          <w:rFonts w:ascii="Arial" w:cs="Arial" w:eastAsia="Arial" w:hAnsi="Arial"/>
          <w:sz w:val="22"/>
          <w:szCs w:val="22"/>
          <w:b w:val="1"/>
          <w:bCs w:val="1"/>
          <w:color w:val="auto"/>
        </w:rPr>
      </w:pPr>
    </w:p>
    <w:p>
      <w:pPr>
        <w:jc w:val="both"/>
        <w:ind w:firstLine="885"/>
        <w:spacing w:after="0" w:line="264" w:lineRule="auto"/>
        <w:tabs>
          <w:tab w:leader="none" w:pos="2426" w:val="left"/>
        </w:tabs>
        <w:numPr>
          <w:ilvl w:val="1"/>
          <w:numId w:val="10"/>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Successor to and Continuation of Prior Plan. </w:t>
      </w:r>
      <w:r>
        <w:rPr>
          <w:rFonts w:ascii="Arial" w:cs="Arial" w:eastAsia="Arial" w:hAnsi="Arial"/>
          <w:sz w:val="17"/>
          <w:szCs w:val="17"/>
          <w:color w:val="auto"/>
        </w:rPr>
        <w:t>The Plan is intended as the successor to and continuation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MediciNova, Inc. Amended and Restated 2004 Stock Incentive Plan (the “</w:t>
      </w:r>
      <w:r>
        <w:rPr>
          <w:rFonts w:ascii="Arial" w:cs="Arial" w:eastAsia="Arial" w:hAnsi="Arial"/>
          <w:sz w:val="17"/>
          <w:szCs w:val="17"/>
          <w:b w:val="1"/>
          <w:bCs w:val="1"/>
          <w:i w:val="1"/>
          <w:iCs w:val="1"/>
          <w:color w:val="auto"/>
        </w:rPr>
        <w:t>Prior Plan</w:t>
      </w:r>
      <w:r>
        <w:rPr>
          <w:rFonts w:ascii="Arial" w:cs="Arial" w:eastAsia="Arial" w:hAnsi="Arial"/>
          <w:sz w:val="17"/>
          <w:szCs w:val="17"/>
          <w:color w:val="auto"/>
        </w:rPr>
        <w:t xml:space="preserve">”). Following the Effective Date, no additional stock awards may be granted under the Prior Plan. Any unallocated shares remaining available for issuance pursuant to the exercise of options or issuance or settlement of stock awards not previously granted under the Prior Plan as of 12:01 a.m. Pacific time on the Effective Date will cease to be available under the Prior Plan at such time, and no further grants will be made under the Prior Plan after such time. In addition, from and after 12:01 a.m. Pacific time on the Effective Date, all outstanding stock awards granted under the Prior Plan will remain subject to the terms of the Prior Plan;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shares subject to outstanding stock awards granted under the Prior Plan that (i) expire or terminate for any reason prior to exercise or settlement; (ii) are forfeited, cancelled or otherwise returned to the Company because of the failure to meet a contingency or condition required to vest such shares; or (iii) are reacquired, withheld (or not issued) to satisfy a tax withholding obligation in connection with an award or to satisfy the purchase price or exercise price of a stock award (the “</w:t>
      </w:r>
      <w:r>
        <w:rPr>
          <w:rFonts w:ascii="Arial" w:cs="Arial" w:eastAsia="Arial" w:hAnsi="Arial"/>
          <w:sz w:val="17"/>
          <w:szCs w:val="17"/>
          <w:b w:val="1"/>
          <w:bCs w:val="1"/>
          <w:i w:val="1"/>
          <w:iCs w:val="1"/>
          <w:color w:val="auto"/>
        </w:rPr>
        <w:t>Returning Shares</w:t>
      </w:r>
      <w:r>
        <w:rPr>
          <w:rFonts w:ascii="Arial" w:cs="Arial" w:eastAsia="Arial" w:hAnsi="Arial"/>
          <w:sz w:val="17"/>
          <w:szCs w:val="17"/>
          <w:color w:val="auto"/>
        </w:rPr>
        <w:t>”) will immediately be added to the Share Reserve (as further described in Section 3(a) below) as and when such shares become Returning Shares, and become available for issuance pursuant to Awards granted hereunder. All Awards granted on or after 12:01 a.m. Pacific time on the Effective Date will be subject to the terms of this Plan.</w:t>
      </w:r>
    </w:p>
    <w:p>
      <w:pPr>
        <w:spacing w:after="0" w:line="186" w:lineRule="exact"/>
        <w:rPr>
          <w:rFonts w:ascii="Arial" w:cs="Arial" w:eastAsia="Arial" w:hAnsi="Arial"/>
          <w:sz w:val="21"/>
          <w:szCs w:val="21"/>
          <w:b w:val="1"/>
          <w:bCs w:val="1"/>
          <w:color w:val="auto"/>
        </w:rPr>
      </w:pPr>
    </w:p>
    <w:p>
      <w:pPr>
        <w:ind w:left="2440" w:hanging="1555"/>
        <w:spacing w:after="0"/>
        <w:tabs>
          <w:tab w:leader="none" w:pos="2440" w:val="left"/>
        </w:tabs>
        <w:numPr>
          <w:ilvl w:val="1"/>
          <w:numId w:val="10"/>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Eligible Award Recipients. </w:t>
      </w:r>
      <w:r>
        <w:rPr>
          <w:rFonts w:ascii="Arial" w:cs="Arial" w:eastAsia="Arial" w:hAnsi="Arial"/>
          <w:sz w:val="18"/>
          <w:szCs w:val="18"/>
          <w:color w:val="auto"/>
        </w:rPr>
        <w:t>Employees, Directors and Consultants are eligible to receive Awards.</w:t>
      </w:r>
    </w:p>
    <w:p>
      <w:pPr>
        <w:spacing w:after="0" w:line="224" w:lineRule="exact"/>
        <w:rPr>
          <w:rFonts w:ascii="Arial" w:cs="Arial" w:eastAsia="Arial" w:hAnsi="Arial"/>
          <w:sz w:val="22"/>
          <w:szCs w:val="22"/>
          <w:b w:val="1"/>
          <w:bCs w:val="1"/>
          <w:color w:val="auto"/>
        </w:rPr>
      </w:pPr>
    </w:p>
    <w:p>
      <w:pPr>
        <w:jc w:val="both"/>
        <w:ind w:firstLine="885"/>
        <w:spacing w:after="0" w:line="239" w:lineRule="auto"/>
        <w:tabs>
          <w:tab w:leader="none" w:pos="2414" w:val="left"/>
        </w:tabs>
        <w:numPr>
          <w:ilvl w:val="1"/>
          <w:numId w:val="10"/>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Available Awards. </w:t>
      </w:r>
      <w:r>
        <w:rPr>
          <w:rFonts w:ascii="Arial" w:cs="Arial" w:eastAsia="Arial" w:hAnsi="Arial"/>
          <w:sz w:val="18"/>
          <w:szCs w:val="18"/>
          <w:color w:val="auto"/>
        </w:rPr>
        <w:t>The Plan provides for the grant of the following types of Awards: (i) Incentive Stock Options, (ii)</w:t>
      </w:r>
      <w:r>
        <w:rPr>
          <w:rFonts w:ascii="Arial" w:cs="Arial" w:eastAsia="Arial" w:hAnsi="Arial"/>
          <w:sz w:val="18"/>
          <w:szCs w:val="18"/>
          <w:b w:val="1"/>
          <w:bCs w:val="1"/>
          <w:color w:val="auto"/>
        </w:rPr>
        <w:t xml:space="preserve"> </w:t>
      </w:r>
      <w:r>
        <w:rPr>
          <w:rFonts w:ascii="Arial" w:cs="Arial" w:eastAsia="Arial" w:hAnsi="Arial"/>
          <w:sz w:val="18"/>
          <w:szCs w:val="18"/>
          <w:color w:val="auto"/>
        </w:rPr>
        <w:t>Nonstatutory Stock Options, (iii) Stock Appreciation Rights, (iv) Restricted Stock Awards, (v) Restricted Stock Unit Awards, (vi) Performance Stock Awards, (vii) Performance Cash Awards, and (viii) Other Stock Awards.</w:t>
      </w:r>
    </w:p>
    <w:p>
      <w:pPr>
        <w:spacing w:after="0" w:line="227" w:lineRule="exact"/>
        <w:rPr>
          <w:rFonts w:ascii="Arial" w:cs="Arial" w:eastAsia="Arial" w:hAnsi="Arial"/>
          <w:sz w:val="22"/>
          <w:szCs w:val="22"/>
          <w:b w:val="1"/>
          <w:bCs w:val="1"/>
          <w:color w:val="auto"/>
        </w:rPr>
      </w:pPr>
    </w:p>
    <w:p>
      <w:pPr>
        <w:jc w:val="both"/>
        <w:ind w:firstLine="885"/>
        <w:spacing w:after="0" w:line="239" w:lineRule="auto"/>
        <w:tabs>
          <w:tab w:leader="none" w:pos="2438" w:val="left"/>
        </w:tabs>
        <w:numPr>
          <w:ilvl w:val="1"/>
          <w:numId w:val="10"/>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Plan, through the granting of Awards, is intended to help the Company secure and retain the services of</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award recipients, provide incentives for such persons to exert maximum efforts for the success of the Company and any Affiliate and provide a means by which the eligible recipients may benefit from increases in value of the Common Stock.</w:t>
      </w:r>
    </w:p>
    <w:p>
      <w:pPr>
        <w:spacing w:after="0" w:line="208" w:lineRule="exact"/>
        <w:rPr>
          <w:rFonts w:ascii="Arial" w:cs="Arial" w:eastAsia="Arial" w:hAnsi="Arial"/>
          <w:sz w:val="22"/>
          <w:szCs w:val="22"/>
          <w:b w:val="1"/>
          <w:bCs w:val="1"/>
          <w:color w:val="auto"/>
        </w:rPr>
      </w:pPr>
    </w:p>
    <w:p>
      <w:pPr>
        <w:ind w:left="820" w:hanging="812"/>
        <w:spacing w:after="0"/>
        <w:tabs>
          <w:tab w:leader="none" w:pos="820" w:val="left"/>
        </w:tabs>
        <w:numPr>
          <w:ilvl w:val="0"/>
          <w:numId w:val="10"/>
        </w:numPr>
        <w:rPr>
          <w:rFonts w:ascii="Arial" w:cs="Arial" w:eastAsia="Arial" w:hAnsi="Arial"/>
          <w:sz w:val="22"/>
          <w:szCs w:val="22"/>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DMINISTRATION</w:t>
      </w:r>
      <w:r>
        <w:rPr>
          <w:rFonts w:ascii="Arial" w:cs="Arial" w:eastAsia="Arial" w:hAnsi="Arial"/>
          <w:sz w:val="18"/>
          <w:szCs w:val="18"/>
          <w:b w:val="1"/>
          <w:bCs w:val="1"/>
          <w:color w:val="auto"/>
        </w:rPr>
        <w:t>.</w:t>
      </w:r>
    </w:p>
    <w:p>
      <w:pPr>
        <w:spacing w:after="0" w:line="224" w:lineRule="exact"/>
        <w:rPr>
          <w:rFonts w:ascii="Arial" w:cs="Arial" w:eastAsia="Arial" w:hAnsi="Arial"/>
          <w:sz w:val="22"/>
          <w:szCs w:val="22"/>
          <w:b w:val="1"/>
          <w:bCs w:val="1"/>
          <w:color w:val="auto"/>
        </w:rPr>
      </w:pPr>
    </w:p>
    <w:p>
      <w:pPr>
        <w:ind w:firstLine="885"/>
        <w:spacing w:after="0" w:line="235" w:lineRule="auto"/>
        <w:tabs>
          <w:tab w:leader="none" w:pos="2426" w:val="left"/>
        </w:tabs>
        <w:numPr>
          <w:ilvl w:val="1"/>
          <w:numId w:val="10"/>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The Board may delegate administration of the Plan to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or Committees, as provided in Section 2(c).</w:t>
      </w:r>
    </w:p>
    <w:p>
      <w:pPr>
        <w:spacing w:after="0" w:line="217" w:lineRule="exact"/>
        <w:rPr>
          <w:rFonts w:ascii="Arial" w:cs="Arial" w:eastAsia="Arial" w:hAnsi="Arial"/>
          <w:sz w:val="22"/>
          <w:szCs w:val="22"/>
          <w:b w:val="1"/>
          <w:bCs w:val="1"/>
          <w:color w:val="auto"/>
        </w:rPr>
      </w:pPr>
    </w:p>
    <w:p>
      <w:pPr>
        <w:ind w:left="2440" w:hanging="1555"/>
        <w:spacing w:after="0"/>
        <w:tabs>
          <w:tab w:leader="none" w:pos="2440" w:val="left"/>
        </w:tabs>
        <w:numPr>
          <w:ilvl w:val="1"/>
          <w:numId w:val="10"/>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Powers of Board. </w:t>
      </w:r>
      <w:r>
        <w:rPr>
          <w:rFonts w:ascii="Arial" w:cs="Arial" w:eastAsia="Arial" w:hAnsi="Arial"/>
          <w:sz w:val="17"/>
          <w:szCs w:val="17"/>
          <w:color w:val="auto"/>
        </w:rPr>
        <w:t>The Board will have the power, subject to, and within the limitations of, the express provisions of the</w:t>
      </w:r>
    </w:p>
    <w:p>
      <w:pPr>
        <w:spacing w:after="0" w:line="1"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18"/>
          <w:szCs w:val="18"/>
          <w:color w:val="auto"/>
        </w:rPr>
        <w:t>Plan:</w:t>
      </w:r>
    </w:p>
    <w:p>
      <w:pPr>
        <w:spacing w:after="0" w:line="196"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18"/>
          <w:szCs w:val="18"/>
          <w:color w:val="auto"/>
        </w:rPr>
        <w:t>To determine (A) who will be granted Awards; (B) when and how each Award will be granted; (C) what</w:t>
      </w:r>
      <w:r>
        <w:rPr>
          <w:rFonts w:ascii="Arial" w:cs="Arial" w:eastAsia="Arial" w:hAnsi="Arial"/>
          <w:sz w:val="22"/>
          <w:szCs w:val="22"/>
          <w:b w:val="1"/>
          <w:bCs w:val="1"/>
          <w:color w:val="auto"/>
        </w:rPr>
        <w:t xml:space="preserve"> </w:t>
      </w:r>
      <w:r>
        <w:rPr>
          <w:rFonts w:ascii="Arial" w:cs="Arial" w:eastAsia="Arial" w:hAnsi="Arial"/>
          <w:sz w:val="18"/>
          <w:szCs w:val="18"/>
          <w:color w:val="auto"/>
        </w:rPr>
        <w:t>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175"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18"/>
          <w:szCs w:val="18"/>
          <w:color w:val="auto"/>
        </w:rPr>
        <w:t>To construe and interpret the Plan and Awards granted under it, and to establish, amend and revoke</w:t>
      </w:r>
      <w:r>
        <w:rPr>
          <w:rFonts w:ascii="Arial" w:cs="Arial" w:eastAsia="Arial" w:hAnsi="Arial"/>
          <w:sz w:val="22"/>
          <w:szCs w:val="22"/>
          <w:b w:val="1"/>
          <w:bCs w:val="1"/>
          <w:color w:val="auto"/>
        </w:rPr>
        <w:t xml:space="preserve"> </w:t>
      </w:r>
      <w:r>
        <w:rPr>
          <w:rFonts w:ascii="Arial" w:cs="Arial" w:eastAsia="Arial" w:hAnsi="Arial"/>
          <w:sz w:val="18"/>
          <w:szCs w:val="18"/>
          <w:color w:val="auto"/>
        </w:rPr>
        <w:t>rules and regulations for administration of the Plan and Awards. The Board, in the exercise of these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powers, may correct any defect, omission or inconsistency in the Plan or in any Award Agreement, in a manner and to the extent it will deem necessary or expedient to make the Plan or Award fully effective.</w:t>
      </w:r>
    </w:p>
    <w:p>
      <w:pPr>
        <w:sectPr>
          <w:pgSz w:w="11900" w:h="16838" w:orient="portrait"/>
          <w:cols w:equalWidth="0" w:num="1">
            <w:col w:w="11420"/>
          </w:cols>
          <w:pgMar w:left="240" w:top="341" w:right="239" w:bottom="1440" w:gutter="0" w:footer="0" w:header="0"/>
        </w:sectPr>
      </w:pPr>
    </w:p>
    <w:p>
      <w:pPr>
        <w:spacing w:after="0" w:line="157" w:lineRule="exact"/>
        <w:rPr>
          <w:sz w:val="20"/>
          <w:szCs w:val="20"/>
          <w:color w:val="auto"/>
        </w:rPr>
      </w:pPr>
    </w:p>
    <w:p>
      <w:pPr>
        <w:jc w:val="center"/>
        <w:ind w:left="520"/>
        <w:spacing w:after="0"/>
        <w:rPr>
          <w:sz w:val="20"/>
          <w:szCs w:val="20"/>
          <w:color w:val="auto"/>
        </w:rPr>
      </w:pPr>
      <w:r>
        <w:rPr>
          <w:rFonts w:ascii="Arial" w:cs="Arial" w:eastAsia="Arial" w:hAnsi="Arial"/>
          <w:sz w:val="21"/>
          <w:szCs w:val="21"/>
          <w:b w:val="1"/>
          <w:bCs w:val="1"/>
          <w:color w:val="auto"/>
        </w:rPr>
        <w:t>(iii)</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2060"/>
        <w:spacing w:after="0"/>
        <w:rPr>
          <w:sz w:val="20"/>
          <w:szCs w:val="20"/>
          <w:color w:val="auto"/>
        </w:rPr>
      </w:pPr>
      <w:r>
        <w:rPr>
          <w:rFonts w:ascii="Arial" w:cs="Arial" w:eastAsia="Arial" w:hAnsi="Arial"/>
          <w:sz w:val="16"/>
          <w:szCs w:val="16"/>
          <w:color w:val="auto"/>
        </w:rPr>
        <w:t>To settle all controversies regarding the Plan and Awards granted under it.</w:t>
      </w:r>
    </w:p>
    <w:p>
      <w:pPr>
        <w:spacing w:after="0" w:line="217" w:lineRule="exact"/>
        <w:rPr>
          <w:sz w:val="20"/>
          <w:szCs w:val="20"/>
          <w:color w:val="auto"/>
        </w:rPr>
      </w:pPr>
    </w:p>
    <w:p>
      <w:pPr>
        <w:sectPr>
          <w:pgSz w:w="11900" w:h="16838" w:orient="portrait"/>
          <w:cols w:equalWidth="0" w:num="2">
            <w:col w:w="3320" w:space="720"/>
            <w:col w:w="7380"/>
          </w:cols>
          <w:pgMar w:left="240" w:top="341" w:right="239" w:bottom="1440" w:gutter="0" w:footer="0" w:header="0"/>
          <w:type w:val="continuous"/>
        </w:sectPr>
      </w:pPr>
    </w:p>
    <w:p>
      <w:pPr>
        <w:spacing w:after="0" w:line="18"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auto"/>
        </w:rPr>
        <w:t>(iv)</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cash or shares of Common Stock may be issued).</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accelerate, in whole or in part, the time at which an Award may be exercised or vest (or at which</w:t>
      </w:r>
    </w:p>
    <w:p>
      <w:pPr>
        <w:spacing w:after="0" w:line="432" w:lineRule="exact"/>
        <w:rPr>
          <w:sz w:val="20"/>
          <w:szCs w:val="20"/>
          <w:color w:val="auto"/>
        </w:rPr>
      </w:pPr>
    </w:p>
    <w:p>
      <w:pPr>
        <w:sectPr>
          <w:pgSz w:w="11900" w:h="16838" w:orient="portrait"/>
          <w:cols w:equalWidth="0" w:num="2">
            <w:col w:w="3560" w:space="460"/>
            <w:col w:w="7400"/>
          </w:cols>
          <w:pgMar w:left="240" w:top="341" w:right="239" w:bottom="1440" w:gutter="0" w:footer="0" w:header="0"/>
          <w:type w:val="continuous"/>
        </w:sectPr>
      </w:pPr>
    </w:p>
    <w:p>
      <w:pPr>
        <w:spacing w:after="0" w:line="19"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b w:val="1"/>
          <w:bCs w:val="1"/>
          <w:color w:val="auto"/>
        </w:rPr>
        <w:t>(v)</w:t>
      </w:r>
      <w:r>
        <w:rPr>
          <w:sz w:val="20"/>
          <w:szCs w:val="20"/>
          <w:color w:val="auto"/>
        </w:rPr>
        <w:tab/>
      </w:r>
      <w:r>
        <w:rPr>
          <w:rFonts w:ascii="Arial" w:cs="Arial" w:eastAsia="Arial" w:hAnsi="Arial"/>
          <w:sz w:val="16"/>
          <w:szCs w:val="16"/>
          <w:color w:val="auto"/>
        </w:rPr>
        <w:t>To suspend or terminate the Plan at any time. Except as otherwise provided in the Plan or an Award</w:t>
      </w:r>
    </w:p>
    <w:p>
      <w:pPr>
        <w:sectPr>
          <w:pgSz w:w="11900" w:h="16838" w:orient="portrait"/>
          <w:cols w:equalWidth="0" w:num="1">
            <w:col w:w="11420"/>
          </w:cols>
          <w:pgMar w:left="240" w:top="341" w:right="239" w:bottom="1440" w:gutter="0" w:footer="0" w:header="0"/>
          <w:type w:val="continuous"/>
        </w:sectPr>
      </w:pPr>
    </w:p>
    <w:p>
      <w:pPr>
        <w:spacing w:after="0" w:line="6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Agreement, suspension or termination of the Plan will not impair a Participant’s rights under his or her then-outstanding Award without his or her written consent except as provided in subsection (viii) below.</w:t>
      </w:r>
    </w:p>
    <w:p>
      <w:pPr>
        <w:spacing w:after="0" w:line="181" w:lineRule="exact"/>
        <w:rPr>
          <w:sz w:val="20"/>
          <w:szCs w:val="20"/>
          <w:color w:val="auto"/>
        </w:rPr>
      </w:pPr>
    </w:p>
    <w:p>
      <w:pPr>
        <w:jc w:val="both"/>
        <w:ind w:firstLine="1755"/>
        <w:spacing w:after="0" w:line="288" w:lineRule="auto"/>
        <w:rPr>
          <w:sz w:val="20"/>
          <w:szCs w:val="20"/>
          <w:color w:val="auto"/>
        </w:rPr>
      </w:pPr>
      <w:r>
        <w:rPr>
          <w:rFonts w:ascii="Arial" w:cs="Arial" w:eastAsia="Arial" w:hAnsi="Arial"/>
          <w:sz w:val="19"/>
          <w:szCs w:val="19"/>
          <w:b w:val="1"/>
          <w:bCs w:val="1"/>
          <w:color w:val="auto"/>
        </w:rPr>
        <w:t xml:space="preserve">(vi) </w:t>
      </w:r>
      <w:r>
        <w:rPr>
          <w:rFonts w:ascii="Arial" w:cs="Arial" w:eastAsia="Arial" w:hAnsi="Arial"/>
          <w:sz w:val="16"/>
          <w:szCs w:val="16"/>
          <w:color w:val="auto"/>
        </w:rPr>
        <w:t>To amend the Plan in any respect the Board deems necessary or advisable, including, without</w:t>
      </w:r>
      <w:r>
        <w:rPr>
          <w:rFonts w:ascii="Arial" w:cs="Arial" w:eastAsia="Arial" w:hAnsi="Arial"/>
          <w:sz w:val="19"/>
          <w:szCs w:val="19"/>
          <w:b w:val="1"/>
          <w:bCs w:val="1"/>
          <w:color w:val="auto"/>
        </w:rPr>
        <w:t xml:space="preserve"> </w:t>
      </w:r>
      <w:r>
        <w:rPr>
          <w:rFonts w:ascii="Arial" w:cs="Arial" w:eastAsia="Arial" w:hAnsi="Arial"/>
          <w:sz w:val="16"/>
          <w:szCs w:val="16"/>
          <w:color w:val="auto"/>
        </w:rPr>
        <w:t>limitation, by adopting amendments relating to Incentive Stock Options and certain nonqualified deferred compensation under Section 409A of the Code and/or to make the Plan or Awards granted under the Plan compliant with the requirements for Incentive Stock Options or exempt from or compliant with the requirements for nonqualified deferred compensation under Section 409A of the Code, subject to the limitations, if any, of applicable law. However,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provided in the Plan (including Section 2(b)(viii)) or an Award Agreement, no amendment of the Plan will impair a Participant’s rights under an outstanding Award without the Participant’s written consent.</w:t>
      </w:r>
    </w:p>
    <w:p>
      <w:pPr>
        <w:spacing w:after="0" w:line="155"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(vii) </w:t>
      </w:r>
      <w:r>
        <w:rPr>
          <w:rFonts w:ascii="Arial" w:cs="Arial" w:eastAsia="Arial" w:hAnsi="Arial"/>
          <w:sz w:val="18"/>
          <w:szCs w:val="18"/>
          <w:color w:val="auto"/>
        </w:rPr>
        <w:t>To submit any amendment to the Plan for stockholder approval, including, but not limited to,</w:t>
      </w:r>
      <w:r>
        <w:rPr>
          <w:rFonts w:ascii="Arial" w:cs="Arial" w:eastAsia="Arial" w:hAnsi="Arial"/>
          <w:sz w:val="22"/>
          <w:szCs w:val="22"/>
          <w:b w:val="1"/>
          <w:bCs w:val="1"/>
          <w:color w:val="auto"/>
        </w:rPr>
        <w:t xml:space="preserve"> </w:t>
      </w:r>
      <w:r>
        <w:rPr>
          <w:rFonts w:ascii="Arial" w:cs="Arial" w:eastAsia="Arial" w:hAnsi="Arial"/>
          <w:sz w:val="18"/>
          <w:szCs w:val="18"/>
          <w:color w:val="auto"/>
        </w:rPr>
        <w:t>amendments to the Plan intended to satisfy the requirements of (A) Section 162(m) of the Code regarding the exclusion of performance-based compensation from the limit on corporate deductibility of compensation paid to Covered Employees, (B) Section 422 of the Code regarding incentive stock options or (C) Rule 16b-3.</w:t>
      </w:r>
    </w:p>
    <w:p>
      <w:pPr>
        <w:spacing w:after="0" w:line="175" w:lineRule="exact"/>
        <w:rPr>
          <w:sz w:val="20"/>
          <w:szCs w:val="20"/>
          <w:color w:val="auto"/>
        </w:rPr>
      </w:pPr>
    </w:p>
    <w:p>
      <w:pPr>
        <w:jc w:val="both"/>
        <w:ind w:firstLine="1755"/>
        <w:spacing w:after="0" w:line="252" w:lineRule="auto"/>
        <w:rPr>
          <w:sz w:val="20"/>
          <w:szCs w:val="20"/>
          <w:color w:val="auto"/>
        </w:rPr>
      </w:pPr>
      <w:r>
        <w:rPr>
          <w:rFonts w:ascii="Arial" w:cs="Arial" w:eastAsia="Arial" w:hAnsi="Arial"/>
          <w:sz w:val="22"/>
          <w:szCs w:val="22"/>
          <w:b w:val="1"/>
          <w:bCs w:val="1"/>
          <w:color w:val="auto"/>
        </w:rPr>
        <w:t xml:space="preserve">(viii) </w:t>
      </w:r>
      <w:r>
        <w:rPr>
          <w:rFonts w:ascii="Arial" w:cs="Arial" w:eastAsia="Arial" w:hAnsi="Arial"/>
          <w:sz w:val="18"/>
          <w:szCs w:val="18"/>
          <w:color w:val="auto"/>
        </w:rPr>
        <w:t>To approve forms of Award Agreements for use under the Plan and to amend the terms of any one or</w:t>
      </w:r>
      <w:r>
        <w:rPr>
          <w:rFonts w:ascii="Arial" w:cs="Arial" w:eastAsia="Arial" w:hAnsi="Arial"/>
          <w:sz w:val="22"/>
          <w:szCs w:val="22"/>
          <w:b w:val="1"/>
          <w:bCs w:val="1"/>
          <w:color w:val="auto"/>
        </w:rPr>
        <w:t xml:space="preserve"> </w:t>
      </w:r>
      <w:r>
        <w:rPr>
          <w:rFonts w:ascii="Arial" w:cs="Arial" w:eastAsia="Arial" w:hAnsi="Arial"/>
          <w:sz w:val="18"/>
          <w:szCs w:val="18"/>
          <w:color w:val="auto"/>
        </w:rPr>
        <w:t xml:space="preserve">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ectPr>
          <w:pgSz w:w="11900" w:h="16838" w:orient="portrait"/>
          <w:cols w:equalWidth="0" w:num="1">
            <w:col w:w="11420"/>
          </w:cols>
          <w:pgMar w:left="240" w:top="341" w:right="239" w:bottom="1440" w:gutter="0" w:footer="0" w:header="0"/>
          <w:type w:val="continuous"/>
        </w:sectPr>
      </w:pPr>
    </w:p>
    <w:p>
      <w:pPr>
        <w:spacing w:after="0" w:line="181"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2"/>
          <w:szCs w:val="22"/>
          <w:b w:val="1"/>
          <w:bCs w:val="1"/>
          <w:color w:val="auto"/>
        </w:rPr>
        <w:t xml:space="preserve">(ix) </w:t>
      </w:r>
      <w:r>
        <w:rPr>
          <w:rFonts w:ascii="Arial" w:cs="Arial" w:eastAsia="Arial" w:hAnsi="Arial"/>
          <w:sz w:val="18"/>
          <w:szCs w:val="18"/>
          <w:color w:val="auto"/>
        </w:rPr>
        <w:t>Generally, to exercise such powers and to perform such acts as</w:t>
      </w:r>
      <w:r>
        <w:rPr>
          <w:rFonts w:ascii="Arial" w:cs="Arial" w:eastAsia="Arial" w:hAnsi="Arial"/>
          <w:sz w:val="22"/>
          <w:szCs w:val="22"/>
          <w:b w:val="1"/>
          <w:bCs w:val="1"/>
          <w:color w:val="auto"/>
        </w:rPr>
        <w:t xml:space="preserve"> </w:t>
      </w:r>
      <w:r>
        <w:rPr>
          <w:rFonts w:ascii="Arial" w:cs="Arial" w:eastAsia="Arial" w:hAnsi="Arial"/>
          <w:sz w:val="18"/>
          <w:szCs w:val="18"/>
          <w:color w:val="auto"/>
        </w:rPr>
        <w:t>expedient to promote the best interests of the Company and that are not in conflict with the provisions of the Plan or Awards.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Board deems necessary or</w:t>
      </w:r>
    </w:p>
    <w:p>
      <w:pPr>
        <w:spacing w:after="0" w:line="439" w:lineRule="exact"/>
        <w:rPr>
          <w:sz w:val="20"/>
          <w:szCs w:val="20"/>
          <w:color w:val="auto"/>
        </w:rPr>
      </w:pPr>
    </w:p>
    <w:p>
      <w:pPr>
        <w:sectPr>
          <w:pgSz w:w="11900" w:h="16838" w:orient="portrait"/>
          <w:cols w:equalWidth="0" w:num="2">
            <w:col w:w="9000" w:space="80"/>
            <w:col w:w="2340"/>
          </w:cols>
          <w:pgMar w:left="240" w:top="341" w:right="239" w:bottom="1440" w:gutter="0" w:footer="0" w:header="0"/>
          <w:type w:val="continuous"/>
        </w:sectPr>
      </w:pPr>
    </w:p>
    <w:p>
      <w:pPr>
        <w:ind w:left="1760"/>
        <w:spacing w:after="0"/>
        <w:tabs>
          <w:tab w:leader="none" w:pos="3940" w:val="left"/>
        </w:tabs>
        <w:rPr>
          <w:sz w:val="20"/>
          <w:szCs w:val="20"/>
          <w:color w:val="auto"/>
        </w:rPr>
      </w:pPr>
      <w:r>
        <w:rPr>
          <w:rFonts w:ascii="Arial" w:cs="Arial" w:eastAsia="Arial" w:hAnsi="Arial"/>
          <w:sz w:val="19"/>
          <w:szCs w:val="19"/>
          <w:b w:val="1"/>
          <w:bCs w:val="1"/>
          <w:color w:val="auto"/>
        </w:rPr>
        <w:t>(x)</w:t>
      </w:r>
      <w:r>
        <w:rPr>
          <w:sz w:val="20"/>
          <w:szCs w:val="20"/>
          <w:color w:val="auto"/>
        </w:rPr>
        <w:tab/>
      </w:r>
      <w:r>
        <w:rPr>
          <w:rFonts w:ascii="Arial" w:cs="Arial" w:eastAsia="Arial" w:hAnsi="Arial"/>
          <w:sz w:val="16"/>
          <w:szCs w:val="16"/>
          <w:color w:val="auto"/>
        </w:rPr>
        <w:t>To adopt such procedures and sub-plans as are necessary or appropriate to permit participation in the</w:t>
      </w:r>
    </w:p>
    <w:p>
      <w:pPr>
        <w:sectPr>
          <w:pgSz w:w="11900" w:h="16838" w:orient="portrait"/>
          <w:cols w:equalWidth="0" w:num="1">
            <w:col w:w="11420"/>
          </w:cols>
          <w:pgMar w:left="240" w:top="341" w:right="2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Plan by Employees, Directors or Consultants who are foreign nationals or employed outside the</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United States (provided that Board approval will not be necessary for immaterial modifications to the Plan or any Award Agreement that are required for compliance with the laws of the relevant foreign jurisdiction).</w:t>
      </w:r>
    </w:p>
    <w:p>
      <w:pPr>
        <w:spacing w:after="0" w:line="175" w:lineRule="exact"/>
        <w:rPr>
          <w:sz w:val="20"/>
          <w:szCs w:val="20"/>
          <w:color w:val="auto"/>
        </w:rPr>
      </w:pPr>
    </w:p>
    <w:p>
      <w:pPr>
        <w:ind w:left="2420" w:hanging="1535"/>
        <w:spacing w:after="0"/>
        <w:tabs>
          <w:tab w:leader="none" w:pos="2420" w:val="left"/>
        </w:tabs>
        <w:numPr>
          <w:ilvl w:val="0"/>
          <w:numId w:val="11"/>
        </w:numPr>
        <w:rPr>
          <w:rFonts w:ascii="Arial" w:cs="Arial" w:eastAsia="Arial" w:hAnsi="Arial"/>
          <w:sz w:val="22"/>
          <w:szCs w:val="22"/>
          <w:b w:val="1"/>
          <w:bCs w:val="1"/>
          <w:color w:val="auto"/>
        </w:rPr>
      </w:pPr>
      <w:r>
        <w:rPr>
          <w:rFonts w:ascii="Arial" w:cs="Arial" w:eastAsia="Arial" w:hAnsi="Arial"/>
          <w:sz w:val="18"/>
          <w:szCs w:val="18"/>
          <w:b w:val="1"/>
          <w:bCs w:val="1"/>
          <w:color w:val="auto"/>
        </w:rPr>
        <w:t>Delegation to Committee.</w:t>
      </w:r>
    </w:p>
    <w:p>
      <w:pPr>
        <w:spacing w:after="0" w:line="189" w:lineRule="exact"/>
        <w:rPr>
          <w:sz w:val="20"/>
          <w:szCs w:val="20"/>
          <w:color w:val="auto"/>
        </w:rPr>
      </w:pPr>
    </w:p>
    <w:p>
      <w:pPr>
        <w:jc w:val="both"/>
        <w:ind w:firstLine="1755"/>
        <w:spacing w:after="0" w:line="253"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18"/>
          <w:szCs w:val="18"/>
          <w:b w:val="1"/>
          <w:bCs w:val="1"/>
          <w:color w:val="auto"/>
        </w:rPr>
        <w:t>General.</w:t>
      </w:r>
      <w:r>
        <w:rPr>
          <w:rFonts w:ascii="Arial" w:cs="Arial" w:eastAsia="Arial" w:hAnsi="Arial"/>
          <w:sz w:val="22"/>
          <w:szCs w:val="22"/>
          <w:b w:val="1"/>
          <w:bCs w:val="1"/>
          <w:color w:val="auto"/>
        </w:rPr>
        <w:t xml:space="preserve"> </w:t>
      </w:r>
      <w:r>
        <w:rPr>
          <w:rFonts w:ascii="Arial" w:cs="Arial" w:eastAsia="Arial" w:hAnsi="Arial"/>
          <w:sz w:val="18"/>
          <w:szCs w:val="18"/>
          <w:color w:val="auto"/>
        </w:rPr>
        <w:t>The Board may delegate some or all of the administration of the Plan to a Committee or</w:t>
      </w:r>
      <w:r>
        <w:rPr>
          <w:rFonts w:ascii="Arial" w:cs="Arial" w:eastAsia="Arial" w:hAnsi="Arial"/>
          <w:sz w:val="22"/>
          <w:szCs w:val="22"/>
          <w:b w:val="1"/>
          <w:bCs w:val="1"/>
          <w:color w:val="auto"/>
        </w:rPr>
        <w:t xml:space="preserve"> </w:t>
      </w:r>
      <w:r>
        <w:rPr>
          <w:rFonts w:ascii="Arial" w:cs="Arial" w:eastAsia="Arial" w:hAnsi="Arial"/>
          <w:sz w:val="18"/>
          <w:szCs w:val="18"/>
          <w:color w:val="auto"/>
        </w:rPr>
        <w:t>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the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78"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18"/>
          <w:szCs w:val="18"/>
          <w:b w:val="1"/>
          <w:bCs w:val="1"/>
          <w:color w:val="auto"/>
        </w:rPr>
        <w:t>Section 162(m) and Rule 16b-3 Compliance.</w:t>
      </w:r>
      <w:r>
        <w:rPr>
          <w:rFonts w:ascii="Arial" w:cs="Arial" w:eastAsia="Arial" w:hAnsi="Arial"/>
          <w:sz w:val="22"/>
          <w:szCs w:val="22"/>
          <w:b w:val="1"/>
          <w:bCs w:val="1"/>
          <w:color w:val="auto"/>
        </w:rPr>
        <w:t xml:space="preserve"> </w:t>
      </w:r>
      <w:r>
        <w:rPr>
          <w:rFonts w:ascii="Arial" w:cs="Arial" w:eastAsia="Arial" w:hAnsi="Arial"/>
          <w:sz w:val="18"/>
          <w:szCs w:val="18"/>
          <w:color w:val="auto"/>
        </w:rPr>
        <w:t>The Committee may consist solely of two (2) or more</w:t>
      </w:r>
      <w:r>
        <w:rPr>
          <w:rFonts w:ascii="Arial" w:cs="Arial" w:eastAsia="Arial" w:hAnsi="Arial"/>
          <w:sz w:val="22"/>
          <w:szCs w:val="22"/>
          <w:b w:val="1"/>
          <w:bCs w:val="1"/>
          <w:color w:val="auto"/>
        </w:rPr>
        <w:t xml:space="preserve"> </w:t>
      </w:r>
      <w:r>
        <w:rPr>
          <w:rFonts w:ascii="Arial" w:cs="Arial" w:eastAsia="Arial" w:hAnsi="Arial"/>
          <w:sz w:val="18"/>
          <w:szCs w:val="18"/>
          <w:color w:val="auto"/>
        </w:rPr>
        <w:t>Outside Directors, in accordance with Section 162(m) of the Code, or solely of two (2) or more Non-Employee Directors, in accordance with Rule 16b-3.</w:t>
      </w:r>
    </w:p>
    <w:p>
      <w:pPr>
        <w:spacing w:after="0" w:line="194" w:lineRule="exact"/>
        <w:rPr>
          <w:sz w:val="20"/>
          <w:szCs w:val="20"/>
          <w:color w:val="auto"/>
        </w:rPr>
      </w:pPr>
    </w:p>
    <w:p>
      <w:pPr>
        <w:jc w:val="both"/>
        <w:ind w:firstLine="885"/>
        <w:spacing w:after="0" w:line="263" w:lineRule="auto"/>
        <w:tabs>
          <w:tab w:leader="none" w:pos="2438" w:val="left"/>
        </w:tabs>
        <w:numPr>
          <w:ilvl w:val="1"/>
          <w:numId w:val="12"/>
        </w:numPr>
        <w:rPr>
          <w:rFonts w:ascii="Arial" w:cs="Arial" w:eastAsia="Arial" w:hAnsi="Arial"/>
          <w:sz w:val="21"/>
          <w:szCs w:val="21"/>
          <w:b w:val="1"/>
          <w:bCs w:val="1"/>
          <w:color w:val="auto"/>
        </w:rPr>
      </w:pPr>
      <w:r>
        <w:rPr>
          <w:rFonts w:ascii="Arial" w:cs="Arial" w:eastAsia="Arial" w:hAnsi="Arial"/>
          <w:sz w:val="17"/>
          <w:szCs w:val="17"/>
          <w:b w:val="1"/>
          <w:bCs w:val="1"/>
          <w:color w:val="auto"/>
        </w:rPr>
        <w:t>Delegation to an Officer</w:t>
      </w:r>
      <w:r>
        <w:rPr>
          <w:rFonts w:ascii="Arial" w:cs="Arial" w:eastAsia="Arial" w:hAnsi="Arial"/>
          <w:sz w:val="17"/>
          <w:szCs w:val="17"/>
          <w:color w:val="auto"/>
        </w:rPr>
        <w:t>. The Board may delegate to one (1) or more Officers the authority to do one or both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following (i) designate Employees who are not Officers to be recipients of Options and SARs (and, to the extent permitted by applicable law, other Stock Awards) and, to the extent permitted by applicable law, the terms of such Awards, and (ii) determine the number of shares of Common Stock to be subject to such Stock Awards granted to such Employees;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13(w)(iii) below.</w:t>
      </w:r>
    </w:p>
    <w:p>
      <w:pPr>
        <w:spacing w:after="0" w:line="207" w:lineRule="exact"/>
        <w:rPr>
          <w:rFonts w:ascii="Arial" w:cs="Arial" w:eastAsia="Arial" w:hAnsi="Arial"/>
          <w:sz w:val="21"/>
          <w:szCs w:val="21"/>
          <w:b w:val="1"/>
          <w:bCs w:val="1"/>
          <w:color w:val="auto"/>
        </w:rPr>
      </w:pPr>
    </w:p>
    <w:p>
      <w:pPr>
        <w:ind w:firstLine="885"/>
        <w:spacing w:after="0" w:line="235" w:lineRule="auto"/>
        <w:tabs>
          <w:tab w:leader="none" w:pos="2414" w:val="left"/>
        </w:tabs>
        <w:numPr>
          <w:ilvl w:val="1"/>
          <w:numId w:val="12"/>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in good faith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subject to review by any person and will be final, binding and conclusive on all persons.</w:t>
      </w:r>
    </w:p>
    <w:p>
      <w:pPr>
        <w:spacing w:after="0" w:line="224" w:lineRule="exact"/>
        <w:rPr>
          <w:rFonts w:ascii="Arial" w:cs="Arial" w:eastAsia="Arial" w:hAnsi="Arial"/>
          <w:sz w:val="22"/>
          <w:szCs w:val="22"/>
          <w:b w:val="1"/>
          <w:bCs w:val="1"/>
          <w:color w:val="auto"/>
        </w:rPr>
      </w:pPr>
    </w:p>
    <w:p>
      <w:pPr>
        <w:jc w:val="both"/>
        <w:ind w:firstLine="885"/>
        <w:spacing w:after="0" w:line="260" w:lineRule="auto"/>
        <w:tabs>
          <w:tab w:leader="none" w:pos="2390" w:val="left"/>
        </w:tabs>
        <w:numPr>
          <w:ilvl w:val="1"/>
          <w:numId w:val="12"/>
        </w:numPr>
        <w:rPr>
          <w:rFonts w:ascii="Arial" w:cs="Arial" w:eastAsia="Arial" w:hAnsi="Arial"/>
          <w:sz w:val="21"/>
          <w:szCs w:val="21"/>
          <w:b w:val="1"/>
          <w:bCs w:val="1"/>
          <w:color w:val="auto"/>
        </w:rPr>
      </w:pPr>
      <w:r>
        <w:rPr>
          <w:rFonts w:ascii="Arial" w:cs="Arial" w:eastAsia="Arial" w:hAnsi="Arial"/>
          <w:sz w:val="17"/>
          <w:szCs w:val="17"/>
          <w:b w:val="1"/>
          <w:bCs w:val="1"/>
          <w:color w:val="auto"/>
        </w:rPr>
        <w:t>Cancellation and Re-Grant of Stock Awards</w:t>
      </w:r>
      <w:r>
        <w:rPr>
          <w:rFonts w:ascii="Arial" w:cs="Arial" w:eastAsia="Arial" w:hAnsi="Arial"/>
          <w:sz w:val="17"/>
          <w:szCs w:val="17"/>
          <w:color w:val="auto"/>
        </w:rPr>
        <w:t>. Neither the Board nor any Committee will have the authority to: (i) reduce</w:t>
      </w:r>
      <w:r>
        <w:rPr>
          <w:rFonts w:ascii="Arial" w:cs="Arial" w:eastAsia="Arial" w:hAnsi="Arial"/>
          <w:sz w:val="17"/>
          <w:szCs w:val="17"/>
          <w:b w:val="1"/>
          <w:bCs w:val="1"/>
          <w:color w:val="auto"/>
        </w:rPr>
        <w:t xml:space="preserve"> </w:t>
      </w:r>
      <w:r>
        <w:rPr>
          <w:rFonts w:ascii="Arial" w:cs="Arial" w:eastAsia="Arial" w:hAnsi="Arial"/>
          <w:sz w:val="17"/>
          <w:szCs w:val="17"/>
          <w:color w:val="auto"/>
        </w:rPr>
        <w:t>the exercise, purchase or strike price of any outstanding Option or SAR under the Plan, or (ii) cancel any outstanding Option or SAR that has an exercise price or strike price greater than the current Fair Market Value of the Common Stock in exchange for cash or other Stock Awards under the Plan, unless the stockholders of the Company have approved such an action within twelve (12) months prior to such an event.</w:t>
      </w:r>
    </w:p>
    <w:p>
      <w:pPr>
        <w:spacing w:after="0" w:line="191" w:lineRule="exact"/>
        <w:rPr>
          <w:rFonts w:ascii="Arial" w:cs="Arial" w:eastAsia="Arial" w:hAnsi="Arial"/>
          <w:sz w:val="21"/>
          <w:szCs w:val="21"/>
          <w:b w:val="1"/>
          <w:bCs w:val="1"/>
          <w:color w:val="auto"/>
        </w:rPr>
      </w:pPr>
    </w:p>
    <w:p>
      <w:pPr>
        <w:ind w:left="820" w:hanging="812"/>
        <w:spacing w:after="0"/>
        <w:tabs>
          <w:tab w:leader="none" w:pos="820" w:val="left"/>
        </w:tabs>
        <w:numPr>
          <w:ilvl w:val="0"/>
          <w:numId w:val="13"/>
        </w:numPr>
        <w:rPr>
          <w:rFonts w:ascii="Arial" w:cs="Arial" w:eastAsia="Arial" w:hAnsi="Arial"/>
          <w:sz w:val="22"/>
          <w:szCs w:val="22"/>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06" w:lineRule="exact"/>
        <w:rPr>
          <w:rFonts w:ascii="Arial" w:cs="Arial" w:eastAsia="Arial" w:hAnsi="Arial"/>
          <w:sz w:val="22"/>
          <w:szCs w:val="22"/>
          <w:b w:val="1"/>
          <w:bCs w:val="1"/>
          <w:color w:val="auto"/>
        </w:rPr>
      </w:pPr>
    </w:p>
    <w:p>
      <w:pPr>
        <w:ind w:left="2440" w:hanging="1555"/>
        <w:spacing w:after="0"/>
        <w:tabs>
          <w:tab w:leader="none" w:pos="2440" w:val="left"/>
        </w:tabs>
        <w:numPr>
          <w:ilvl w:val="1"/>
          <w:numId w:val="13"/>
        </w:numPr>
        <w:rPr>
          <w:rFonts w:ascii="Arial" w:cs="Arial" w:eastAsia="Arial" w:hAnsi="Arial"/>
          <w:sz w:val="22"/>
          <w:szCs w:val="22"/>
          <w:b w:val="1"/>
          <w:bCs w:val="1"/>
          <w:color w:val="auto"/>
        </w:rPr>
      </w:pPr>
      <w:r>
        <w:rPr>
          <w:rFonts w:ascii="Arial" w:cs="Arial" w:eastAsia="Arial" w:hAnsi="Arial"/>
          <w:sz w:val="18"/>
          <w:szCs w:val="18"/>
          <w:b w:val="1"/>
          <w:bCs w:val="1"/>
          <w:color w:val="auto"/>
        </w:rPr>
        <w:t>Share Reserve.</w:t>
      </w:r>
    </w:p>
    <w:p>
      <w:pPr>
        <w:spacing w:after="0" w:line="189" w:lineRule="exact"/>
        <w:rPr>
          <w:sz w:val="20"/>
          <w:szCs w:val="20"/>
          <w:color w:val="auto"/>
        </w:rPr>
      </w:pPr>
    </w:p>
    <w:p>
      <w:pPr>
        <w:ind w:firstLine="1755"/>
        <w:spacing w:after="0" w:line="270"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18"/>
          <w:szCs w:val="18"/>
          <w:color w:val="auto"/>
        </w:rPr>
        <w:t>Subject to Section 9(a) relating to Capitalization Adjustments, the aggregate number of shares of</w:t>
      </w:r>
      <w:r>
        <w:rPr>
          <w:rFonts w:ascii="Arial" w:cs="Arial" w:eastAsia="Arial" w:hAnsi="Arial"/>
          <w:sz w:val="22"/>
          <w:szCs w:val="22"/>
          <w:b w:val="1"/>
          <w:bCs w:val="1"/>
          <w:color w:val="auto"/>
        </w:rPr>
        <w:t xml:space="preserve"> </w:t>
      </w:r>
      <w:r>
        <w:rPr>
          <w:rFonts w:ascii="Arial" w:cs="Arial" w:eastAsia="Arial" w:hAnsi="Arial"/>
          <w:sz w:val="18"/>
          <w:szCs w:val="18"/>
          <w:color w:val="auto"/>
        </w:rPr>
        <w:t>Common Stock that may be issued pursuant to Stock Awards from and after the Effective Date will not</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jc w:val="both"/>
        <w:ind w:right="20"/>
        <w:spacing w:after="0" w:line="286" w:lineRule="auto"/>
        <w:rPr>
          <w:sz w:val="20"/>
          <w:szCs w:val="20"/>
          <w:color w:val="auto"/>
        </w:rPr>
      </w:pPr>
      <w:r>
        <w:rPr>
          <w:rFonts w:ascii="Arial" w:cs="Arial" w:eastAsia="Arial" w:hAnsi="Arial"/>
          <w:sz w:val="18"/>
          <w:szCs w:val="18"/>
          <w:color w:val="auto"/>
        </w:rPr>
        <w:t>exceed (A) 3,700,000 shares</w:t>
      </w:r>
      <w:r>
        <w:rPr>
          <w:rFonts w:ascii="Arial" w:cs="Arial" w:eastAsia="Arial" w:hAnsi="Arial"/>
          <w:sz w:val="18"/>
          <w:szCs w:val="18"/>
          <w:b w:val="1"/>
          <w:bCs w:val="1"/>
          <w:color w:val="auto"/>
        </w:rPr>
        <w:t>1</w:t>
      </w:r>
      <w:r>
        <w:rPr>
          <w:rFonts w:ascii="Arial" w:cs="Arial" w:eastAsia="Arial" w:hAnsi="Arial"/>
          <w:sz w:val="18"/>
          <w:szCs w:val="18"/>
          <w:color w:val="auto"/>
        </w:rPr>
        <w:t>, plus (B) the Returning Shares, if any, which become available for grant under this Plan from time to time (such aggregate number of shares described in (A) and (B) above, the “</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w:t>
      </w:r>
    </w:p>
    <w:p>
      <w:pPr>
        <w:spacing w:after="0" w:line="149" w:lineRule="exact"/>
        <w:rPr>
          <w:sz w:val="20"/>
          <w:szCs w:val="20"/>
          <w:color w:val="auto"/>
        </w:rPr>
      </w:pPr>
    </w:p>
    <w:p>
      <w:pPr>
        <w:jc w:val="both"/>
        <w:ind w:firstLine="1755"/>
        <w:spacing w:after="0" w:line="254"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18"/>
          <w:szCs w:val="18"/>
          <w:color w:val="auto"/>
        </w:rPr>
        <w:t>For clarity, the Share Reserve in this Section 3(a) is a limitation on the number of shares of Common</w:t>
      </w:r>
      <w:r>
        <w:rPr>
          <w:rFonts w:ascii="Arial" w:cs="Arial" w:eastAsia="Arial" w:hAnsi="Arial"/>
          <w:sz w:val="22"/>
          <w:szCs w:val="22"/>
          <w:b w:val="1"/>
          <w:bCs w:val="1"/>
          <w:color w:val="auto"/>
        </w:rPr>
        <w:t xml:space="preserve"> </w:t>
      </w:r>
      <w:r>
        <w:rPr>
          <w:rFonts w:ascii="Arial" w:cs="Arial" w:eastAsia="Arial" w:hAnsi="Arial"/>
          <w:sz w:val="18"/>
          <w:szCs w:val="18"/>
          <w:color w:val="auto"/>
        </w:rPr>
        <w:t>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216" w:lineRule="exact"/>
        <w:rPr>
          <w:sz w:val="20"/>
          <w:szCs w:val="20"/>
          <w:color w:val="auto"/>
        </w:rPr>
      </w:pPr>
    </w:p>
    <w:p>
      <w:pPr>
        <w:jc w:val="both"/>
        <w:ind w:firstLine="885"/>
        <w:spacing w:after="0" w:line="283" w:lineRule="auto"/>
        <w:tabs>
          <w:tab w:leader="none" w:pos="2438" w:val="left"/>
        </w:tabs>
        <w:numPr>
          <w:ilvl w:val="0"/>
          <w:numId w:val="14"/>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Reversion of Shares to the Share Reserve. </w:t>
      </w:r>
      <w:r>
        <w:rPr>
          <w:rFonts w:ascii="Arial" w:cs="Arial" w:eastAsia="Arial" w:hAnsi="Arial"/>
          <w:sz w:val="16"/>
          <w:szCs w:val="16"/>
          <w:color w:val="auto"/>
        </w:rPr>
        <w:t>If a Stock Award or any portion thereof (i) expires or otherwise terminates</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all of the shares covered by such Stock Award having been issued or (ii) is settled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96" w:lineRule="exact"/>
        <w:rPr>
          <w:rFonts w:ascii="Arial" w:cs="Arial" w:eastAsia="Arial" w:hAnsi="Arial"/>
          <w:sz w:val="19"/>
          <w:szCs w:val="19"/>
          <w:b w:val="1"/>
          <w:bCs w:val="1"/>
          <w:color w:val="auto"/>
        </w:rPr>
      </w:pPr>
    </w:p>
    <w:p>
      <w:pPr>
        <w:jc w:val="both"/>
        <w:ind w:firstLine="885"/>
        <w:spacing w:after="0" w:line="239" w:lineRule="auto"/>
        <w:tabs>
          <w:tab w:leader="none" w:pos="2414" w:val="left"/>
        </w:tabs>
        <w:numPr>
          <w:ilvl w:val="0"/>
          <w:numId w:val="1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Incentive Stock Option Limit. </w:t>
      </w:r>
      <w:r>
        <w:rPr>
          <w:rFonts w:ascii="Arial" w:cs="Arial" w:eastAsia="Arial" w:hAnsi="Arial"/>
          <w:sz w:val="18"/>
          <w:szCs w:val="18"/>
          <w:color w:val="auto"/>
        </w:rPr>
        <w:t>Subject to the Share Reserve and Section 9(a) relating to Capitalization Adjustments,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maximum number of shares of Common Stock that may be issued pursuant to the exercise of Incentive Stock Options will be 4,000,000 shares of Common Stock.</w:t>
      </w:r>
    </w:p>
    <w:p>
      <w:pPr>
        <w:spacing w:after="0" w:line="227" w:lineRule="exact"/>
        <w:rPr>
          <w:rFonts w:ascii="Arial" w:cs="Arial" w:eastAsia="Arial" w:hAnsi="Arial"/>
          <w:sz w:val="22"/>
          <w:szCs w:val="22"/>
          <w:b w:val="1"/>
          <w:bCs w:val="1"/>
          <w:color w:val="auto"/>
        </w:rPr>
      </w:pPr>
    </w:p>
    <w:p>
      <w:pPr>
        <w:ind w:firstLine="885"/>
        <w:spacing w:after="0" w:line="256" w:lineRule="auto"/>
        <w:tabs>
          <w:tab w:leader="none" w:pos="2438" w:val="left"/>
        </w:tabs>
        <w:numPr>
          <w:ilvl w:val="0"/>
          <w:numId w:val="14"/>
        </w:numPr>
        <w:rPr>
          <w:rFonts w:ascii="Arial" w:cs="Arial" w:eastAsia="Arial" w:hAnsi="Arial"/>
          <w:sz w:val="21"/>
          <w:szCs w:val="21"/>
          <w:b w:val="1"/>
          <w:bCs w:val="1"/>
          <w:color w:val="auto"/>
        </w:rPr>
      </w:pPr>
      <w:r>
        <w:rPr>
          <w:rFonts w:ascii="Arial" w:cs="Arial" w:eastAsia="Arial" w:hAnsi="Arial"/>
          <w:sz w:val="17"/>
          <w:szCs w:val="17"/>
          <w:b w:val="1"/>
          <w:bCs w:val="1"/>
          <w:color w:val="auto"/>
        </w:rPr>
        <w:t>Section 162(m) Limitations</w:t>
      </w:r>
      <w:r>
        <w:rPr>
          <w:rFonts w:ascii="Arial" w:cs="Arial" w:eastAsia="Arial" w:hAnsi="Arial"/>
          <w:sz w:val="17"/>
          <w:szCs w:val="17"/>
          <w:color w:val="auto"/>
        </w:rPr>
        <w:t>. Subject to the Share Reserve and Section 9(a) relating to Capitalization Adjustments, at such</w:t>
      </w:r>
      <w:r>
        <w:rPr>
          <w:rFonts w:ascii="Arial" w:cs="Arial" w:eastAsia="Arial" w:hAnsi="Arial"/>
          <w:sz w:val="17"/>
          <w:szCs w:val="17"/>
          <w:b w:val="1"/>
          <w:bCs w:val="1"/>
          <w:color w:val="auto"/>
        </w:rPr>
        <w:t xml:space="preserve"> </w:t>
      </w:r>
      <w:r>
        <w:rPr>
          <w:rFonts w:ascii="Arial" w:cs="Arial" w:eastAsia="Arial" w:hAnsi="Arial"/>
          <w:sz w:val="17"/>
          <w:szCs w:val="17"/>
          <w:color w:val="auto"/>
        </w:rPr>
        <w:t>time as the Company may be subject to the applicable provisions of Section 162(m) of the Code, the following limitations shall apply.</w:t>
      </w:r>
    </w:p>
    <w:p>
      <w:pPr>
        <w:spacing w:after="0" w:line="173"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1"/>
          <w:szCs w:val="21"/>
          <w:b w:val="1"/>
          <w:bCs w:val="1"/>
          <w:color w:val="auto"/>
        </w:rPr>
        <w:t xml:space="preserve">(i) </w:t>
      </w:r>
      <w:r>
        <w:rPr>
          <w:rFonts w:ascii="Arial" w:cs="Arial" w:eastAsia="Arial" w:hAnsi="Arial"/>
          <w:sz w:val="17"/>
          <w:szCs w:val="17"/>
          <w:color w:val="auto"/>
        </w:rPr>
        <w:t>A maximum of 200,000 shares of Common Stock subject to Options, SARs and Other Stock Awards</w:t>
      </w:r>
      <w:r>
        <w:rPr>
          <w:rFonts w:ascii="Arial" w:cs="Arial" w:eastAsia="Arial" w:hAnsi="Arial"/>
          <w:sz w:val="21"/>
          <w:szCs w:val="21"/>
          <w:b w:val="1"/>
          <w:bCs w:val="1"/>
          <w:color w:val="auto"/>
        </w:rPr>
        <w:t xml:space="preserve"> </w:t>
      </w:r>
      <w:r>
        <w:rPr>
          <w:rFonts w:ascii="Arial" w:cs="Arial" w:eastAsia="Arial" w:hAnsi="Arial"/>
          <w:sz w:val="17"/>
          <w:szCs w:val="17"/>
          <w:color w:val="auto"/>
        </w:rPr>
        <w:t>whose value is determined by reference to an increase over an exercise or strike price of at least one hundred percent (100%) of the Fair Market Value on the date any such Stock Award is granted may be granted to any Participant during any calendar year. Notwithstanding the foregoing, if any additional Options, SARs or Other Stock Awards whose value is determined by reference to an increase over an exercise or strike price of at least one hundred percent (100%) of the Fair Market Value on the date the Stock Award are granted to any Participant during any calendar year, compensation attributable to the exercise of such additional Stock Awards will not satisfy the requirements to be considered “qualified performance-based compensation” under Section 162(m) of the Code unless such additional Stock Award is approved by the Company’s stockholders.</w:t>
      </w:r>
    </w:p>
    <w:p>
      <w:pPr>
        <w:spacing w:after="0" w:line="165"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18"/>
          <w:szCs w:val="18"/>
          <w:color w:val="auto"/>
        </w:rPr>
        <w:t>A maximum of 200,000 shares of Common Stock subject to Performance Stock Awards may be</w:t>
      </w:r>
      <w:r>
        <w:rPr>
          <w:rFonts w:ascii="Arial" w:cs="Arial" w:eastAsia="Arial" w:hAnsi="Arial"/>
          <w:sz w:val="22"/>
          <w:szCs w:val="22"/>
          <w:b w:val="1"/>
          <w:bCs w:val="1"/>
          <w:color w:val="auto"/>
        </w:rPr>
        <w:t xml:space="preserve"> </w:t>
      </w:r>
      <w:r>
        <w:rPr>
          <w:rFonts w:ascii="Arial" w:cs="Arial" w:eastAsia="Arial" w:hAnsi="Arial"/>
          <w:sz w:val="18"/>
          <w:szCs w:val="18"/>
          <w:color w:val="auto"/>
        </w:rPr>
        <w:t>granted to any one Participant during any one calendar year (whether the grant, vesting or exercise is contingent upon the attainment during the Performance Period of the Performance Goals).</w:t>
      </w:r>
    </w:p>
    <w:p>
      <w:pPr>
        <w:sectPr>
          <w:pgSz w:w="11900" w:h="16838" w:orient="portrait"/>
          <w:cols w:equalWidth="0" w:num="1">
            <w:col w:w="11420"/>
          </w:cols>
          <w:pgMar w:left="240" w:top="334" w:right="239" w:bottom="1440" w:gutter="0" w:footer="0" w:header="0"/>
        </w:sectPr>
      </w:pPr>
    </w:p>
    <w:p>
      <w:pPr>
        <w:spacing w:after="0" w:line="174" w:lineRule="exact"/>
        <w:rPr>
          <w:sz w:val="20"/>
          <w:szCs w:val="20"/>
          <w:color w:val="auto"/>
        </w:rPr>
      </w:pPr>
    </w:p>
    <w:p>
      <w:pPr>
        <w:jc w:val="center"/>
        <w:ind w:left="520"/>
        <w:spacing w:after="0"/>
        <w:rPr>
          <w:sz w:val="20"/>
          <w:szCs w:val="20"/>
          <w:color w:val="auto"/>
        </w:rPr>
      </w:pPr>
      <w:r>
        <w:rPr>
          <w:rFonts w:ascii="Arial" w:cs="Arial" w:eastAsia="Arial" w:hAnsi="Arial"/>
          <w:sz w:val="21"/>
          <w:szCs w:val="21"/>
          <w:b w:val="1"/>
          <w:bCs w:val="1"/>
          <w:color w:val="auto"/>
        </w:rPr>
        <w:t>(iii)</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A maximum of $300,000 may be granted as a Performance Cash Award to any one Participant during</w:t>
      </w:r>
    </w:p>
    <w:p>
      <w:pPr>
        <w:spacing w:after="0" w:line="56" w:lineRule="exact"/>
        <w:rPr>
          <w:sz w:val="20"/>
          <w:szCs w:val="20"/>
          <w:color w:val="auto"/>
        </w:rPr>
      </w:pPr>
    </w:p>
    <w:p>
      <w:pPr>
        <w:sectPr>
          <w:pgSz w:w="11900" w:h="16838" w:orient="portrait"/>
          <w:cols w:equalWidth="0" w:num="2">
            <w:col w:w="3320" w:space="720"/>
            <w:col w:w="7380"/>
          </w:cols>
          <w:pgMar w:left="240" w:top="334" w:right="239" w:bottom="1440" w:gutter="0" w:footer="0" w:header="0"/>
          <w:type w:val="continuous"/>
        </w:sectPr>
      </w:pPr>
    </w:p>
    <w:p>
      <w:pPr>
        <w:spacing w:after="0"/>
        <w:rPr>
          <w:sz w:val="20"/>
          <w:szCs w:val="20"/>
          <w:color w:val="auto"/>
        </w:rPr>
      </w:pPr>
      <w:r>
        <w:rPr>
          <w:rFonts w:ascii="Arial" w:cs="Arial" w:eastAsia="Arial" w:hAnsi="Arial"/>
          <w:sz w:val="15"/>
          <w:szCs w:val="15"/>
          <w:color w:val="auto"/>
        </w:rPr>
        <w:t>any one calendar year.</w:t>
      </w:r>
    </w:p>
    <w:p>
      <w:pPr>
        <w:sectPr>
          <w:pgSz w:w="11900" w:h="16838" w:orient="portrait"/>
          <w:cols w:equalWidth="0" w:num="1">
            <w:col w:w="11420"/>
          </w:cols>
          <w:pgMar w:left="240" w:top="334" w:right="239" w:bottom="1440" w:gutter="0" w:footer="0" w:header="0"/>
          <w:type w:val="continuous"/>
        </w:sectPr>
      </w:pPr>
    </w:p>
    <w:p>
      <w:pPr>
        <w:spacing w:after="0" w:line="258" w:lineRule="exact"/>
        <w:rPr>
          <w:sz w:val="20"/>
          <w:szCs w:val="20"/>
          <w:color w:val="auto"/>
        </w:rPr>
      </w:pPr>
    </w:p>
    <w:p>
      <w:pPr>
        <w:ind w:right="20" w:firstLine="885"/>
        <w:spacing w:after="0" w:line="235" w:lineRule="auto"/>
        <w:tabs>
          <w:tab w:leader="none" w:pos="2414" w:val="left"/>
        </w:tabs>
        <w:numPr>
          <w:ilvl w:val="1"/>
          <w:numId w:val="15"/>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including shares repurchased by the Company on the open market or otherwise.</w:t>
      </w:r>
    </w:p>
    <w:p>
      <w:pPr>
        <w:spacing w:after="0" w:line="361" w:lineRule="exact"/>
        <w:rPr>
          <w:rFonts w:ascii="Arial" w:cs="Arial" w:eastAsia="Arial" w:hAnsi="Arial"/>
          <w:sz w:val="22"/>
          <w:szCs w:val="22"/>
          <w:b w:val="1"/>
          <w:bCs w:val="1"/>
          <w:color w:val="auto"/>
        </w:rPr>
      </w:pPr>
    </w:p>
    <w:p>
      <w:pPr>
        <w:ind w:left="140" w:hanging="135"/>
        <w:spacing w:after="0" w:line="287" w:lineRule="auto"/>
        <w:rPr>
          <w:rFonts w:ascii="Arial" w:cs="Arial" w:eastAsia="Arial" w:hAnsi="Arial"/>
          <w:sz w:val="22"/>
          <w:szCs w:val="22"/>
          <w:b w:val="1"/>
          <w:bCs w:val="1"/>
          <w:color w:val="auto"/>
        </w:rPr>
      </w:pPr>
      <w:r>
        <w:rPr>
          <w:rFonts w:ascii="Arial" w:cs="Arial" w:eastAsia="Arial" w:hAnsi="Arial"/>
          <w:sz w:val="17"/>
          <w:szCs w:val="17"/>
          <w:color w:val="auto"/>
        </w:rPr>
        <w:t xml:space="preserve">1 </w:t>
      </w:r>
      <w:r>
        <w:rPr>
          <w:rFonts w:ascii="Arial" w:cs="Arial" w:eastAsia="Arial" w:hAnsi="Arial"/>
          <w:sz w:val="19"/>
          <w:szCs w:val="19"/>
          <w:color w:val="auto"/>
        </w:rPr>
        <w:t>Reflects the initial 2,500,000 shares of Common Stock initially reserved under the Plan when approved by the Board on April 21, 2013, plus</w:t>
      </w:r>
      <w:r>
        <w:rPr>
          <w:rFonts w:ascii="Arial" w:cs="Arial" w:eastAsia="Arial" w:hAnsi="Arial"/>
          <w:sz w:val="17"/>
          <w:szCs w:val="17"/>
          <w:color w:val="auto"/>
        </w:rPr>
        <w:t xml:space="preserve"> </w:t>
      </w:r>
      <w:r>
        <w:rPr>
          <w:rFonts w:ascii="Arial" w:cs="Arial" w:eastAsia="Arial" w:hAnsi="Arial"/>
          <w:sz w:val="19"/>
          <w:szCs w:val="19"/>
          <w:color w:val="auto"/>
        </w:rPr>
        <w:t>an additional 1,200,000 shares of Common Stock approved by the Board on April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14490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25" w:name="page26"/>
    <w:bookmarkEnd w:id="25"/>
    <w:p>
      <w:pPr>
        <w:ind w:left="820" w:hanging="812"/>
        <w:spacing w:after="0"/>
        <w:tabs>
          <w:tab w:leader="none" w:pos="820" w:val="left"/>
        </w:tabs>
        <w:numPr>
          <w:ilvl w:val="0"/>
          <w:numId w:val="16"/>
        </w:numPr>
        <w:rPr>
          <w:rFonts w:ascii="Arial" w:cs="Arial" w:eastAsia="Arial" w:hAnsi="Arial"/>
          <w:sz w:val="22"/>
          <w:szCs w:val="22"/>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LIGIBILITY</w:t>
      </w:r>
      <w:r>
        <w:rPr>
          <w:rFonts w:ascii="Arial" w:cs="Arial" w:eastAsia="Arial" w:hAnsi="Arial"/>
          <w:sz w:val="18"/>
          <w:szCs w:val="18"/>
          <w:b w:val="1"/>
          <w:bCs w:val="1"/>
          <w:color w:val="auto"/>
        </w:rPr>
        <w:t>.</w:t>
      </w:r>
    </w:p>
    <w:p>
      <w:pPr>
        <w:spacing w:after="0" w:line="224" w:lineRule="exact"/>
        <w:rPr>
          <w:rFonts w:ascii="Arial" w:cs="Arial" w:eastAsia="Arial" w:hAnsi="Arial"/>
          <w:sz w:val="22"/>
          <w:szCs w:val="22"/>
          <w:b w:val="1"/>
          <w:bCs w:val="1"/>
          <w:color w:val="auto"/>
        </w:rPr>
      </w:pPr>
    </w:p>
    <w:p>
      <w:pPr>
        <w:jc w:val="both"/>
        <w:ind w:firstLine="885"/>
        <w:spacing w:after="0" w:line="283" w:lineRule="auto"/>
        <w:tabs>
          <w:tab w:leader="none" w:pos="2426" w:val="left"/>
        </w:tabs>
        <w:numPr>
          <w:ilvl w:val="1"/>
          <w:numId w:val="16"/>
        </w:numPr>
        <w:rPr>
          <w:rFonts w:ascii="Arial" w:cs="Arial" w:eastAsia="Arial" w:hAnsi="Arial"/>
          <w:sz w:val="19"/>
          <w:szCs w:val="19"/>
          <w:b w:val="1"/>
          <w:bCs w:val="1"/>
          <w:color w:val="auto"/>
        </w:rPr>
      </w:pPr>
      <w:r>
        <w:rPr>
          <w:rFonts w:ascii="Arial" w:cs="Arial" w:eastAsia="Arial" w:hAnsi="Arial"/>
          <w:sz w:val="16"/>
          <w:szCs w:val="16"/>
          <w:b w:val="1"/>
          <w:bCs w:val="1"/>
          <w:color w:val="auto"/>
        </w:rPr>
        <w:t>Eligibility for Specific Stock Awards</w:t>
      </w:r>
      <w:r>
        <w:rPr>
          <w:rFonts w:ascii="Arial" w:cs="Arial" w:eastAsia="Arial" w:hAnsi="Arial"/>
          <w:sz w:val="16"/>
          <w:szCs w:val="16"/>
          <w:color w:val="auto"/>
        </w:rPr>
        <w:t>. Incentive Stock Options may be granted only to employees of the Company or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“parent corporation” or “subsidiary corporation” thereof (as such terms are defined in Sections 424(e) and 424(f) of the Code). Stock Awards other than Incentive Stock Options may be granted to Employees, Directors and Consultants;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or (ii) the Company, in consultation with its legal counsel, has determined that such Stock Awards are otherwise exempt from or alternatively comply with the distribution requirements of Section 409A of the Code.</w:t>
      </w:r>
    </w:p>
    <w:p>
      <w:pPr>
        <w:spacing w:after="0" w:line="196" w:lineRule="exact"/>
        <w:rPr>
          <w:rFonts w:ascii="Arial" w:cs="Arial" w:eastAsia="Arial" w:hAnsi="Arial"/>
          <w:sz w:val="19"/>
          <w:szCs w:val="19"/>
          <w:b w:val="1"/>
          <w:bCs w:val="1"/>
          <w:color w:val="auto"/>
        </w:rPr>
      </w:pPr>
    </w:p>
    <w:p>
      <w:pPr>
        <w:jc w:val="both"/>
        <w:ind w:firstLine="885"/>
        <w:spacing w:after="0" w:line="239" w:lineRule="auto"/>
        <w:tabs>
          <w:tab w:leader="none" w:pos="2438" w:val="left"/>
        </w:tabs>
        <w:numPr>
          <w:ilvl w:val="1"/>
          <w:numId w:val="16"/>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Ten Percent Stockholders. </w:t>
      </w:r>
      <w:r>
        <w:rPr>
          <w:rFonts w:ascii="Arial" w:cs="Arial" w:eastAsia="Arial" w:hAnsi="Arial"/>
          <w:sz w:val="18"/>
          <w:szCs w:val="18"/>
          <w:color w:val="auto"/>
        </w:rPr>
        <w:t>A Ten Percent Stockholder will not be granted an Incentive Stock Option unless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price of such Option is at least one hundred ten percent (110%) of the Fair Market Value on the date of grant and the Option is not exercisable after the expiration of five (5) years from the date of grant.</w:t>
      </w:r>
    </w:p>
    <w:p>
      <w:pPr>
        <w:spacing w:after="0" w:line="208" w:lineRule="exact"/>
        <w:rPr>
          <w:rFonts w:ascii="Arial" w:cs="Arial" w:eastAsia="Arial" w:hAnsi="Arial"/>
          <w:sz w:val="22"/>
          <w:szCs w:val="22"/>
          <w:b w:val="1"/>
          <w:bCs w:val="1"/>
          <w:color w:val="auto"/>
        </w:rPr>
      </w:pPr>
    </w:p>
    <w:p>
      <w:pPr>
        <w:ind w:left="820" w:hanging="812"/>
        <w:spacing w:after="0"/>
        <w:tabs>
          <w:tab w:leader="none" w:pos="820" w:val="left"/>
        </w:tabs>
        <w:numPr>
          <w:ilvl w:val="0"/>
          <w:numId w:val="16"/>
        </w:numPr>
        <w:rPr>
          <w:rFonts w:ascii="Arial" w:cs="Arial" w:eastAsia="Arial" w:hAnsi="Arial"/>
          <w:sz w:val="22"/>
          <w:szCs w:val="22"/>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w:t>
      </w:r>
    </w:p>
    <w:p>
      <w:pPr>
        <w:spacing w:after="0" w:line="202"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7"/>
          <w:szCs w:val="17"/>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Award Agreement will conform to (through incorporation of provisions hereof by reference in the applicable Award Agreement or otherwise) the substance of each of the following provisions:</w:t>
      </w:r>
    </w:p>
    <w:p>
      <w:pPr>
        <w:spacing w:after="0" w:line="201" w:lineRule="exact"/>
        <w:rPr>
          <w:sz w:val="20"/>
          <w:szCs w:val="20"/>
          <w:color w:val="auto"/>
        </w:rPr>
      </w:pPr>
    </w:p>
    <w:p>
      <w:pPr>
        <w:ind w:firstLine="885"/>
        <w:spacing w:after="0" w:line="235" w:lineRule="auto"/>
        <w:tabs>
          <w:tab w:leader="none" w:pos="2426" w:val="left"/>
        </w:tabs>
        <w:numPr>
          <w:ilvl w:val="0"/>
          <w:numId w:val="17"/>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the provisions of Section 4(b) regarding Ten Percent Stockholders, no Option or SAR will be exercisable</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expiration of ten (10) years from the date of its grant or such shorter period specified in the Award Agreement.</w:t>
      </w:r>
    </w:p>
    <w:p>
      <w:pPr>
        <w:spacing w:after="0" w:line="224" w:lineRule="exact"/>
        <w:rPr>
          <w:rFonts w:ascii="Arial" w:cs="Arial" w:eastAsia="Arial" w:hAnsi="Arial"/>
          <w:sz w:val="22"/>
          <w:szCs w:val="22"/>
          <w:b w:val="1"/>
          <w:bCs w:val="1"/>
          <w:color w:val="auto"/>
        </w:rPr>
      </w:pPr>
    </w:p>
    <w:p>
      <w:pPr>
        <w:jc w:val="both"/>
        <w:ind w:firstLine="885"/>
        <w:spacing w:after="0" w:line="262" w:lineRule="auto"/>
        <w:tabs>
          <w:tab w:leader="none" w:pos="2438" w:val="left"/>
        </w:tabs>
        <w:numPr>
          <w:ilvl w:val="0"/>
          <w:numId w:val="17"/>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Exercise Price. </w:t>
      </w:r>
      <w:r>
        <w:rPr>
          <w:rFonts w:ascii="Arial" w:cs="Arial" w:eastAsia="Arial" w:hAnsi="Arial"/>
          <w:sz w:val="17"/>
          <w:szCs w:val="17"/>
          <w:color w:val="auto"/>
        </w:rPr>
        <w:t>Subject to the provisions of Section 4(b) regarding Ten Percent Stockholders, the exercise or strike price of</w:t>
      </w:r>
      <w:r>
        <w:rPr>
          <w:rFonts w:ascii="Arial" w:cs="Arial" w:eastAsia="Arial" w:hAnsi="Arial"/>
          <w:sz w:val="17"/>
          <w:szCs w:val="17"/>
          <w:b w:val="1"/>
          <w:bCs w:val="1"/>
          <w:color w:val="auto"/>
        </w:rPr>
        <w:t xml:space="preserve"> </w:t>
      </w:r>
      <w:r>
        <w:rPr>
          <w:rFonts w:ascii="Arial" w:cs="Arial" w:eastAsia="Arial" w:hAnsi="Arial"/>
          <w:sz w:val="17"/>
          <w:szCs w:val="17"/>
          <w:color w:val="auto"/>
        </w:rPr>
        <w:t>each Option or SAR will be not less than one hundred percent (100%) of the Fair Market Value of the Common Stock subject to the Option or SAR on the date the Award is granted. Notwithstanding the foregoing, an Option or SAR may be granted with an exercise or strike price lower than one hundred percent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209" w:lineRule="exact"/>
        <w:rPr>
          <w:rFonts w:ascii="Arial" w:cs="Arial" w:eastAsia="Arial" w:hAnsi="Arial"/>
          <w:sz w:val="21"/>
          <w:szCs w:val="21"/>
          <w:b w:val="1"/>
          <w:bCs w:val="1"/>
          <w:color w:val="auto"/>
        </w:rPr>
      </w:pPr>
    </w:p>
    <w:p>
      <w:pPr>
        <w:jc w:val="both"/>
        <w:ind w:firstLine="885"/>
        <w:spacing w:after="0" w:line="244" w:lineRule="auto"/>
        <w:tabs>
          <w:tab w:leader="none" w:pos="2414" w:val="left"/>
        </w:tabs>
        <w:numPr>
          <w:ilvl w:val="0"/>
          <w:numId w:val="17"/>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Purchase Price for Options. </w:t>
      </w:r>
      <w:r>
        <w:rPr>
          <w:rFonts w:ascii="Arial" w:cs="Arial" w:eastAsia="Arial" w:hAnsi="Arial"/>
          <w:sz w:val="18"/>
          <w:szCs w:val="18"/>
          <w:color w:val="auto"/>
        </w:rPr>
        <w:t>The purchase price of Common Stock acquired pursuant to the exercise of an Option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paid, to the extent permitted by applicable law and as determined by the Board in its sole discretion, by any combination of the methods of payment set forth below. The Board will have the authority to grant Options that do not permit all of the following methods of payment (or that otherwise restrict the ability to use certain methods) and to grant Options that require the consent of the Company to use a particular method of payment. The permitted methods of payment are as follows:</w:t>
      </w:r>
    </w:p>
    <w:p>
      <w:pPr>
        <w:sectPr>
          <w:pgSz w:w="11900" w:h="16838" w:orient="portrait"/>
          <w:cols w:equalWidth="0" w:num="1">
            <w:col w:w="11420"/>
          </w:cols>
          <w:pgMar w:left="240" w:top="346" w:right="239" w:bottom="1440" w:gutter="0" w:footer="0" w:header="0"/>
        </w:sectPr>
      </w:pPr>
    </w:p>
    <w:p>
      <w:pPr>
        <w:spacing w:after="0" w:line="188" w:lineRule="exact"/>
        <w:rPr>
          <w:sz w:val="20"/>
          <w:szCs w:val="20"/>
          <w:color w:val="auto"/>
        </w:rPr>
      </w:pPr>
    </w:p>
    <w:p>
      <w:pPr>
        <w:jc w:val="center"/>
        <w:ind w:left="520"/>
        <w:spacing w:after="0"/>
        <w:rPr>
          <w:sz w:val="20"/>
          <w:szCs w:val="20"/>
          <w:color w:val="auto"/>
        </w:rPr>
      </w:pPr>
      <w:r>
        <w:rPr>
          <w:rFonts w:ascii="Arial" w:cs="Arial" w:eastAsia="Arial" w:hAnsi="Arial"/>
          <w:sz w:val="21"/>
          <w:szCs w:val="21"/>
          <w:b w:val="1"/>
          <w:bCs w:val="1"/>
          <w:color w:val="auto"/>
        </w:rPr>
        <w:t>(i)</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by cash, check, bank draft or money order payable to the Company;</w:t>
      </w:r>
    </w:p>
    <w:p>
      <w:pPr>
        <w:spacing w:after="0" w:line="217" w:lineRule="exact"/>
        <w:rPr>
          <w:sz w:val="20"/>
          <w:szCs w:val="20"/>
          <w:color w:val="auto"/>
        </w:rPr>
      </w:pPr>
    </w:p>
    <w:p>
      <w:pPr>
        <w:sectPr>
          <w:pgSz w:w="11900" w:h="16838" w:orient="portrait"/>
          <w:cols w:equalWidth="0" w:num="2">
            <w:col w:w="3200" w:space="720"/>
            <w:col w:w="7500"/>
          </w:cols>
          <w:pgMar w:left="240" w:top="346" w:right="239" w:bottom="1440" w:gutter="0" w:footer="0" w:header="0"/>
          <w:type w:val="continuous"/>
        </w:sectPr>
      </w:pPr>
    </w:p>
    <w:p>
      <w:pPr>
        <w:spacing w:after="0" w:line="18" w:lineRule="exact"/>
        <w:rPr>
          <w:sz w:val="20"/>
          <w:szCs w:val="20"/>
          <w:color w:val="auto"/>
        </w:rPr>
      </w:pPr>
    </w:p>
    <w:p>
      <w:pPr>
        <w:ind w:left="1760"/>
        <w:spacing w:after="0"/>
        <w:tabs>
          <w:tab w:leader="none" w:pos="3960" w:val="left"/>
        </w:tabs>
        <w:rPr>
          <w:sz w:val="20"/>
          <w:szCs w:val="20"/>
          <w:color w:val="auto"/>
        </w:rPr>
      </w:pPr>
      <w:r>
        <w:rPr>
          <w:rFonts w:ascii="Arial" w:cs="Arial" w:eastAsia="Arial" w:hAnsi="Arial"/>
          <w:sz w:val="19"/>
          <w:szCs w:val="19"/>
          <w:b w:val="1"/>
          <w:bCs w:val="1"/>
          <w:color w:val="auto"/>
        </w:rPr>
        <w:t>(ii)</w:t>
      </w:r>
      <w:r>
        <w:rPr>
          <w:sz w:val="20"/>
          <w:szCs w:val="20"/>
          <w:color w:val="auto"/>
        </w:rPr>
        <w:tab/>
      </w:r>
      <w:r>
        <w:rPr>
          <w:rFonts w:ascii="Arial" w:cs="Arial" w:eastAsia="Arial" w:hAnsi="Arial"/>
          <w:sz w:val="16"/>
          <w:szCs w:val="16"/>
          <w:color w:val="auto"/>
        </w:rPr>
        <w:t>pursuant to a program developed under Regulation T as promulgated by the Federal Reserve Board</w:t>
      </w:r>
    </w:p>
    <w:p>
      <w:pPr>
        <w:sectPr>
          <w:pgSz w:w="11900" w:h="16838" w:orient="portrait"/>
          <w:cols w:equalWidth="0" w:num="1">
            <w:col w:w="11420"/>
          </w:cols>
          <w:pgMar w:left="240" w:top="346" w:right="239" w:bottom="1440" w:gutter="0" w:footer="0" w:header="0"/>
          <w:type w:val="continuous"/>
        </w:sectPr>
      </w:pPr>
    </w:p>
    <w:p>
      <w:pPr>
        <w:spacing w:after="0" w:line="6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type w:val="continuous"/>
        </w:sectPr>
      </w:pPr>
    </w:p>
    <w:bookmarkStart w:id="26" w:name="page27"/>
    <w:bookmarkEnd w:id="26"/>
    <w:p>
      <w:pPr>
        <w:jc w:val="center"/>
        <w:ind w:left="520"/>
        <w:spacing w:after="0"/>
        <w:rPr>
          <w:sz w:val="20"/>
          <w:szCs w:val="20"/>
          <w:color w:val="auto"/>
        </w:rPr>
      </w:pPr>
      <w:r>
        <w:rPr>
          <w:rFonts w:ascii="Arial" w:cs="Arial" w:eastAsia="Arial" w:hAnsi="Arial"/>
          <w:sz w:val="21"/>
          <w:szCs w:val="21"/>
          <w:b w:val="1"/>
          <w:bCs w:val="1"/>
          <w:color w:val="auto"/>
        </w:rPr>
        <w:t>(iii)</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by delivery to the Company (either by actual delivery or attestation) of shares of Common Stock;</w:t>
      </w:r>
    </w:p>
    <w:p>
      <w:pPr>
        <w:spacing w:after="0" w:line="217" w:lineRule="exact"/>
        <w:rPr>
          <w:sz w:val="20"/>
          <w:szCs w:val="20"/>
          <w:color w:val="auto"/>
        </w:rPr>
      </w:pPr>
    </w:p>
    <w:p>
      <w:pPr>
        <w:sectPr>
          <w:pgSz w:w="11900" w:h="16838" w:orient="portrait"/>
          <w:cols w:equalWidth="0" w:num="2">
            <w:col w:w="3320" w:space="720"/>
            <w:col w:w="7380"/>
          </w:cols>
          <w:pgMar w:left="240" w:top="328" w:right="239" w:bottom="1440" w:gutter="0" w:footer="0" w:header="0"/>
        </w:sectPr>
      </w:pPr>
    </w:p>
    <w:p>
      <w:pPr>
        <w:spacing w:after="0" w:line="7" w:lineRule="exact"/>
        <w:rPr>
          <w:sz w:val="20"/>
          <w:szCs w:val="20"/>
          <w:color w:val="auto"/>
        </w:rPr>
      </w:pPr>
    </w:p>
    <w:p>
      <w:pPr>
        <w:ind w:left="1760"/>
        <w:spacing w:after="0"/>
        <w:tabs>
          <w:tab w:leader="none" w:pos="4000" w:val="left"/>
        </w:tabs>
        <w:rPr>
          <w:sz w:val="20"/>
          <w:szCs w:val="20"/>
          <w:color w:val="auto"/>
        </w:rPr>
      </w:pPr>
      <w:r>
        <w:rPr>
          <w:rFonts w:ascii="Arial" w:cs="Arial" w:eastAsia="Arial" w:hAnsi="Arial"/>
          <w:sz w:val="21"/>
          <w:szCs w:val="21"/>
          <w:b w:val="1"/>
          <w:bCs w:val="1"/>
          <w:color w:val="auto"/>
        </w:rPr>
        <w:t>(iv)</w:t>
      </w:r>
      <w:r>
        <w:rPr>
          <w:sz w:val="20"/>
          <w:szCs w:val="20"/>
          <w:color w:val="auto"/>
        </w:rPr>
        <w:tab/>
      </w:r>
      <w:r>
        <w:rPr>
          <w:rFonts w:ascii="Arial" w:cs="Arial" w:eastAsia="Arial" w:hAnsi="Arial"/>
          <w:sz w:val="17"/>
          <w:szCs w:val="17"/>
          <w:color w:val="auto"/>
        </w:rPr>
        <w:t>if an Option is a Nonstatutory Stock Option, by a “net exercise” arrangement pursuant to which the</w:t>
      </w:r>
    </w:p>
    <w:p>
      <w:pPr>
        <w:sectPr>
          <w:pgSz w:w="11900" w:h="16838" w:orient="portrait"/>
          <w:cols w:equalWidth="0" w:num="1">
            <w:col w:w="11420"/>
          </w:cols>
          <w:pgMar w:left="240" w:top="328" w:right="239" w:bottom="1440" w:gutter="0" w:footer="0" w:header="0"/>
          <w:type w:val="continuous"/>
        </w:sectPr>
      </w:pPr>
    </w:p>
    <w:p>
      <w:pPr>
        <w:spacing w:after="0" w:line="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Company will reduce the number of shares of Common Stock issuable upon exercise by the largest whole number of shares with a Fair Market Value that does not exceed the aggregate exercise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ectPr>
          <w:pgSz w:w="11900" w:h="16838" w:orient="portrait"/>
          <w:cols w:equalWidth="0" w:num="1">
            <w:col w:w="11420"/>
          </w:cols>
          <w:pgMar w:left="240" w:top="328" w:right="239" w:bottom="1440" w:gutter="0" w:footer="0" w:header="0"/>
          <w:type w:val="continuous"/>
        </w:sectPr>
      </w:pPr>
    </w:p>
    <w:p>
      <w:pPr>
        <w:spacing w:after="0" w:line="181"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auto"/>
        </w:rPr>
        <w:t>(v)</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applicable Award Agreement.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 any other form of legal consideration that may be acceptable to the Board and specified in the</w:t>
      </w:r>
    </w:p>
    <w:p>
      <w:pPr>
        <w:spacing w:after="0" w:line="420" w:lineRule="exact"/>
        <w:rPr>
          <w:sz w:val="20"/>
          <w:szCs w:val="20"/>
          <w:color w:val="auto"/>
        </w:rPr>
      </w:pPr>
    </w:p>
    <w:p>
      <w:pPr>
        <w:sectPr>
          <w:pgSz w:w="11900" w:h="16838" w:orient="portrait"/>
          <w:cols w:equalWidth="0" w:num="2">
            <w:col w:w="3240" w:space="720"/>
            <w:col w:w="7460"/>
          </w:cols>
          <w:pgMar w:left="240" w:top="328" w:right="239" w:bottom="1440" w:gutter="0" w:footer="0" w:header="0"/>
          <w:type w:val="continuous"/>
        </w:sectPr>
      </w:pPr>
    </w:p>
    <w:p>
      <w:pPr>
        <w:spacing w:after="0" w:line="55" w:lineRule="exact"/>
        <w:rPr>
          <w:sz w:val="20"/>
          <w:szCs w:val="20"/>
          <w:color w:val="auto"/>
        </w:rPr>
      </w:pPr>
    </w:p>
    <w:p>
      <w:pPr>
        <w:jc w:val="both"/>
        <w:ind w:firstLine="885"/>
        <w:spacing w:after="0" w:line="283" w:lineRule="auto"/>
        <w:tabs>
          <w:tab w:leader="none" w:pos="2438" w:val="left"/>
        </w:tabs>
        <w:numPr>
          <w:ilvl w:val="0"/>
          <w:numId w:val="18"/>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Exercise and Payment of a SAR. </w:t>
      </w:r>
      <w:r>
        <w:rPr>
          <w:rFonts w:ascii="Arial" w:cs="Arial" w:eastAsia="Arial" w:hAnsi="Arial"/>
          <w:sz w:val="16"/>
          <w:szCs w:val="16"/>
          <w:color w:val="auto"/>
        </w:rPr>
        <w:t>To exercise any outstanding SAR, the Participant must provide written notice of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Company in compliance with the provisions of the Award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96" w:lineRule="exact"/>
        <w:rPr>
          <w:rFonts w:ascii="Arial" w:cs="Arial" w:eastAsia="Arial" w:hAnsi="Arial"/>
          <w:sz w:val="19"/>
          <w:szCs w:val="19"/>
          <w:b w:val="1"/>
          <w:bCs w:val="1"/>
          <w:color w:val="auto"/>
        </w:rPr>
      </w:pPr>
    </w:p>
    <w:p>
      <w:pPr>
        <w:jc w:val="both"/>
        <w:ind w:firstLine="885"/>
        <w:spacing w:after="0" w:line="239" w:lineRule="auto"/>
        <w:tabs>
          <w:tab w:leader="none" w:pos="2414" w:val="left"/>
        </w:tabs>
        <w:numPr>
          <w:ilvl w:val="0"/>
          <w:numId w:val="18"/>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Transferability of Options and SARs. </w:t>
      </w:r>
      <w:r>
        <w:rPr>
          <w:rFonts w:ascii="Arial" w:cs="Arial" w:eastAsia="Arial" w:hAnsi="Arial"/>
          <w:sz w:val="18"/>
          <w:szCs w:val="18"/>
          <w:color w:val="auto"/>
        </w:rPr>
        <w:t>The Board may, in its sole discretion, impose such limitations on the 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Options and SARs as the Board will determine. In the absence of such a determination by the Board to the contrary, the following restrictions on the transferability of Options and SARs will apply:</w:t>
      </w:r>
    </w:p>
    <w:p>
      <w:pPr>
        <w:spacing w:after="0" w:line="191"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18"/>
          <w:szCs w:val="18"/>
          <w:b w:val="1"/>
          <w:bCs w:val="1"/>
          <w:color w:val="auto"/>
        </w:rPr>
        <w:t>Restrictions on Transfer</w:t>
      </w:r>
      <w:r>
        <w:rPr>
          <w:rFonts w:ascii="Arial" w:cs="Arial" w:eastAsia="Arial" w:hAnsi="Arial"/>
          <w:sz w:val="18"/>
          <w:szCs w:val="18"/>
          <w:color w:val="auto"/>
        </w:rPr>
        <w:t>. An Option or SAR will not be transferable except by will or by the laws of</w:t>
      </w:r>
      <w:r>
        <w:rPr>
          <w:rFonts w:ascii="Arial" w:cs="Arial" w:eastAsia="Arial" w:hAnsi="Arial"/>
          <w:sz w:val="22"/>
          <w:szCs w:val="22"/>
          <w:b w:val="1"/>
          <w:bCs w:val="1"/>
          <w:color w:val="auto"/>
        </w:rPr>
        <w:t xml:space="preserve"> </w:t>
      </w:r>
      <w:r>
        <w:rPr>
          <w:rFonts w:ascii="Arial" w:cs="Arial" w:eastAsia="Arial" w:hAnsi="Arial"/>
          <w:sz w:val="18"/>
          <w:szCs w:val="18"/>
          <w:color w:val="auto"/>
        </w:rPr>
        <w:t>descent and distribution (and pursuant to Sections 5(e)(ii) and 5(e)(iii)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75"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18"/>
          <w:szCs w:val="18"/>
          <w:b w:val="1"/>
          <w:bCs w:val="1"/>
          <w:color w:val="auto"/>
        </w:rPr>
        <w:t>Domestic Relations Orders</w:t>
      </w:r>
      <w:r>
        <w:rPr>
          <w:rFonts w:ascii="Arial" w:cs="Arial" w:eastAsia="Arial" w:hAnsi="Arial"/>
          <w:sz w:val="18"/>
          <w:szCs w:val="18"/>
          <w:color w:val="auto"/>
        </w:rPr>
        <w:t>. Subject to the approval of the Board or a duly authorized Officer, an</w:t>
      </w:r>
      <w:r>
        <w:rPr>
          <w:rFonts w:ascii="Arial" w:cs="Arial" w:eastAsia="Arial" w:hAnsi="Arial"/>
          <w:sz w:val="22"/>
          <w:szCs w:val="22"/>
          <w:b w:val="1"/>
          <w:bCs w:val="1"/>
          <w:color w:val="auto"/>
        </w:rPr>
        <w:t xml:space="preserve"> </w:t>
      </w:r>
      <w:r>
        <w:rPr>
          <w:rFonts w:ascii="Arial" w:cs="Arial" w:eastAsia="Arial" w:hAnsi="Arial"/>
          <w:sz w:val="18"/>
          <w:szCs w:val="18"/>
          <w:color w:val="auto"/>
        </w:rPr>
        <w:t>Option or SAR may be transferred 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175" w:lineRule="exact"/>
        <w:rPr>
          <w:sz w:val="20"/>
          <w:szCs w:val="20"/>
          <w:color w:val="auto"/>
        </w:rPr>
      </w:pPr>
    </w:p>
    <w:p>
      <w:pPr>
        <w:jc w:val="both"/>
        <w:ind w:firstLine="1755"/>
        <w:spacing w:after="0" w:line="253" w:lineRule="auto"/>
        <w:rPr>
          <w:sz w:val="20"/>
          <w:szCs w:val="20"/>
          <w:color w:val="auto"/>
        </w:rPr>
      </w:pPr>
      <w:r>
        <w:rPr>
          <w:rFonts w:ascii="Arial" w:cs="Arial" w:eastAsia="Arial" w:hAnsi="Arial"/>
          <w:sz w:val="22"/>
          <w:szCs w:val="22"/>
          <w:b w:val="1"/>
          <w:bCs w:val="1"/>
          <w:color w:val="auto"/>
        </w:rPr>
        <w:t xml:space="preserve">(iii) </w:t>
      </w:r>
      <w:r>
        <w:rPr>
          <w:rFonts w:ascii="Arial" w:cs="Arial" w:eastAsia="Arial" w:hAnsi="Arial"/>
          <w:sz w:val="18"/>
          <w:szCs w:val="18"/>
          <w:b w:val="1"/>
          <w:bCs w:val="1"/>
          <w:color w:val="auto"/>
        </w:rPr>
        <w:t>Beneficiary Designation</w:t>
      </w:r>
      <w:r>
        <w:rPr>
          <w:rFonts w:ascii="Arial" w:cs="Arial" w:eastAsia="Arial" w:hAnsi="Arial"/>
          <w:sz w:val="18"/>
          <w:szCs w:val="18"/>
          <w:color w:val="auto"/>
        </w:rPr>
        <w:t>. Subject to the approval of the Board or a duly authorized Officer, a</w:t>
      </w:r>
      <w:r>
        <w:rPr>
          <w:rFonts w:ascii="Arial" w:cs="Arial" w:eastAsia="Arial" w:hAnsi="Arial"/>
          <w:sz w:val="22"/>
          <w:szCs w:val="22"/>
          <w:b w:val="1"/>
          <w:bCs w:val="1"/>
          <w:color w:val="auto"/>
        </w:rPr>
        <w:t xml:space="preserve"> </w:t>
      </w:r>
      <w:r>
        <w:rPr>
          <w:rFonts w:ascii="Arial" w:cs="Arial" w:eastAsia="Arial" w:hAnsi="Arial"/>
          <w:sz w:val="18"/>
          <w:szCs w:val="18"/>
          <w:color w:val="auto"/>
        </w:rPr>
        <w:t>Participant may, by delivering written 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216" w:lineRule="exact"/>
        <w:rPr>
          <w:sz w:val="20"/>
          <w:szCs w:val="20"/>
          <w:color w:val="auto"/>
        </w:rPr>
      </w:pPr>
    </w:p>
    <w:p>
      <w:pPr>
        <w:jc w:val="both"/>
        <w:ind w:firstLine="885"/>
        <w:spacing w:after="0" w:line="239" w:lineRule="auto"/>
        <w:tabs>
          <w:tab w:leader="none" w:pos="2390" w:val="left"/>
        </w:tabs>
        <w:numPr>
          <w:ilvl w:val="0"/>
          <w:numId w:val="19"/>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Vesting Generally. </w:t>
      </w:r>
      <w:r>
        <w:rPr>
          <w:rFonts w:ascii="Arial" w:cs="Arial" w:eastAsia="Arial" w:hAnsi="Arial"/>
          <w:sz w:val="18"/>
          <w:szCs w:val="18"/>
          <w:color w:val="auto"/>
        </w:rPr>
        <w:t>The total number of shares of Common Stock subject to an Option or SAR may vest and become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in periodic installments that may or may not be equal. The Option or SAR may be subject to such other terms and conditions on the time or times when it may or may not be exercised (which may be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204" w:lineRule="exact"/>
        <w:rPr>
          <w:sz w:val="20"/>
          <w:szCs w:val="20"/>
          <w:color w:val="auto"/>
        </w:rPr>
      </w:pPr>
    </w:p>
    <w:p>
      <w:pPr>
        <w:jc w:val="both"/>
        <w:ind w:firstLine="885"/>
        <w:spacing w:after="0" w:line="262" w:lineRule="auto"/>
        <w:tabs>
          <w:tab w:leader="none" w:pos="2426" w:val="left"/>
        </w:tabs>
        <w:numPr>
          <w:ilvl w:val="0"/>
          <w:numId w:val="20"/>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applicable Award Agreement or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three (3) months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211" w:lineRule="exact"/>
        <w:rPr>
          <w:rFonts w:ascii="Arial" w:cs="Arial" w:eastAsia="Arial" w:hAnsi="Arial"/>
          <w:sz w:val="21"/>
          <w:szCs w:val="21"/>
          <w:b w:val="1"/>
          <w:bCs w:val="1"/>
          <w:color w:val="auto"/>
        </w:rPr>
      </w:pPr>
    </w:p>
    <w:p>
      <w:pPr>
        <w:jc w:val="both"/>
        <w:ind w:firstLine="885"/>
        <w:spacing w:after="0" w:line="264" w:lineRule="auto"/>
        <w:tabs>
          <w:tab w:leader="none" w:pos="2438" w:val="left"/>
        </w:tabs>
        <w:numPr>
          <w:ilvl w:val="0"/>
          <w:numId w:val="20"/>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Extension of Termination Date. </w:t>
      </w:r>
      <w:r>
        <w:rPr>
          <w:rFonts w:ascii="Arial" w:cs="Arial" w:eastAsia="Arial" w:hAnsi="Arial"/>
          <w:sz w:val="17"/>
          <w:szCs w:val="17"/>
          <w:color w:val="auto"/>
        </w:rPr>
        <w:t>Except as otherwise provided in the applicable Award Agreement or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Participant and the Company,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Award Agreement. In addition, unless otherwise provided in a Participant’s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a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205" w:lineRule="exact"/>
        <w:rPr>
          <w:rFonts w:ascii="Arial" w:cs="Arial" w:eastAsia="Arial" w:hAnsi="Arial"/>
          <w:sz w:val="21"/>
          <w:szCs w:val="21"/>
          <w:b w:val="1"/>
          <w:bCs w:val="1"/>
          <w:color w:val="auto"/>
        </w:rPr>
      </w:pPr>
    </w:p>
    <w:p>
      <w:pPr>
        <w:jc w:val="both"/>
        <w:ind w:firstLine="885"/>
        <w:spacing w:after="0" w:line="246" w:lineRule="auto"/>
        <w:tabs>
          <w:tab w:leader="none" w:pos="2378" w:val="left"/>
        </w:tabs>
        <w:numPr>
          <w:ilvl w:val="0"/>
          <w:numId w:val="20"/>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Disability of Participant. </w:t>
      </w:r>
      <w:r>
        <w:rPr>
          <w:rFonts w:ascii="Arial" w:cs="Arial" w:eastAsia="Arial" w:hAnsi="Arial"/>
          <w:sz w:val="18"/>
          <w:szCs w:val="18"/>
          <w:color w:val="auto"/>
        </w:rPr>
        <w:t>Except as otherwise provided in the applicable Award Agreement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223" w:lineRule="exact"/>
        <w:rPr>
          <w:rFonts w:ascii="Arial" w:cs="Arial" w:eastAsia="Arial" w:hAnsi="Arial"/>
          <w:sz w:val="22"/>
          <w:szCs w:val="22"/>
          <w:b w:val="1"/>
          <w:bCs w:val="1"/>
          <w:color w:val="auto"/>
        </w:rPr>
      </w:pPr>
    </w:p>
    <w:p>
      <w:pPr>
        <w:jc w:val="both"/>
        <w:ind w:firstLine="885"/>
        <w:spacing w:after="0" w:line="247" w:lineRule="auto"/>
        <w:tabs>
          <w:tab w:leader="none" w:pos="2390" w:val="left"/>
        </w:tabs>
        <w:numPr>
          <w:ilvl w:val="0"/>
          <w:numId w:val="20"/>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Death of Participant. </w:t>
      </w:r>
      <w:r>
        <w:rPr>
          <w:rFonts w:ascii="Arial" w:cs="Arial" w:eastAsia="Arial" w:hAnsi="Arial"/>
          <w:sz w:val="18"/>
          <w:szCs w:val="18"/>
          <w:color w:val="auto"/>
        </w:rPr>
        <w:t>Except as otherwise provided in the applicable Award Agreement or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jc w:val="both"/>
        <w:ind w:firstLine="885"/>
        <w:spacing w:after="0" w:line="243" w:lineRule="auto"/>
        <w:tabs>
          <w:tab w:leader="none" w:pos="2438" w:val="left"/>
        </w:tabs>
        <w:numPr>
          <w:ilvl w:val="1"/>
          <w:numId w:val="21"/>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Except as explicitly provided otherwise in a Participant’s Award Agreement or other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222" w:lineRule="exact"/>
        <w:rPr>
          <w:rFonts w:ascii="Arial" w:cs="Arial" w:eastAsia="Arial" w:hAnsi="Arial"/>
          <w:sz w:val="22"/>
          <w:szCs w:val="22"/>
          <w:b w:val="1"/>
          <w:bCs w:val="1"/>
          <w:color w:val="auto"/>
        </w:rPr>
      </w:pPr>
    </w:p>
    <w:p>
      <w:pPr>
        <w:jc w:val="both"/>
        <w:ind w:firstLine="885"/>
        <w:spacing w:after="0" w:line="264" w:lineRule="auto"/>
        <w:tabs>
          <w:tab w:leader="none" w:pos="2378" w:val="left"/>
        </w:tabs>
        <w:numPr>
          <w:ilvl w:val="1"/>
          <w:numId w:val="21"/>
        </w:numPr>
        <w:rPr>
          <w:rFonts w:ascii="Arial" w:cs="Arial" w:eastAsia="Arial" w:hAnsi="Arial"/>
          <w:sz w:val="21"/>
          <w:szCs w:val="21"/>
          <w:b w:val="1"/>
          <w:bCs w:val="1"/>
          <w:color w:val="auto"/>
        </w:rPr>
      </w:pPr>
      <w:r>
        <w:rPr>
          <w:rFonts w:ascii="Arial" w:cs="Arial" w:eastAsia="Arial" w:hAnsi="Arial"/>
          <w:sz w:val="17"/>
          <w:szCs w:val="17"/>
          <w:b w:val="1"/>
          <w:bCs w:val="1"/>
          <w:color w:val="auto"/>
        </w:rPr>
        <w:t>Non-Exempt Employees</w:t>
      </w:r>
      <w:r>
        <w:rPr>
          <w:rFonts w:ascii="Arial" w:cs="Arial" w:eastAsia="Arial" w:hAnsi="Arial"/>
          <w:sz w:val="17"/>
          <w:szCs w:val="17"/>
          <w:color w:val="auto"/>
        </w:rPr>
        <w:t>. If an Option or SAR is granted to an Employee who is a non-exempt employee for purposes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Fair Labor Standards Act of 1938, as amended, the Option or SAR will not be first exercisable for any shares of Common Stock until at least six (6)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(6)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86" w:lineRule="exact"/>
        <w:rPr>
          <w:rFonts w:ascii="Arial" w:cs="Arial" w:eastAsia="Arial" w:hAnsi="Arial"/>
          <w:sz w:val="21"/>
          <w:szCs w:val="21"/>
          <w:b w:val="1"/>
          <w:bCs w:val="1"/>
          <w:color w:val="auto"/>
        </w:rPr>
      </w:pPr>
    </w:p>
    <w:p>
      <w:pPr>
        <w:ind w:left="820" w:hanging="812"/>
        <w:spacing w:after="0"/>
        <w:tabs>
          <w:tab w:leader="none" w:pos="820" w:val="left"/>
        </w:tabs>
        <w:numPr>
          <w:ilvl w:val="0"/>
          <w:numId w:val="22"/>
        </w:numPr>
        <w:rPr>
          <w:rFonts w:ascii="Arial" w:cs="Arial" w:eastAsia="Arial" w:hAnsi="Arial"/>
          <w:sz w:val="22"/>
          <w:szCs w:val="22"/>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 THAN</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PTIONS AND</w:t>
      </w:r>
      <w:r>
        <w:rPr>
          <w:rFonts w:ascii="Arial" w:cs="Arial" w:eastAsia="Arial" w:hAnsi="Arial"/>
          <w:sz w:val="18"/>
          <w:szCs w:val="18"/>
          <w:b w:val="1"/>
          <w:bCs w:val="1"/>
          <w:color w:val="auto"/>
        </w:rPr>
        <w:t xml:space="preserve"> SAR</w:t>
      </w:r>
      <w:r>
        <w:rPr>
          <w:rFonts w:ascii="Arial" w:cs="Arial" w:eastAsia="Arial" w:hAnsi="Arial"/>
          <w:sz w:val="12"/>
          <w:szCs w:val="12"/>
          <w:b w:val="1"/>
          <w:bCs w:val="1"/>
          <w:color w:val="auto"/>
        </w:rPr>
        <w:t>S</w:t>
      </w:r>
      <w:r>
        <w:rPr>
          <w:rFonts w:ascii="Arial" w:cs="Arial" w:eastAsia="Arial" w:hAnsi="Arial"/>
          <w:sz w:val="18"/>
          <w:szCs w:val="18"/>
          <w:b w:val="1"/>
          <w:bCs w:val="1"/>
          <w:color w:val="auto"/>
        </w:rPr>
        <w:t>.</w:t>
      </w:r>
    </w:p>
    <w:p>
      <w:pPr>
        <w:spacing w:after="0" w:line="224" w:lineRule="exact"/>
        <w:rPr>
          <w:rFonts w:ascii="Arial" w:cs="Arial" w:eastAsia="Arial" w:hAnsi="Arial"/>
          <w:sz w:val="22"/>
          <w:szCs w:val="22"/>
          <w:b w:val="1"/>
          <w:bCs w:val="1"/>
          <w:color w:val="auto"/>
        </w:rPr>
      </w:pPr>
    </w:p>
    <w:p>
      <w:pPr>
        <w:jc w:val="both"/>
        <w:ind w:firstLine="885"/>
        <w:spacing w:after="0" w:line="246" w:lineRule="auto"/>
        <w:tabs>
          <w:tab w:leader="none" w:pos="2426" w:val="left"/>
        </w:tabs>
        <w:numPr>
          <w:ilvl w:val="1"/>
          <w:numId w:val="22"/>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Each Restricted Stock Award Agreement will be in such form and will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Board deems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87"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18"/>
          <w:szCs w:val="18"/>
          <w:b w:val="1"/>
          <w:bCs w:val="1"/>
          <w:color w:val="auto"/>
        </w:rPr>
        <w:t>Consideration.</w:t>
      </w:r>
      <w:r>
        <w:rPr>
          <w:rFonts w:ascii="Arial" w:cs="Arial" w:eastAsia="Arial" w:hAnsi="Arial"/>
          <w:sz w:val="22"/>
          <w:szCs w:val="22"/>
          <w:b w:val="1"/>
          <w:bCs w:val="1"/>
          <w:color w:val="auto"/>
        </w:rPr>
        <w:t xml:space="preserve"> </w:t>
      </w:r>
      <w:r>
        <w:rPr>
          <w:rFonts w:ascii="Arial" w:cs="Arial" w:eastAsia="Arial" w:hAnsi="Arial"/>
          <w:sz w:val="18"/>
          <w:szCs w:val="18"/>
          <w:color w:val="auto"/>
        </w:rPr>
        <w:t>A Restricted Stock Award may be awarded in consideration for (A) cash, check, bank</w:t>
      </w:r>
      <w:r>
        <w:rPr>
          <w:rFonts w:ascii="Arial" w:cs="Arial" w:eastAsia="Arial" w:hAnsi="Arial"/>
          <w:sz w:val="22"/>
          <w:szCs w:val="22"/>
          <w:b w:val="1"/>
          <w:bCs w:val="1"/>
          <w:color w:val="auto"/>
        </w:rPr>
        <w:t xml:space="preserve"> </w:t>
      </w:r>
      <w:r>
        <w:rPr>
          <w:rFonts w:ascii="Arial" w:cs="Arial" w:eastAsia="Arial" w:hAnsi="Arial"/>
          <w:sz w:val="18"/>
          <w:szCs w:val="18"/>
          <w:color w:val="auto"/>
        </w:rPr>
        <w:t>draft or money order payable to the Company, (B) past services to the Company or an Affiliate, or (C) any other form of legal consideration (including future services) that may be acceptable to the Board, in its sole discretion, and permissible under applicable law.</w:t>
      </w:r>
    </w:p>
    <w:p>
      <w:pPr>
        <w:sectPr>
          <w:pgSz w:w="11900" w:h="16838" w:orient="portrait"/>
          <w:cols w:equalWidth="0" w:num="1">
            <w:col w:w="11420"/>
          </w:cols>
          <w:pgMar w:left="240" w:top="364" w:right="239" w:bottom="1440" w:gutter="0" w:footer="0" w:header="0"/>
        </w:sectPr>
      </w:pPr>
    </w:p>
    <w:p>
      <w:pPr>
        <w:spacing w:after="0" w:line="174" w:lineRule="exact"/>
        <w:rPr>
          <w:sz w:val="20"/>
          <w:szCs w:val="20"/>
          <w:color w:val="auto"/>
        </w:rPr>
      </w:pPr>
    </w:p>
    <w:p>
      <w:pPr>
        <w:ind w:firstLine="1755"/>
        <w:spacing w:after="0" w:line="270"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18"/>
          <w:szCs w:val="18"/>
          <w:b w:val="1"/>
          <w:bCs w:val="1"/>
          <w:color w:val="auto"/>
        </w:rPr>
        <w:t>Vesting.</w:t>
      </w:r>
      <w:r>
        <w:rPr>
          <w:rFonts w:ascii="Arial" w:cs="Arial" w:eastAsia="Arial" w:hAnsi="Arial"/>
          <w:sz w:val="22"/>
          <w:szCs w:val="22"/>
          <w:b w:val="1"/>
          <w:bCs w:val="1"/>
          <w:color w:val="auto"/>
        </w:rPr>
        <w:t xml:space="preserve"> </w:t>
      </w:r>
      <w:r>
        <w:rPr>
          <w:rFonts w:ascii="Arial" w:cs="Arial" w:eastAsia="Arial" w:hAnsi="Arial"/>
          <w:sz w:val="18"/>
          <w:szCs w:val="18"/>
          <w:color w:val="auto"/>
        </w:rPr>
        <w:t>Shares of Common Stock awarded under</w:t>
      </w:r>
      <w:r>
        <w:rPr>
          <w:rFonts w:ascii="Arial" w:cs="Arial" w:eastAsia="Arial" w:hAnsi="Arial"/>
          <w:sz w:val="22"/>
          <w:szCs w:val="22"/>
          <w:b w:val="1"/>
          <w:bCs w:val="1"/>
          <w:color w:val="auto"/>
        </w:rPr>
        <w:t xml:space="preserve"> </w:t>
      </w:r>
      <w:r>
        <w:rPr>
          <w:rFonts w:ascii="Arial" w:cs="Arial" w:eastAsia="Arial" w:hAnsi="Arial"/>
          <w:sz w:val="18"/>
          <w:szCs w:val="18"/>
          <w:color w:val="auto"/>
        </w:rPr>
        <w:t>subject to forfeiture to the Company in accordance with a vesting schedule to be determined by the Board.</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Restricted Stock Award Agreement may be</w:t>
      </w:r>
    </w:p>
    <w:p>
      <w:pPr>
        <w:spacing w:after="0" w:line="439" w:lineRule="exact"/>
        <w:rPr>
          <w:sz w:val="20"/>
          <w:szCs w:val="20"/>
          <w:color w:val="auto"/>
        </w:rPr>
      </w:pPr>
    </w:p>
    <w:p>
      <w:pPr>
        <w:sectPr>
          <w:pgSz w:w="11900" w:h="16838" w:orient="portrait"/>
          <w:cols w:equalWidth="0" w:num="2">
            <w:col w:w="7800" w:space="80"/>
            <w:col w:w="3540"/>
          </w:cols>
          <w:pgMar w:left="240" w:top="364" w:right="239" w:bottom="1440" w:gutter="0" w:footer="0" w:header="0"/>
          <w:type w:val="continuous"/>
        </w:sectPr>
      </w:pPr>
    </w:p>
    <w:p>
      <w:pPr>
        <w:ind w:left="1760"/>
        <w:spacing w:after="0"/>
        <w:tabs>
          <w:tab w:leader="none" w:pos="4020" w:val="left"/>
        </w:tabs>
        <w:rPr>
          <w:sz w:val="20"/>
          <w:szCs w:val="20"/>
          <w:color w:val="auto"/>
        </w:rPr>
      </w:pPr>
      <w:r>
        <w:rPr>
          <w:rFonts w:ascii="Arial" w:cs="Arial" w:eastAsia="Arial" w:hAnsi="Arial"/>
          <w:sz w:val="19"/>
          <w:szCs w:val="19"/>
          <w:b w:val="1"/>
          <w:bCs w:val="1"/>
          <w:color w:val="auto"/>
        </w:rPr>
        <w:t>(iii)</w:t>
      </w:r>
      <w:r>
        <w:rPr>
          <w:sz w:val="20"/>
          <w:szCs w:val="20"/>
          <w:color w:val="auto"/>
        </w:rPr>
        <w:tab/>
      </w:r>
      <w:r>
        <w:rPr>
          <w:rFonts w:ascii="Arial" w:cs="Arial" w:eastAsia="Arial" w:hAnsi="Arial"/>
          <w:sz w:val="16"/>
          <w:szCs w:val="16"/>
          <w:b w:val="1"/>
          <w:bCs w:val="1"/>
          <w:color w:val="auto"/>
        </w:rPr>
        <w:t xml:space="preserve">Termination of Participant’s Continuous Service. </w:t>
      </w:r>
      <w:r>
        <w:rPr>
          <w:rFonts w:ascii="Arial" w:cs="Arial" w:eastAsia="Arial" w:hAnsi="Arial"/>
          <w:sz w:val="16"/>
          <w:szCs w:val="16"/>
          <w:color w:val="auto"/>
        </w:rPr>
        <w:t>If a Participant’s Continuous Service terminates,</w:t>
      </w:r>
    </w:p>
    <w:p>
      <w:pPr>
        <w:sectPr>
          <w:pgSz w:w="11900" w:h="16838" w:orient="portrait"/>
          <w:cols w:equalWidth="0" w:num="1">
            <w:col w:w="11420"/>
          </w:cols>
          <w:pgMar w:left="240" w:top="364" w:right="239" w:bottom="1440" w:gutter="0" w:footer="0" w:header="0"/>
          <w:type w:val="continuous"/>
        </w:sectPr>
      </w:pPr>
    </w:p>
    <w:p>
      <w:pPr>
        <w:spacing w:after="0" w:line="62"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the Company may receive through a forfeiture condition or a repurchase right any or all of the shares of Common Stock held by the Participant as of the date of termination of Continuous Service under the terms of the Restricted Stock Award Agreement.</w:t>
      </w:r>
    </w:p>
    <w:p>
      <w:pPr>
        <w:spacing w:after="0" w:line="181"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(iv) </w:t>
      </w:r>
      <w:r>
        <w:rPr>
          <w:rFonts w:ascii="Arial" w:cs="Arial" w:eastAsia="Arial" w:hAnsi="Arial"/>
          <w:sz w:val="18"/>
          <w:szCs w:val="18"/>
          <w:b w:val="1"/>
          <w:bCs w:val="1"/>
          <w:color w:val="auto"/>
        </w:rPr>
        <w:t>Transferability.</w:t>
      </w:r>
      <w:r>
        <w:rPr>
          <w:rFonts w:ascii="Arial" w:cs="Arial" w:eastAsia="Arial" w:hAnsi="Arial"/>
          <w:sz w:val="22"/>
          <w:szCs w:val="22"/>
          <w:b w:val="1"/>
          <w:bCs w:val="1"/>
          <w:color w:val="auto"/>
        </w:rPr>
        <w:t xml:space="preserve"> </w:t>
      </w:r>
      <w:r>
        <w:rPr>
          <w:rFonts w:ascii="Arial" w:cs="Arial" w:eastAsia="Arial" w:hAnsi="Arial"/>
          <w:sz w:val="18"/>
          <w:szCs w:val="18"/>
          <w:color w:val="auto"/>
        </w:rPr>
        <w:t>Rights to acquire shares of Common Stock under the Restricted Stock Award</w:t>
      </w:r>
      <w:r>
        <w:rPr>
          <w:rFonts w:ascii="Arial" w:cs="Arial" w:eastAsia="Arial" w:hAnsi="Arial"/>
          <w:sz w:val="22"/>
          <w:szCs w:val="22"/>
          <w:b w:val="1"/>
          <w:bCs w:val="1"/>
          <w:color w:val="auto"/>
        </w:rPr>
        <w:t xml:space="preserve"> </w:t>
      </w:r>
      <w:r>
        <w:rPr>
          <w:rFonts w:ascii="Arial" w:cs="Arial" w:eastAsia="Arial" w:hAnsi="Arial"/>
          <w:sz w:val="18"/>
          <w:szCs w:val="18"/>
          <w:color w:val="auto"/>
        </w:rPr>
        <w:t>Agreement will be 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29" w:name="page30"/>
    <w:bookmarkEnd w:id="29"/>
    <w:p>
      <w:pPr>
        <w:ind w:right="20" w:firstLine="1755"/>
        <w:spacing w:after="0" w:line="270" w:lineRule="auto"/>
        <w:rPr>
          <w:sz w:val="20"/>
          <w:szCs w:val="20"/>
          <w:color w:val="auto"/>
        </w:rPr>
      </w:pPr>
      <w:r>
        <w:rPr>
          <w:rFonts w:ascii="Arial" w:cs="Arial" w:eastAsia="Arial" w:hAnsi="Arial"/>
          <w:sz w:val="22"/>
          <w:szCs w:val="22"/>
          <w:b w:val="1"/>
          <w:bCs w:val="1"/>
          <w:color w:val="auto"/>
        </w:rPr>
        <w:t xml:space="preserve">(v) </w:t>
      </w:r>
      <w:r>
        <w:rPr>
          <w:rFonts w:ascii="Arial" w:cs="Arial" w:eastAsia="Arial" w:hAnsi="Arial"/>
          <w:sz w:val="18"/>
          <w:szCs w:val="18"/>
          <w:b w:val="1"/>
          <w:bCs w:val="1"/>
          <w:color w:val="auto"/>
        </w:rPr>
        <w:t>Dividends.</w:t>
      </w:r>
      <w:r>
        <w:rPr>
          <w:rFonts w:ascii="Arial" w:cs="Arial" w:eastAsia="Arial" w:hAnsi="Arial"/>
          <w:sz w:val="22"/>
          <w:szCs w:val="22"/>
          <w:b w:val="1"/>
          <w:bCs w:val="1"/>
          <w:color w:val="auto"/>
        </w:rPr>
        <w:t xml:space="preserve"> </w:t>
      </w:r>
      <w:r>
        <w:rPr>
          <w:rFonts w:ascii="Arial" w:cs="Arial" w:eastAsia="Arial" w:hAnsi="Arial"/>
          <w:sz w:val="18"/>
          <w:szCs w:val="18"/>
          <w:color w:val="auto"/>
        </w:rPr>
        <w:t>A Restricted Stock Award Agreement may provide that any dividends paid on Restricted</w:t>
      </w:r>
      <w:r>
        <w:rPr>
          <w:rFonts w:ascii="Arial" w:cs="Arial" w:eastAsia="Arial" w:hAnsi="Arial"/>
          <w:sz w:val="22"/>
          <w:szCs w:val="22"/>
          <w:b w:val="1"/>
          <w:bCs w:val="1"/>
          <w:color w:val="auto"/>
        </w:rPr>
        <w:t xml:space="preserve"> </w:t>
      </w:r>
      <w:r>
        <w:rPr>
          <w:rFonts w:ascii="Arial" w:cs="Arial" w:eastAsia="Arial" w:hAnsi="Arial"/>
          <w:sz w:val="18"/>
          <w:szCs w:val="18"/>
          <w:color w:val="auto"/>
        </w:rPr>
        <w:t>Stock will be subject to the same vesting and forfeiture restrictions as apply to the shares subject to the Restricted Stock Award to which they relate.</w:t>
      </w:r>
    </w:p>
    <w:p>
      <w:pPr>
        <w:spacing w:after="0" w:line="194" w:lineRule="exact"/>
        <w:rPr>
          <w:sz w:val="20"/>
          <w:szCs w:val="20"/>
          <w:color w:val="auto"/>
        </w:rPr>
      </w:pPr>
    </w:p>
    <w:p>
      <w:pPr>
        <w:jc w:val="both"/>
        <w:ind w:firstLine="885"/>
        <w:spacing w:after="0" w:line="285" w:lineRule="auto"/>
        <w:tabs>
          <w:tab w:leader="none" w:pos="2438" w:val="left"/>
        </w:tabs>
        <w:numPr>
          <w:ilvl w:val="0"/>
          <w:numId w:val="23"/>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Restricted Stock Unit Awards. </w:t>
      </w:r>
      <w:r>
        <w:rPr>
          <w:rFonts w:ascii="Arial" w:cs="Arial" w:eastAsia="Arial" w:hAnsi="Arial"/>
          <w:sz w:val="16"/>
          <w:szCs w:val="16"/>
          <w:color w:val="auto"/>
        </w:rPr>
        <w:t>Each Restricted Stock Unit Award Agreement will be in such form and will contain such</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conditions as 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56"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18"/>
          <w:szCs w:val="18"/>
          <w:b w:val="1"/>
          <w:bCs w:val="1"/>
          <w:color w:val="auto"/>
        </w:rPr>
        <w:t>Consideration.</w:t>
      </w:r>
      <w:r>
        <w:rPr>
          <w:rFonts w:ascii="Arial" w:cs="Arial" w:eastAsia="Arial" w:hAnsi="Arial"/>
          <w:sz w:val="22"/>
          <w:szCs w:val="22"/>
          <w:b w:val="1"/>
          <w:bCs w:val="1"/>
          <w:color w:val="auto"/>
        </w:rPr>
        <w:t xml:space="preserve"> </w:t>
      </w:r>
      <w:r>
        <w:rPr>
          <w:rFonts w:ascii="Arial" w:cs="Arial" w:eastAsia="Arial" w:hAnsi="Arial"/>
          <w:sz w:val="18"/>
          <w:szCs w:val="18"/>
          <w:color w:val="auto"/>
        </w:rPr>
        <w:t>At the time of grant of a Restricted Stock Unit Award, the Board will determine the</w:t>
      </w:r>
      <w:r>
        <w:rPr>
          <w:rFonts w:ascii="Arial" w:cs="Arial" w:eastAsia="Arial" w:hAnsi="Arial"/>
          <w:sz w:val="22"/>
          <w:szCs w:val="22"/>
          <w:b w:val="1"/>
          <w:bCs w:val="1"/>
          <w:color w:val="auto"/>
        </w:rPr>
        <w:t xml:space="preserve"> </w:t>
      </w:r>
      <w:r>
        <w:rPr>
          <w:rFonts w:ascii="Arial" w:cs="Arial" w:eastAsia="Arial" w:hAnsi="Arial"/>
          <w:sz w:val="18"/>
          <w:szCs w:val="18"/>
          <w:color w:val="auto"/>
        </w:rPr>
        <w:t>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5"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18"/>
          <w:szCs w:val="18"/>
          <w:b w:val="1"/>
          <w:bCs w:val="1"/>
          <w:color w:val="auto"/>
        </w:rPr>
        <w:t>Vesting.</w:t>
      </w:r>
      <w:r>
        <w:rPr>
          <w:rFonts w:ascii="Arial" w:cs="Arial" w:eastAsia="Arial" w:hAnsi="Arial"/>
          <w:sz w:val="22"/>
          <w:szCs w:val="22"/>
          <w:b w:val="1"/>
          <w:bCs w:val="1"/>
          <w:color w:val="auto"/>
        </w:rPr>
        <w:t xml:space="preserve"> </w:t>
      </w:r>
      <w:r>
        <w:rPr>
          <w:rFonts w:ascii="Arial" w:cs="Arial" w:eastAsia="Arial" w:hAnsi="Arial"/>
          <w:sz w:val="18"/>
          <w:szCs w:val="18"/>
          <w:color w:val="auto"/>
        </w:rPr>
        <w:t>At the time of the grant of a Restricted Stock Unit Award, the Board may impose such</w:t>
      </w:r>
      <w:r>
        <w:rPr>
          <w:rFonts w:ascii="Arial" w:cs="Arial" w:eastAsia="Arial" w:hAnsi="Arial"/>
          <w:sz w:val="22"/>
          <w:szCs w:val="22"/>
          <w:b w:val="1"/>
          <w:bCs w:val="1"/>
          <w:color w:val="auto"/>
        </w:rPr>
        <w:t xml:space="preserve"> </w:t>
      </w:r>
      <w:r>
        <w:rPr>
          <w:rFonts w:ascii="Arial" w:cs="Arial" w:eastAsia="Arial" w:hAnsi="Arial"/>
          <w:sz w:val="18"/>
          <w:szCs w:val="18"/>
          <w:color w:val="auto"/>
        </w:rPr>
        <w:t>restrictions on or conditions to the vesting of the Restricted Stock Unit Award as it, in its sole discretion, deems appropriate.</w:t>
      </w:r>
    </w:p>
    <w:p>
      <w:pPr>
        <w:spacing w:after="0" w:line="158" w:lineRule="exact"/>
        <w:rPr>
          <w:sz w:val="20"/>
          <w:szCs w:val="20"/>
          <w:color w:val="auto"/>
        </w:rPr>
      </w:pPr>
    </w:p>
    <w:p>
      <w:pPr>
        <w:ind w:left="1760"/>
        <w:spacing w:after="0"/>
        <w:tabs>
          <w:tab w:leader="none" w:pos="4020" w:val="left"/>
        </w:tabs>
        <w:rPr>
          <w:sz w:val="20"/>
          <w:szCs w:val="20"/>
          <w:color w:val="auto"/>
        </w:rPr>
      </w:pPr>
      <w:r>
        <w:rPr>
          <w:rFonts w:ascii="Arial" w:cs="Arial" w:eastAsia="Arial" w:hAnsi="Arial"/>
          <w:sz w:val="19"/>
          <w:szCs w:val="19"/>
          <w:b w:val="1"/>
          <w:bCs w:val="1"/>
          <w:color w:val="auto"/>
        </w:rPr>
        <w:t>(iii)</w:t>
      </w:r>
      <w:r>
        <w:rPr>
          <w:sz w:val="20"/>
          <w:szCs w:val="20"/>
          <w:color w:val="auto"/>
        </w:rPr>
        <w:tab/>
      </w:r>
      <w:r>
        <w:rPr>
          <w:rFonts w:ascii="Arial" w:cs="Arial" w:eastAsia="Arial" w:hAnsi="Arial"/>
          <w:sz w:val="16"/>
          <w:szCs w:val="16"/>
          <w:b w:val="1"/>
          <w:bCs w:val="1"/>
          <w:color w:val="auto"/>
        </w:rPr>
        <w:t>Payment</w:t>
      </w:r>
      <w:r>
        <w:rPr>
          <w:rFonts w:ascii="Arial" w:cs="Arial" w:eastAsia="Arial" w:hAnsi="Arial"/>
          <w:sz w:val="16"/>
          <w:szCs w:val="16"/>
          <w:color w:val="auto"/>
        </w:rPr>
        <w:t>. A Restricted Stock Unit Award may be settled by the delivery of shares of Common Stock,</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their cash equivalent, any combination thereof or in any other form of consideration, as determined by the Board and contained in the Restricted Stock Unit Award Agreement.</w:t>
      </w:r>
    </w:p>
    <w:p>
      <w:pPr>
        <w:spacing w:after="0" w:line="172"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2"/>
          <w:szCs w:val="22"/>
          <w:b w:val="1"/>
          <w:bCs w:val="1"/>
          <w:color w:val="auto"/>
        </w:rPr>
        <w:t xml:space="preserve">(iv) </w:t>
      </w:r>
      <w:r>
        <w:rPr>
          <w:rFonts w:ascii="Arial" w:cs="Arial" w:eastAsia="Arial" w:hAnsi="Arial"/>
          <w:sz w:val="18"/>
          <w:szCs w:val="18"/>
          <w:b w:val="1"/>
          <w:bCs w:val="1"/>
          <w:color w:val="auto"/>
        </w:rPr>
        <w:t>Additional Restrictions.</w:t>
      </w:r>
      <w:r>
        <w:rPr>
          <w:rFonts w:ascii="Arial" w:cs="Arial" w:eastAsia="Arial" w:hAnsi="Arial"/>
          <w:sz w:val="22"/>
          <w:szCs w:val="22"/>
          <w:b w:val="1"/>
          <w:bCs w:val="1"/>
          <w:color w:val="auto"/>
        </w:rPr>
        <w:t xml:space="preserve"> </w:t>
      </w:r>
      <w:r>
        <w:rPr>
          <w:rFonts w:ascii="Arial" w:cs="Arial" w:eastAsia="Arial" w:hAnsi="Arial"/>
          <w:sz w:val="18"/>
          <w:szCs w:val="18"/>
          <w:color w:val="auto"/>
        </w:rPr>
        <w:t>At the time of the grant of a Restricted Stock Unit Award, the Board, as it</w:t>
      </w:r>
      <w:r>
        <w:rPr>
          <w:rFonts w:ascii="Arial" w:cs="Arial" w:eastAsia="Arial" w:hAnsi="Arial"/>
          <w:sz w:val="22"/>
          <w:szCs w:val="22"/>
          <w:b w:val="1"/>
          <w:bCs w:val="1"/>
          <w:color w:val="auto"/>
        </w:rPr>
        <w:t xml:space="preserve"> </w:t>
      </w:r>
      <w:r>
        <w:rPr>
          <w:rFonts w:ascii="Arial" w:cs="Arial" w:eastAsia="Arial" w:hAnsi="Arial"/>
          <w:sz w:val="18"/>
          <w:szCs w:val="18"/>
          <w:color w:val="auto"/>
        </w:rPr>
        <w:t>deems appropriate, may impose such restrictions or conditions that delay the delivery of the shares of Common Stock (or their cash equivalent) subject to a Restricted Stock Unit Award to a time after the vesting of such Restricted Stock Unit Award.</w:t>
      </w:r>
    </w:p>
    <w:p>
      <w:pPr>
        <w:spacing w:after="0" w:line="174"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21"/>
          <w:szCs w:val="21"/>
          <w:b w:val="1"/>
          <w:bCs w:val="1"/>
          <w:color w:val="auto"/>
        </w:rPr>
        <w:t xml:space="preserve">(v) </w:t>
      </w:r>
      <w:r>
        <w:rPr>
          <w:rFonts w:ascii="Arial" w:cs="Arial" w:eastAsia="Arial" w:hAnsi="Arial"/>
          <w:sz w:val="17"/>
          <w:szCs w:val="17"/>
          <w:b w:val="1"/>
          <w:bCs w:val="1"/>
          <w:color w:val="auto"/>
        </w:rPr>
        <w:t>Dividend Equivalents.</w:t>
      </w:r>
      <w:r>
        <w:rPr>
          <w:rFonts w:ascii="Arial" w:cs="Arial" w:eastAsia="Arial" w:hAnsi="Arial"/>
          <w:sz w:val="21"/>
          <w:szCs w:val="21"/>
          <w:b w:val="1"/>
          <w:bCs w:val="1"/>
          <w:color w:val="auto"/>
        </w:rPr>
        <w:t xml:space="preserve"> </w:t>
      </w:r>
      <w:r>
        <w:rPr>
          <w:rFonts w:ascii="Arial" w:cs="Arial" w:eastAsia="Arial" w:hAnsi="Arial"/>
          <w:sz w:val="17"/>
          <w:szCs w:val="17"/>
          <w:color w:val="auto"/>
        </w:rPr>
        <w:t>Dividend equivalents may be credited in respect of shares of Common Stock</w:t>
      </w:r>
      <w:r>
        <w:rPr>
          <w:rFonts w:ascii="Arial" w:cs="Arial" w:eastAsia="Arial" w:hAnsi="Arial"/>
          <w:sz w:val="21"/>
          <w:szCs w:val="21"/>
          <w:b w:val="1"/>
          <w:bCs w:val="1"/>
          <w:color w:val="auto"/>
        </w:rPr>
        <w:t xml:space="preserve"> </w:t>
      </w:r>
      <w:r>
        <w:rPr>
          <w:rFonts w:ascii="Arial" w:cs="Arial" w:eastAsia="Arial" w:hAnsi="Arial"/>
          <w:sz w:val="17"/>
          <w:szCs w:val="17"/>
          <w:color w:val="auto"/>
        </w:rPr>
        <w:t>covered by a Restricted 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64" w:lineRule="exact"/>
        <w:rPr>
          <w:sz w:val="20"/>
          <w:szCs w:val="20"/>
          <w:color w:val="auto"/>
        </w:rPr>
      </w:pPr>
    </w:p>
    <w:p>
      <w:pPr>
        <w:ind w:left="1760"/>
        <w:spacing w:after="0"/>
        <w:tabs>
          <w:tab w:leader="none" w:pos="4000" w:val="left"/>
        </w:tabs>
        <w:rPr>
          <w:sz w:val="20"/>
          <w:szCs w:val="20"/>
          <w:color w:val="auto"/>
        </w:rPr>
      </w:pPr>
      <w:r>
        <w:rPr>
          <w:rFonts w:ascii="Arial" w:cs="Arial" w:eastAsia="Arial" w:hAnsi="Arial"/>
          <w:sz w:val="19"/>
          <w:szCs w:val="19"/>
          <w:b w:val="1"/>
          <w:bCs w:val="1"/>
          <w:color w:val="auto"/>
        </w:rPr>
        <w:t>(vi)</w:t>
      </w:r>
      <w:r>
        <w:rPr>
          <w:sz w:val="20"/>
          <w:szCs w:val="20"/>
          <w:color w:val="auto"/>
        </w:rPr>
        <w:tab/>
      </w:r>
      <w:r>
        <w:rPr>
          <w:rFonts w:ascii="Arial" w:cs="Arial" w:eastAsia="Arial" w:hAnsi="Arial"/>
          <w:sz w:val="16"/>
          <w:szCs w:val="16"/>
          <w:b w:val="1"/>
          <w:bCs w:val="1"/>
          <w:color w:val="auto"/>
        </w:rPr>
        <w:t xml:space="preserve">Termination of Participant’s Continuous Service. </w:t>
      </w:r>
      <w:r>
        <w:rPr>
          <w:rFonts w:ascii="Arial" w:cs="Arial" w:eastAsia="Arial" w:hAnsi="Arial"/>
          <w:sz w:val="16"/>
          <w:szCs w:val="16"/>
          <w:color w:val="auto"/>
        </w:rPr>
        <w:t>Except as otherwise provided in the applicable</w:t>
      </w:r>
    </w:p>
    <w:p>
      <w:pPr>
        <w:spacing w:after="0" w:line="5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Restricted Stock Unit Award Agreement, such portion of the Restricted Stock Unit Award that has not vested will be forfeited upon the Participant’s termination of Continuous Service.</w:t>
      </w:r>
    </w:p>
    <w:p>
      <w:pPr>
        <w:spacing w:after="0" w:line="190" w:lineRule="exact"/>
        <w:rPr>
          <w:sz w:val="20"/>
          <w:szCs w:val="20"/>
          <w:color w:val="auto"/>
        </w:rPr>
      </w:pPr>
    </w:p>
    <w:p>
      <w:pPr>
        <w:ind w:left="2420" w:hanging="1535"/>
        <w:spacing w:after="0"/>
        <w:tabs>
          <w:tab w:leader="none" w:pos="2420" w:val="left"/>
        </w:tabs>
        <w:numPr>
          <w:ilvl w:val="0"/>
          <w:numId w:val="24"/>
        </w:numPr>
        <w:rPr>
          <w:rFonts w:ascii="Arial" w:cs="Arial" w:eastAsia="Arial" w:hAnsi="Arial"/>
          <w:sz w:val="22"/>
          <w:szCs w:val="22"/>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w:t>
      </w:r>
    </w:p>
    <w:p>
      <w:pPr>
        <w:spacing w:after="0" w:line="189"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1"/>
          <w:szCs w:val="21"/>
          <w:b w:val="1"/>
          <w:bCs w:val="1"/>
          <w:color w:val="auto"/>
        </w:rPr>
        <w:t xml:space="preserve">(i) </w:t>
      </w:r>
      <w:r>
        <w:rPr>
          <w:rFonts w:ascii="Arial" w:cs="Arial" w:eastAsia="Arial" w:hAnsi="Arial"/>
          <w:sz w:val="17"/>
          <w:szCs w:val="17"/>
          <w:b w:val="1"/>
          <w:bCs w:val="1"/>
          <w:color w:val="auto"/>
        </w:rPr>
        <w:t>Performance Stock Awards</w:t>
      </w:r>
      <w:r>
        <w:rPr>
          <w:rFonts w:ascii="Arial" w:cs="Arial" w:eastAsia="Arial" w:hAnsi="Arial"/>
          <w:sz w:val="17"/>
          <w:szCs w:val="17"/>
          <w:color w:val="auto"/>
        </w:rPr>
        <w:t>. A Performance Stock Award is a Stock Award (covering a number of</w:t>
      </w:r>
      <w:r>
        <w:rPr>
          <w:rFonts w:ascii="Arial" w:cs="Arial" w:eastAsia="Arial" w:hAnsi="Arial"/>
          <w:sz w:val="21"/>
          <w:szCs w:val="21"/>
          <w:b w:val="1"/>
          <w:bCs w:val="1"/>
          <w:color w:val="auto"/>
        </w:rPr>
        <w:t xml:space="preserve"> </w:t>
      </w:r>
      <w:r>
        <w:rPr>
          <w:rFonts w:ascii="Arial" w:cs="Arial" w:eastAsia="Arial" w:hAnsi="Arial"/>
          <w:sz w:val="17"/>
          <w:szCs w:val="17"/>
          <w:color w:val="auto"/>
        </w:rPr>
        <w:t>shares not in excess of that set forth in Section 3(d)(ii)) that is payable (including that may be granted, vest or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In addition, to the extent permitted by applicable law and the applicable Award Agreement, the Board may determine that cash may be used in payment of Performance Stock Awards.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0" w:name="page31"/>
    <w:bookmarkEnd w:id="30"/>
    <w:p>
      <w:pPr>
        <w:jc w:val="both"/>
        <w:ind w:firstLine="1755"/>
        <w:spacing w:after="0" w:line="253"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18"/>
          <w:szCs w:val="18"/>
          <w:b w:val="1"/>
          <w:bCs w:val="1"/>
          <w:color w:val="auto"/>
        </w:rPr>
        <w:t>Performance Cash Awards</w:t>
      </w:r>
      <w:r>
        <w:rPr>
          <w:rFonts w:ascii="Arial" w:cs="Arial" w:eastAsia="Arial" w:hAnsi="Arial"/>
          <w:sz w:val="18"/>
          <w:szCs w:val="18"/>
          <w:color w:val="auto"/>
        </w:rPr>
        <w:t>. A Performance Cash Award is a cash award (for a dollar value not in</w:t>
      </w:r>
      <w:r>
        <w:rPr>
          <w:rFonts w:ascii="Arial" w:cs="Arial" w:eastAsia="Arial" w:hAnsi="Arial"/>
          <w:sz w:val="22"/>
          <w:szCs w:val="22"/>
          <w:b w:val="1"/>
          <w:bCs w:val="1"/>
          <w:color w:val="auto"/>
        </w:rPr>
        <w:t xml:space="preserve"> </w:t>
      </w:r>
      <w:r>
        <w:rPr>
          <w:rFonts w:ascii="Arial" w:cs="Arial" w:eastAsia="Arial" w:hAnsi="Arial"/>
          <w:sz w:val="18"/>
          <w:szCs w:val="18"/>
          <w:color w:val="auto"/>
        </w:rPr>
        <w:t>excess of that set forth in Section 3(d)(iii)) that is payable contingent upon the attainment during a Performance Period of certain Performance Goals. A Performance Cash Award may also require the Participant’s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78" w:lineRule="exact"/>
        <w:rPr>
          <w:sz w:val="20"/>
          <w:szCs w:val="20"/>
          <w:color w:val="auto"/>
        </w:rPr>
      </w:pPr>
    </w:p>
    <w:p>
      <w:pPr>
        <w:jc w:val="both"/>
        <w:ind w:right="20" w:firstLine="1755"/>
        <w:spacing w:after="0" w:line="258" w:lineRule="auto"/>
        <w:rPr>
          <w:sz w:val="20"/>
          <w:szCs w:val="20"/>
          <w:color w:val="auto"/>
        </w:rPr>
      </w:pPr>
      <w:r>
        <w:rPr>
          <w:rFonts w:ascii="Arial" w:cs="Arial" w:eastAsia="Arial" w:hAnsi="Arial"/>
          <w:sz w:val="22"/>
          <w:szCs w:val="22"/>
          <w:b w:val="1"/>
          <w:bCs w:val="1"/>
          <w:color w:val="auto"/>
        </w:rPr>
        <w:t xml:space="preserve">(iii) </w:t>
      </w:r>
      <w:r>
        <w:rPr>
          <w:rFonts w:ascii="Arial" w:cs="Arial" w:eastAsia="Arial" w:hAnsi="Arial"/>
          <w:sz w:val="18"/>
          <w:szCs w:val="18"/>
          <w:b w:val="1"/>
          <w:bCs w:val="1"/>
          <w:color w:val="auto"/>
        </w:rPr>
        <w:t>Board Discretion</w:t>
      </w:r>
      <w:r>
        <w:rPr>
          <w:rFonts w:ascii="Arial" w:cs="Arial" w:eastAsia="Arial" w:hAnsi="Arial"/>
          <w:sz w:val="18"/>
          <w:szCs w:val="18"/>
          <w:color w:val="auto"/>
        </w:rPr>
        <w:t>. The Board retains the discretion to reduce or eliminate the compensation or</w:t>
      </w:r>
      <w:r>
        <w:rPr>
          <w:rFonts w:ascii="Arial" w:cs="Arial" w:eastAsia="Arial" w:hAnsi="Arial"/>
          <w:sz w:val="22"/>
          <w:szCs w:val="22"/>
          <w:b w:val="1"/>
          <w:bCs w:val="1"/>
          <w:color w:val="auto"/>
        </w:rPr>
        <w:t xml:space="preserve"> </w:t>
      </w:r>
      <w:r>
        <w:rPr>
          <w:rFonts w:ascii="Arial" w:cs="Arial" w:eastAsia="Arial" w:hAnsi="Arial"/>
          <w:sz w:val="18"/>
          <w:szCs w:val="18"/>
          <w:color w:val="auto"/>
        </w:rPr>
        <w:t>economic benefit due upon attainment of Performance Goals and to define the manner of calculating the Performance Criteria it selects to use for a Performance Period.</w:t>
      </w:r>
    </w:p>
    <w:p>
      <w:pPr>
        <w:spacing w:after="0" w:line="174" w:lineRule="exact"/>
        <w:rPr>
          <w:sz w:val="20"/>
          <w:szCs w:val="20"/>
          <w:color w:val="auto"/>
        </w:rPr>
      </w:pPr>
    </w:p>
    <w:p>
      <w:pPr>
        <w:jc w:val="both"/>
        <w:ind w:firstLine="1755"/>
        <w:spacing w:after="0" w:line="268" w:lineRule="auto"/>
        <w:rPr>
          <w:sz w:val="20"/>
          <w:szCs w:val="20"/>
          <w:color w:val="auto"/>
        </w:rPr>
      </w:pPr>
      <w:r>
        <w:rPr>
          <w:rFonts w:ascii="Arial" w:cs="Arial" w:eastAsia="Arial" w:hAnsi="Arial"/>
          <w:sz w:val="21"/>
          <w:szCs w:val="21"/>
          <w:b w:val="1"/>
          <w:bCs w:val="1"/>
          <w:color w:val="auto"/>
        </w:rPr>
        <w:t xml:space="preserve">(iv) </w:t>
      </w:r>
      <w:r>
        <w:rPr>
          <w:rFonts w:ascii="Arial" w:cs="Arial" w:eastAsia="Arial" w:hAnsi="Arial"/>
          <w:sz w:val="17"/>
          <w:szCs w:val="17"/>
          <w:b w:val="1"/>
          <w:bCs w:val="1"/>
          <w:color w:val="auto"/>
        </w:rPr>
        <w:t>Section 162(m) Compliance</w:t>
      </w:r>
      <w:r>
        <w:rPr>
          <w:rFonts w:ascii="Arial" w:cs="Arial" w:eastAsia="Arial" w:hAnsi="Arial"/>
          <w:sz w:val="17"/>
          <w:szCs w:val="17"/>
          <w:color w:val="auto"/>
        </w:rPr>
        <w:t>. Unless otherwise permitted in compliance with Section 162(m) of the</w:t>
      </w:r>
      <w:r>
        <w:rPr>
          <w:rFonts w:ascii="Arial" w:cs="Arial" w:eastAsia="Arial" w:hAnsi="Arial"/>
          <w:sz w:val="21"/>
          <w:szCs w:val="21"/>
          <w:b w:val="1"/>
          <w:bCs w:val="1"/>
          <w:color w:val="auto"/>
        </w:rPr>
        <w:t xml:space="preserve"> </w:t>
      </w:r>
      <w:r>
        <w:rPr>
          <w:rFonts w:ascii="Arial" w:cs="Arial" w:eastAsia="Arial" w:hAnsi="Arial"/>
          <w:sz w:val="17"/>
          <w:szCs w:val="17"/>
          <w:color w:val="auto"/>
        </w:rPr>
        <w:t>Code with respect to an Award intended to qualify as “performance-based compensation” thereunder, the Committee will establish the Performance Goals applicable to, and the formula for calculating the amount payable under, the Award no later than the earlier of (A) the date ninety (90) days after the commencement of the applicable Performance Period, and (B) the date on which twenty-five percent (25%) of the Performance Period has elapsed, and in any event at a time when the achievement of the applicable Performance Goals remains substantially uncertain. Prior to the payment of any compensation under an Award intended to qualify as “performance-based compensation” under Section 162(m) of the Code, the Committee will certify the extent to which any Performance Goals and any other material terms under such Award have been satisfied (other than in cases where the Performance Goals relate solely to the increase in the value of the Common Stock). Notwithstanding satisfaction or any completion of any Performance Goals, shares subject to Options, cash or other benefits granted, issued, retainable and/or vested under an Award on account of satisfaction of such Performance Goals may be reduced by the Committee on the basis of any further considerations as the Committee, in its sole discretion, will determine.</w:t>
      </w:r>
    </w:p>
    <w:p>
      <w:pPr>
        <w:spacing w:after="0" w:line="206" w:lineRule="exact"/>
        <w:rPr>
          <w:sz w:val="20"/>
          <w:szCs w:val="20"/>
          <w:color w:val="auto"/>
        </w:rPr>
      </w:pPr>
    </w:p>
    <w:p>
      <w:pPr>
        <w:jc w:val="both"/>
        <w:ind w:firstLine="885"/>
        <w:spacing w:after="0" w:line="262" w:lineRule="auto"/>
        <w:tabs>
          <w:tab w:leader="none" w:pos="2438" w:val="left"/>
        </w:tabs>
        <w:numPr>
          <w:ilvl w:val="1"/>
          <w:numId w:val="25"/>
        </w:numPr>
        <w:rPr>
          <w:rFonts w:ascii="Arial" w:cs="Arial" w:eastAsia="Arial" w:hAnsi="Arial"/>
          <w:sz w:val="21"/>
          <w:szCs w:val="21"/>
          <w:b w:val="1"/>
          <w:bCs w:val="1"/>
          <w:color w:val="auto"/>
        </w:rPr>
      </w:pPr>
      <w:r>
        <w:rPr>
          <w:rFonts w:ascii="Arial" w:cs="Arial" w:eastAsia="Arial" w:hAnsi="Arial"/>
          <w:sz w:val="17"/>
          <w:szCs w:val="17"/>
          <w:b w:val="1"/>
          <w:bCs w:val="1"/>
          <w:color w:val="auto"/>
        </w:rPr>
        <w:t>Other Stock Awards</w:t>
      </w:r>
      <w:r>
        <w:rPr>
          <w:rFonts w:ascii="Arial" w:cs="Arial" w:eastAsia="Arial" w:hAnsi="Arial"/>
          <w:sz w:val="17"/>
          <w:szCs w:val="17"/>
          <w:color w:val="auto"/>
        </w:rPr>
        <w:t>. Other forms of Stock Awards valued in whole or in part by reference to, or otherwise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including the appreciation in value thereof (e.g., options or stock rights with an exercise price or strike price less than one hundred percent (100%) of the Fair Market Value of the Common Stock at the time of grant) may be granted either alone or in addition to Stock Awards granted under Section 5 and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90" w:lineRule="exact"/>
        <w:rPr>
          <w:rFonts w:ascii="Arial" w:cs="Arial" w:eastAsia="Arial" w:hAnsi="Arial"/>
          <w:sz w:val="21"/>
          <w:szCs w:val="21"/>
          <w:b w:val="1"/>
          <w:bCs w:val="1"/>
          <w:color w:val="auto"/>
        </w:rPr>
      </w:pPr>
    </w:p>
    <w:p>
      <w:pPr>
        <w:ind w:left="820" w:hanging="812"/>
        <w:spacing w:after="0"/>
        <w:tabs>
          <w:tab w:leader="none" w:pos="820" w:val="left"/>
        </w:tabs>
        <w:numPr>
          <w:ilvl w:val="0"/>
          <w:numId w:val="26"/>
        </w:numPr>
        <w:rPr>
          <w:rFonts w:ascii="Arial" w:cs="Arial" w:eastAsia="Arial" w:hAnsi="Arial"/>
          <w:sz w:val="22"/>
          <w:szCs w:val="22"/>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224" w:lineRule="exact"/>
        <w:rPr>
          <w:rFonts w:ascii="Arial" w:cs="Arial" w:eastAsia="Arial" w:hAnsi="Arial"/>
          <w:sz w:val="22"/>
          <w:szCs w:val="22"/>
          <w:b w:val="1"/>
          <w:bCs w:val="1"/>
          <w:color w:val="auto"/>
        </w:rPr>
      </w:pPr>
    </w:p>
    <w:p>
      <w:pPr>
        <w:ind w:firstLine="885"/>
        <w:spacing w:after="0" w:line="235" w:lineRule="auto"/>
        <w:tabs>
          <w:tab w:leader="none" w:pos="2426" w:val="left"/>
        </w:tabs>
        <w:numPr>
          <w:ilvl w:val="1"/>
          <w:numId w:val="26"/>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The Company will keep available at all times the number of shares of Common Stock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satisfy then-outstanding Stock Awards.</w:t>
      </w:r>
    </w:p>
    <w:p>
      <w:pPr>
        <w:spacing w:after="0" w:line="224" w:lineRule="exact"/>
        <w:rPr>
          <w:rFonts w:ascii="Arial" w:cs="Arial" w:eastAsia="Arial" w:hAnsi="Arial"/>
          <w:sz w:val="22"/>
          <w:szCs w:val="22"/>
          <w:b w:val="1"/>
          <w:bCs w:val="1"/>
          <w:color w:val="auto"/>
        </w:rPr>
      </w:pPr>
    </w:p>
    <w:p>
      <w:pPr>
        <w:jc w:val="both"/>
        <w:ind w:firstLine="885"/>
        <w:spacing w:after="0" w:line="263" w:lineRule="auto"/>
        <w:tabs>
          <w:tab w:leader="none" w:pos="2438" w:val="left"/>
        </w:tabs>
        <w:numPr>
          <w:ilvl w:val="1"/>
          <w:numId w:val="26"/>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Securities Law Compliance. </w:t>
      </w:r>
      <w:r>
        <w:rPr>
          <w:rFonts w:ascii="Arial" w:cs="Arial" w:eastAsia="Arial" w:hAnsi="Arial"/>
          <w:sz w:val="17"/>
          <w:szCs w:val="17"/>
          <w:color w:val="auto"/>
        </w:rPr>
        <w:t>The Company will seek to obtain from each regulatory commission or agency having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jurisdiction over the Plan the authority required to grant Stock Awards and to issue and sell shares of Common Stock upon exercise of the Stock Awards;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this undertaking will not require the Company to register under the Securities Act the Plan, any Stock Award or any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1" w:name="page32"/>
    <w:bookmarkEnd w:id="31"/>
    <w:p>
      <w:pPr>
        <w:jc w:val="both"/>
        <w:ind w:left="-8" w:firstLine="885"/>
        <w:spacing w:after="0" w:line="243" w:lineRule="auto"/>
        <w:tabs>
          <w:tab w:leader="none" w:pos="2406" w:val="left"/>
        </w:tabs>
        <w:numPr>
          <w:ilvl w:val="1"/>
          <w:numId w:val="27"/>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No Obligation to Notify or Minimize Taxes. </w:t>
      </w:r>
      <w:r>
        <w:rPr>
          <w:rFonts w:ascii="Arial" w:cs="Arial" w:eastAsia="Arial" w:hAnsi="Arial"/>
          <w:sz w:val="18"/>
          <w:szCs w:val="18"/>
          <w:color w:val="auto"/>
        </w:rPr>
        <w:t>The Company will have no duty or obligation to any Participant to advise</w:t>
      </w:r>
      <w:r>
        <w:rPr>
          <w:rFonts w:ascii="Arial" w:cs="Arial" w:eastAsia="Arial" w:hAnsi="Arial"/>
          <w:sz w:val="18"/>
          <w:szCs w:val="18"/>
          <w:b w:val="1"/>
          <w:bCs w:val="1"/>
          <w:color w:val="auto"/>
        </w:rPr>
        <w:t xml:space="preserve"> </w:t>
      </w:r>
      <w:r>
        <w:rPr>
          <w:rFonts w:ascii="Arial" w:cs="Arial" w:eastAsia="Arial" w:hAnsi="Arial"/>
          <w:sz w:val="18"/>
          <w:szCs w:val="18"/>
          <w:color w:val="auto"/>
        </w:rPr>
        <w:t>such holder as to the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204" w:lineRule="exact"/>
        <w:rPr>
          <w:rFonts w:ascii="Arial" w:cs="Arial" w:eastAsia="Arial" w:hAnsi="Arial"/>
          <w:sz w:val="22"/>
          <w:szCs w:val="22"/>
          <w:b w:val="1"/>
          <w:bCs w:val="1"/>
          <w:color w:val="auto"/>
        </w:rPr>
      </w:pPr>
    </w:p>
    <w:p>
      <w:pPr>
        <w:ind w:left="812" w:hanging="812"/>
        <w:spacing w:after="0"/>
        <w:tabs>
          <w:tab w:leader="none" w:pos="812" w:val="left"/>
        </w:tabs>
        <w:numPr>
          <w:ilvl w:val="0"/>
          <w:numId w:val="28"/>
        </w:numPr>
        <w:rPr>
          <w:rFonts w:ascii="Arial" w:cs="Arial" w:eastAsia="Arial" w:hAnsi="Arial"/>
          <w:sz w:val="22"/>
          <w:szCs w:val="22"/>
          <w:b w:val="1"/>
          <w:bCs w:val="1"/>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r>
        <w:rPr>
          <w:rFonts w:ascii="Arial" w:cs="Arial" w:eastAsia="Arial" w:hAnsi="Arial"/>
          <w:sz w:val="18"/>
          <w:szCs w:val="18"/>
          <w:b w:val="1"/>
          <w:bCs w:val="1"/>
          <w:color w:val="auto"/>
        </w:rPr>
        <w:t>.</w:t>
      </w:r>
    </w:p>
    <w:p>
      <w:pPr>
        <w:spacing w:after="0" w:line="224" w:lineRule="exact"/>
        <w:rPr>
          <w:rFonts w:ascii="Arial" w:cs="Arial" w:eastAsia="Arial" w:hAnsi="Arial"/>
          <w:sz w:val="22"/>
          <w:szCs w:val="22"/>
          <w:b w:val="1"/>
          <w:bCs w:val="1"/>
          <w:color w:val="auto"/>
        </w:rPr>
      </w:pPr>
    </w:p>
    <w:p>
      <w:pPr>
        <w:ind w:left="-8" w:firstLine="885"/>
        <w:spacing w:after="0" w:line="235" w:lineRule="auto"/>
        <w:tabs>
          <w:tab w:leader="none" w:pos="2418" w:val="left"/>
        </w:tabs>
        <w:numPr>
          <w:ilvl w:val="1"/>
          <w:numId w:val="28"/>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issued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Awards will constitute general funds of the Company.</w:t>
      </w:r>
    </w:p>
    <w:p>
      <w:pPr>
        <w:spacing w:after="0" w:line="224" w:lineRule="exact"/>
        <w:rPr>
          <w:rFonts w:ascii="Arial" w:cs="Arial" w:eastAsia="Arial" w:hAnsi="Arial"/>
          <w:sz w:val="22"/>
          <w:szCs w:val="22"/>
          <w:b w:val="1"/>
          <w:bCs w:val="1"/>
          <w:color w:val="auto"/>
        </w:rPr>
      </w:pPr>
    </w:p>
    <w:p>
      <w:pPr>
        <w:jc w:val="both"/>
        <w:ind w:left="-8" w:firstLine="885"/>
        <w:spacing w:after="0" w:line="262" w:lineRule="auto"/>
        <w:tabs>
          <w:tab w:leader="none" w:pos="2430" w:val="left"/>
        </w:tabs>
        <w:numPr>
          <w:ilvl w:val="1"/>
          <w:numId w:val="28"/>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Corporate Action Constituting Grant of Awards. </w:t>
      </w:r>
      <w:r>
        <w:rPr>
          <w:rFonts w:ascii="Arial" w:cs="Arial" w:eastAsia="Arial" w:hAnsi="Arial"/>
          <w:sz w:val="17"/>
          <w:szCs w:val="17"/>
          <w:color w:val="auto"/>
        </w:rPr>
        <w:t>Corporate action constituting a grant by the Company of an Award to</w:t>
      </w:r>
      <w:r>
        <w:rPr>
          <w:rFonts w:ascii="Arial" w:cs="Arial" w:eastAsia="Arial" w:hAnsi="Arial"/>
          <w:sz w:val="17"/>
          <w:szCs w:val="17"/>
          <w:b w:val="1"/>
          <w:bCs w:val="1"/>
          <w:color w:val="auto"/>
        </w:rPr>
        <w:t xml:space="preserve"> </w:t>
      </w:r>
      <w:r>
        <w:rPr>
          <w:rFonts w:ascii="Arial" w:cs="Arial" w:eastAsia="Arial" w:hAnsi="Arial"/>
          <w:sz w:val="17"/>
          <w:szCs w:val="17"/>
          <w:color w:val="auto"/>
        </w:rPr>
        <w:t>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211" w:lineRule="exact"/>
        <w:rPr>
          <w:rFonts w:ascii="Arial" w:cs="Arial" w:eastAsia="Arial" w:hAnsi="Arial"/>
          <w:sz w:val="21"/>
          <w:szCs w:val="21"/>
          <w:b w:val="1"/>
          <w:bCs w:val="1"/>
          <w:color w:val="auto"/>
        </w:rPr>
      </w:pPr>
    </w:p>
    <w:p>
      <w:pPr>
        <w:jc w:val="both"/>
        <w:ind w:left="-8" w:firstLine="885"/>
        <w:spacing w:after="0" w:line="243" w:lineRule="auto"/>
        <w:tabs>
          <w:tab w:leader="none" w:pos="2406" w:val="left"/>
        </w:tabs>
        <w:numPr>
          <w:ilvl w:val="1"/>
          <w:numId w:val="28"/>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Stockholder Rights. </w:t>
      </w:r>
      <w:r>
        <w:rPr>
          <w:rFonts w:ascii="Arial" w:cs="Arial" w:eastAsia="Arial" w:hAnsi="Arial"/>
          <w:sz w:val="18"/>
          <w:szCs w:val="18"/>
          <w:color w:val="auto"/>
        </w:rPr>
        <w:t>No Participant will be deemed to be the holder of, or to have any of the rights of a holder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shares of 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222" w:lineRule="exact"/>
        <w:rPr>
          <w:rFonts w:ascii="Arial" w:cs="Arial" w:eastAsia="Arial" w:hAnsi="Arial"/>
          <w:sz w:val="22"/>
          <w:szCs w:val="22"/>
          <w:b w:val="1"/>
          <w:bCs w:val="1"/>
          <w:color w:val="auto"/>
        </w:rPr>
      </w:pPr>
    </w:p>
    <w:p>
      <w:pPr>
        <w:jc w:val="both"/>
        <w:ind w:left="-8" w:firstLine="885"/>
        <w:spacing w:after="0" w:line="262" w:lineRule="auto"/>
        <w:tabs>
          <w:tab w:leader="none" w:pos="2430" w:val="left"/>
        </w:tabs>
        <w:numPr>
          <w:ilvl w:val="1"/>
          <w:numId w:val="28"/>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No Employment or Other Service Rights. </w:t>
      </w:r>
      <w:r>
        <w:rPr>
          <w:rFonts w:ascii="Arial" w:cs="Arial" w:eastAsia="Arial" w:hAnsi="Arial"/>
          <w:sz w:val="17"/>
          <w:szCs w:val="17"/>
          <w:color w:val="auto"/>
        </w:rPr>
        <w:t>Nothing in the Plan, any Award Agreement or any other instrument executed</w:t>
      </w:r>
      <w:r>
        <w:rPr>
          <w:rFonts w:ascii="Arial" w:cs="Arial" w:eastAsia="Arial" w:hAnsi="Arial"/>
          <w:sz w:val="17"/>
          <w:szCs w:val="17"/>
          <w:b w:val="1"/>
          <w:bCs w:val="1"/>
          <w:color w:val="auto"/>
        </w:rPr>
        <w:t xml:space="preserve"> </w:t>
      </w:r>
      <w:r>
        <w:rPr>
          <w:rFonts w:ascii="Arial" w:cs="Arial" w:eastAsia="Arial" w:hAnsi="Arial"/>
          <w:sz w:val="17"/>
          <w:szCs w:val="17"/>
          <w:color w:val="auto"/>
        </w:rPr>
        <w:t>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209" w:lineRule="exact"/>
        <w:rPr>
          <w:rFonts w:ascii="Arial" w:cs="Arial" w:eastAsia="Arial" w:hAnsi="Arial"/>
          <w:sz w:val="21"/>
          <w:szCs w:val="21"/>
          <w:b w:val="1"/>
          <w:bCs w:val="1"/>
          <w:color w:val="auto"/>
        </w:rPr>
      </w:pPr>
    </w:p>
    <w:p>
      <w:pPr>
        <w:jc w:val="both"/>
        <w:ind w:left="-8" w:firstLine="885"/>
        <w:spacing w:after="0" w:line="246" w:lineRule="auto"/>
        <w:tabs>
          <w:tab w:leader="none" w:pos="2406" w:val="left"/>
        </w:tabs>
        <w:numPr>
          <w:ilvl w:val="1"/>
          <w:numId w:val="28"/>
        </w:numPr>
        <w:rPr>
          <w:rFonts w:ascii="Arial" w:cs="Arial" w:eastAsia="Arial" w:hAnsi="Arial"/>
          <w:sz w:val="22"/>
          <w:szCs w:val="22"/>
          <w:b w:val="1"/>
          <w:bCs w:val="1"/>
          <w:color w:val="auto"/>
        </w:rPr>
      </w:pPr>
      <w:r>
        <w:rPr>
          <w:rFonts w:ascii="Arial" w:cs="Arial" w:eastAsia="Arial" w:hAnsi="Arial"/>
          <w:sz w:val="18"/>
          <w:szCs w:val="18"/>
          <w:b w:val="1"/>
          <w:bCs w:val="1"/>
          <w:color w:val="auto"/>
        </w:rPr>
        <w:t>Change in Time Commitment</w:t>
      </w:r>
      <w:r>
        <w:rPr>
          <w:rFonts w:ascii="Arial" w:cs="Arial" w:eastAsia="Arial" w:hAnsi="Arial"/>
          <w:sz w:val="18"/>
          <w:szCs w:val="18"/>
          <w:color w:val="auto"/>
        </w:rPr>
        <w:t>. In the event a Participant’s regular level of time commitment in the performance of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services for the Company and any Affiliates is reduced (for example, and without limitation, if the Participant is an Employee of the Company and the Employee has a change in status from a full-time Employee to a part-time Employee)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223" w:lineRule="exact"/>
        <w:rPr>
          <w:rFonts w:ascii="Arial" w:cs="Arial" w:eastAsia="Arial" w:hAnsi="Arial"/>
          <w:sz w:val="22"/>
          <w:szCs w:val="22"/>
          <w:b w:val="1"/>
          <w:bCs w:val="1"/>
          <w:color w:val="auto"/>
        </w:rPr>
      </w:pPr>
    </w:p>
    <w:p>
      <w:pPr>
        <w:jc w:val="both"/>
        <w:ind w:left="-8" w:firstLine="885"/>
        <w:spacing w:after="0" w:line="245" w:lineRule="auto"/>
        <w:tabs>
          <w:tab w:leader="none" w:pos="2382" w:val="left"/>
        </w:tabs>
        <w:numPr>
          <w:ilvl w:val="1"/>
          <w:numId w:val="28"/>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Incentive Stock Option Limitations. </w:t>
      </w:r>
      <w:r>
        <w:rPr>
          <w:rFonts w:ascii="Arial" w:cs="Arial" w:eastAsia="Arial" w:hAnsi="Arial"/>
          <w:sz w:val="18"/>
          <w:szCs w:val="18"/>
          <w:color w:val="auto"/>
        </w:rPr>
        <w:t>To the extent that the aggregate Fair Market Value (determined at the time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 Stock with respect to which Incentive Stock Options are exercisable for the first time by any Optionholder during any calendar year (under all plans of the Company and any Affiliates) exceeds one hundred thousand dollars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68" w:lineRule="exact"/>
        <w:rPr>
          <w:sz w:val="20"/>
          <w:szCs w:val="20"/>
          <w:color w:val="auto"/>
        </w:rPr>
      </w:pPr>
    </w:p>
    <w:p>
      <w:pPr>
        <w:ind w:left="872"/>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4" w:right="239" w:bottom="1440" w:gutter="0" w:footer="0" w:header="0"/>
        </w:sectPr>
      </w:pPr>
    </w:p>
    <w:bookmarkStart w:id="32" w:name="page33"/>
    <w:bookmarkEnd w:id="32"/>
    <w:p>
      <w:pPr>
        <w:jc w:val="both"/>
        <w:ind w:left="-880" w:firstLine="885"/>
        <w:spacing w:after="0" w:line="283" w:lineRule="auto"/>
        <w:tabs>
          <w:tab w:leader="none" w:pos="1546" w:val="left"/>
        </w:tabs>
        <w:numPr>
          <w:ilvl w:val="0"/>
          <w:numId w:val="29"/>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Investment Assurances. </w:t>
      </w:r>
      <w:r>
        <w:rPr>
          <w:rFonts w:ascii="Arial" w:cs="Arial" w:eastAsia="Arial" w:hAnsi="Arial"/>
          <w:sz w:val="16"/>
          <w:szCs w:val="16"/>
          <w:color w:val="auto"/>
        </w:rPr>
        <w:t>The Company may require a Participant, as a condition of exercising or acquiring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92" w:lineRule="exact"/>
        <w:rPr>
          <w:rFonts w:ascii="Arial" w:cs="Arial" w:eastAsia="Arial" w:hAnsi="Arial"/>
          <w:sz w:val="19"/>
          <w:szCs w:val="19"/>
          <w:b w:val="1"/>
          <w:bCs w:val="1"/>
          <w:color w:val="auto"/>
        </w:rPr>
      </w:pPr>
    </w:p>
    <w:p>
      <w:pPr>
        <w:jc w:val="both"/>
        <w:ind w:left="-880" w:firstLine="885"/>
        <w:spacing w:after="0" w:line="262" w:lineRule="auto"/>
        <w:tabs>
          <w:tab w:leader="none" w:pos="1558" w:val="left"/>
        </w:tabs>
        <w:numPr>
          <w:ilvl w:val="0"/>
          <w:numId w:val="29"/>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Withholding Obligations. </w:t>
      </w:r>
      <w:r>
        <w:rPr>
          <w:rFonts w:ascii="Arial" w:cs="Arial" w:eastAsia="Arial" w:hAnsi="Arial"/>
          <w:sz w:val="17"/>
          <w:szCs w:val="17"/>
          <w:color w:val="auto"/>
        </w:rPr>
        <w:t>Unless prohibited by the terms of an Award Agreement, the Company may, in its sole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discretion, 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shares of Common Stock are withheld with a value exceeding the minimum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211" w:lineRule="exact"/>
        <w:rPr>
          <w:rFonts w:ascii="Arial" w:cs="Arial" w:eastAsia="Arial" w:hAnsi="Arial"/>
          <w:sz w:val="21"/>
          <w:szCs w:val="21"/>
          <w:b w:val="1"/>
          <w:bCs w:val="1"/>
          <w:color w:val="auto"/>
        </w:rPr>
      </w:pPr>
    </w:p>
    <w:p>
      <w:pPr>
        <w:jc w:val="both"/>
        <w:ind w:left="-880" w:firstLine="885"/>
        <w:spacing w:after="0" w:line="239" w:lineRule="auto"/>
        <w:tabs>
          <w:tab w:leader="none" w:pos="1498" w:val="left"/>
        </w:tabs>
        <w:numPr>
          <w:ilvl w:val="0"/>
          <w:numId w:val="29"/>
        </w:numPr>
        <w:rPr>
          <w:rFonts w:ascii="Arial" w:cs="Arial" w:eastAsia="Arial" w:hAnsi="Arial"/>
          <w:sz w:val="22"/>
          <w:szCs w:val="22"/>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will include any agreement or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electronically, filed publicly at www.sec.gov (or any successor website thereto) or posted on the Company’s intranet (or other shared electronic medium controlled by the Company to which the Participant has access).</w:t>
      </w:r>
    </w:p>
    <w:p>
      <w:pPr>
        <w:spacing w:after="0" w:line="227" w:lineRule="exact"/>
        <w:rPr>
          <w:rFonts w:ascii="Arial" w:cs="Arial" w:eastAsia="Arial" w:hAnsi="Arial"/>
          <w:sz w:val="22"/>
          <w:szCs w:val="22"/>
          <w:b w:val="1"/>
          <w:bCs w:val="1"/>
          <w:color w:val="auto"/>
        </w:rPr>
      </w:pPr>
    </w:p>
    <w:p>
      <w:pPr>
        <w:jc w:val="both"/>
        <w:ind w:left="-880" w:firstLine="885"/>
        <w:spacing w:after="0" w:line="262" w:lineRule="auto"/>
        <w:tabs>
          <w:tab w:leader="none" w:pos="1510" w:val="left"/>
        </w:tabs>
        <w:numPr>
          <w:ilvl w:val="0"/>
          <w:numId w:val="29"/>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Deferrals. </w:t>
      </w:r>
      <w:r>
        <w:rPr>
          <w:rFonts w:ascii="Arial" w:cs="Arial" w:eastAsia="Arial" w:hAnsi="Arial"/>
          <w:sz w:val="17"/>
          <w:szCs w:val="17"/>
          <w:color w:val="auto"/>
        </w:rPr>
        <w:t>To the extent permitted by applicable law, the Board, in its sole discretion, may determine that the delivery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211" w:lineRule="exact"/>
        <w:rPr>
          <w:rFonts w:ascii="Arial" w:cs="Arial" w:eastAsia="Arial" w:hAnsi="Arial"/>
          <w:sz w:val="21"/>
          <w:szCs w:val="21"/>
          <w:b w:val="1"/>
          <w:bCs w:val="1"/>
          <w:color w:val="auto"/>
        </w:rPr>
      </w:pPr>
    </w:p>
    <w:p>
      <w:pPr>
        <w:jc w:val="both"/>
        <w:ind w:left="-880" w:firstLine="885"/>
        <w:spacing w:after="0" w:line="263" w:lineRule="auto"/>
        <w:tabs>
          <w:tab w:leader="none" w:pos="1558" w:val="left"/>
        </w:tabs>
        <w:numPr>
          <w:ilvl w:val="0"/>
          <w:numId w:val="29"/>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Compliance with Section 409A of the Code. </w:t>
      </w:r>
      <w:r>
        <w:rPr>
          <w:rFonts w:ascii="Arial" w:cs="Arial" w:eastAsia="Arial" w:hAnsi="Arial"/>
          <w:sz w:val="17"/>
          <w:szCs w:val="17"/>
          <w:color w:val="auto"/>
        </w:rPr>
        <w:t>To the extent that the Board determines that any Award granted hereunder is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Section 409A of the Code, the Award Agreement evidencing such Award shall incorporate the terms and conditions necessary to avoid the consequences specified in Section 409A(a)(1) of the Code. To the extent applicable, the Plan and Award Agreements shall be interpreted in accordance with Section 409A of the Code. Notwithstanding anything to the contrary in this Plan (and unless the Award Agreement specifically provides otherwise), if the shares of Common Stock are publicly traded and a Participant holding an Award that constitutes “deferred compensation” under Section 409A of the Code is a “specified employee” for purposes of Section 409A of the Code, no distribution or payment of any amount shall be made upon a “separation from service” before a date that is six (6) months following the date of such Participant’s “separation from service” (as defined in Section 409A of the Code without regard to alternative definitions thereunder) or, if earlier, the date of the Participant’s death.</w:t>
      </w:r>
    </w:p>
    <w:p>
      <w:pPr>
        <w:spacing w:after="0" w:line="207" w:lineRule="exact"/>
        <w:rPr>
          <w:rFonts w:ascii="Arial" w:cs="Arial" w:eastAsia="Arial" w:hAnsi="Arial"/>
          <w:sz w:val="21"/>
          <w:szCs w:val="21"/>
          <w:b w:val="1"/>
          <w:bCs w:val="1"/>
          <w:color w:val="auto"/>
        </w:rPr>
      </w:pPr>
    </w:p>
    <w:p>
      <w:pPr>
        <w:jc w:val="both"/>
        <w:ind w:left="-880" w:firstLine="885"/>
        <w:spacing w:after="0" w:line="239" w:lineRule="auto"/>
        <w:tabs>
          <w:tab w:leader="none" w:pos="1498" w:val="left"/>
        </w:tabs>
        <w:numPr>
          <w:ilvl w:val="0"/>
          <w:numId w:val="29"/>
        </w:numPr>
        <w:rPr>
          <w:rFonts w:ascii="Arial" w:cs="Arial" w:eastAsia="Arial" w:hAnsi="Arial"/>
          <w:sz w:val="22"/>
          <w:szCs w:val="22"/>
          <w:b w:val="1"/>
          <w:bCs w:val="1"/>
          <w:color w:val="auto"/>
        </w:rPr>
      </w:pPr>
      <w:r>
        <w:rPr>
          <w:rFonts w:ascii="Arial" w:cs="Arial" w:eastAsia="Arial" w:hAnsi="Arial"/>
          <w:sz w:val="18"/>
          <w:szCs w:val="18"/>
          <w:b w:val="1"/>
          <w:bCs w:val="1"/>
          <w:color w:val="auto"/>
        </w:rPr>
        <w:t>Clawback/Recovery</w:t>
      </w:r>
      <w:r>
        <w:rPr>
          <w:rFonts w:ascii="Arial" w:cs="Arial" w:eastAsia="Arial" w:hAnsi="Arial"/>
          <w:sz w:val="18"/>
          <w:szCs w:val="18"/>
          <w:color w:val="auto"/>
        </w:rPr>
        <w:t>. All Awards granted under the Plan will be subject to recoupment in accordance with any clawback</w:t>
      </w:r>
      <w:r>
        <w:rPr>
          <w:rFonts w:ascii="Arial" w:cs="Arial" w:eastAsia="Arial" w:hAnsi="Arial"/>
          <w:sz w:val="18"/>
          <w:szCs w:val="18"/>
          <w:b w:val="1"/>
          <w:bCs w:val="1"/>
          <w:color w:val="auto"/>
        </w:rPr>
        <w:t xml:space="preserve"> </w:t>
      </w:r>
      <w:r>
        <w:rPr>
          <w:rFonts w:ascii="Arial" w:cs="Arial" w:eastAsia="Arial" w:hAnsi="Arial"/>
          <w:sz w:val="18"/>
          <w:szCs w:val="18"/>
          <w:color w:val="auto"/>
        </w:rPr>
        <w:t>policy that the Company is required to adopt pursuant to the listing standards of any national securities exchange or association on which the Company’s securities are listed or as is otherwise required</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37465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64" w:right="239" w:bottom="1440" w:gutter="0" w:footer="0" w:header="0"/>
        </w:sectPr>
      </w:pPr>
    </w:p>
    <w:bookmarkStart w:id="33" w:name="page34"/>
    <w:bookmarkEnd w:id="33"/>
    <w:p>
      <w:pPr>
        <w:jc w:val="both"/>
        <w:spacing w:after="0" w:line="257" w:lineRule="auto"/>
        <w:rPr>
          <w:sz w:val="20"/>
          <w:szCs w:val="20"/>
          <w:color w:val="auto"/>
        </w:rPr>
      </w:pPr>
      <w:r>
        <w:rPr>
          <w:rFonts w:ascii="Arial" w:cs="Arial" w:eastAsia="Arial" w:hAnsi="Arial"/>
          <w:sz w:val="18"/>
          <w:szCs w:val="18"/>
          <w:color w:val="auto"/>
        </w:rPr>
        <w:t>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right to resign for “good reason” or “constructive termination” (or similar term) under any agreement with the Company.</w:t>
      </w:r>
    </w:p>
    <w:p>
      <w:pPr>
        <w:spacing w:after="0" w:line="193" w:lineRule="exact"/>
        <w:rPr>
          <w:sz w:val="20"/>
          <w:szCs w:val="20"/>
          <w:color w:val="auto"/>
        </w:rPr>
      </w:pPr>
    </w:p>
    <w:p>
      <w:pPr>
        <w:ind w:left="820" w:hanging="812"/>
        <w:spacing w:after="0"/>
        <w:tabs>
          <w:tab w:leader="none" w:pos="820" w:val="left"/>
        </w:tabs>
        <w:numPr>
          <w:ilvl w:val="0"/>
          <w:numId w:val="30"/>
        </w:numPr>
        <w:rPr>
          <w:rFonts w:ascii="Arial" w:cs="Arial" w:eastAsia="Arial" w:hAnsi="Arial"/>
          <w:sz w:val="22"/>
          <w:szCs w:val="22"/>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VENTS</w:t>
      </w:r>
      <w:r>
        <w:rPr>
          <w:rFonts w:ascii="Arial" w:cs="Arial" w:eastAsia="Arial" w:hAnsi="Arial"/>
          <w:sz w:val="18"/>
          <w:szCs w:val="18"/>
          <w:b w:val="1"/>
          <w:bCs w:val="1"/>
          <w:color w:val="auto"/>
        </w:rPr>
        <w:t>.</w:t>
      </w:r>
    </w:p>
    <w:p>
      <w:pPr>
        <w:spacing w:after="0" w:line="224" w:lineRule="exact"/>
        <w:rPr>
          <w:rFonts w:ascii="Arial" w:cs="Arial" w:eastAsia="Arial" w:hAnsi="Arial"/>
          <w:sz w:val="22"/>
          <w:szCs w:val="22"/>
          <w:b w:val="1"/>
          <w:bCs w:val="1"/>
          <w:color w:val="auto"/>
        </w:rPr>
      </w:pPr>
    </w:p>
    <w:p>
      <w:pPr>
        <w:ind w:left="2440" w:hanging="1555"/>
        <w:spacing w:after="0"/>
        <w:tabs>
          <w:tab w:leader="none" w:pos="2440" w:val="left"/>
        </w:tabs>
        <w:numPr>
          <w:ilvl w:val="1"/>
          <w:numId w:val="30"/>
        </w:numPr>
        <w:rPr>
          <w:rFonts w:ascii="Arial" w:cs="Arial" w:eastAsia="Arial" w:hAnsi="Arial"/>
          <w:sz w:val="19"/>
          <w:szCs w:val="19"/>
          <w:b w:val="1"/>
          <w:bCs w:val="1"/>
          <w:color w:val="auto"/>
        </w:rPr>
      </w:pPr>
      <w:r>
        <w:rPr>
          <w:rFonts w:ascii="Arial" w:cs="Arial" w:eastAsia="Arial" w:hAnsi="Arial"/>
          <w:sz w:val="16"/>
          <w:szCs w:val="16"/>
          <w:b w:val="1"/>
          <w:bCs w:val="1"/>
          <w:color w:val="auto"/>
        </w:rPr>
        <w:t>Capitalization Adjustments</w:t>
      </w:r>
      <w:r>
        <w:rPr>
          <w:rFonts w:ascii="Arial" w:cs="Arial" w:eastAsia="Arial" w:hAnsi="Arial"/>
          <w:sz w:val="16"/>
          <w:szCs w:val="16"/>
          <w:color w:val="auto"/>
        </w:rPr>
        <w:t>. In the event of a Capitalization Adjustment, the Board will appropriately and proportionately</w:t>
      </w:r>
    </w:p>
    <w:p>
      <w:pPr>
        <w:spacing w:after="0" w:line="17" w:lineRule="exact"/>
        <w:rPr>
          <w:rFonts w:ascii="Arial" w:cs="Arial" w:eastAsia="Arial" w:hAnsi="Arial"/>
          <w:sz w:val="19"/>
          <w:szCs w:val="19"/>
          <w:b w:val="1"/>
          <w:bCs w:val="1"/>
          <w:color w:val="auto"/>
        </w:rPr>
      </w:pPr>
    </w:p>
    <w:p>
      <w:pPr>
        <w:jc w:val="both"/>
        <w:spacing w:after="0" w:line="273" w:lineRule="auto"/>
        <w:rPr>
          <w:rFonts w:ascii="Arial" w:cs="Arial" w:eastAsia="Arial" w:hAnsi="Arial"/>
          <w:sz w:val="19"/>
          <w:szCs w:val="19"/>
          <w:b w:val="1"/>
          <w:bCs w:val="1"/>
          <w:color w:val="auto"/>
        </w:rPr>
      </w:pPr>
      <w:r>
        <w:rPr>
          <w:rFonts w:ascii="Arial" w:cs="Arial" w:eastAsia="Arial" w:hAnsi="Arial"/>
          <w:sz w:val="17"/>
          <w:szCs w:val="17"/>
          <w:color w:val="auto"/>
        </w:rPr>
        <w:t>adjust: (i) the class(es) and maximum number of securities subject to the Plan pursuant to Section 3(a), (ii) the class(es) and maximum number of securities that may be issued pursuant to the exercise of Incentive Stock Options pursuant to Section 3(c), (iii) the class(es) and maximum number of securities that may be awarded to any person pursuant to Sections 3(d), and (iv) the class(es) and number of securities and price per share of stock subject to outstanding Stock Awards. The Board will make such adjustments, and its determination will be final, binding and conclusive.</w:t>
      </w:r>
    </w:p>
    <w:p>
      <w:pPr>
        <w:spacing w:after="0" w:line="198" w:lineRule="exact"/>
        <w:rPr>
          <w:rFonts w:ascii="Arial" w:cs="Arial" w:eastAsia="Arial" w:hAnsi="Arial"/>
          <w:sz w:val="19"/>
          <w:szCs w:val="19"/>
          <w:b w:val="1"/>
          <w:bCs w:val="1"/>
          <w:color w:val="auto"/>
        </w:rPr>
      </w:pPr>
    </w:p>
    <w:p>
      <w:pPr>
        <w:jc w:val="both"/>
        <w:ind w:firstLine="885"/>
        <w:spacing w:after="0" w:line="283" w:lineRule="auto"/>
        <w:tabs>
          <w:tab w:leader="none" w:pos="2438" w:val="left"/>
        </w:tabs>
        <w:numPr>
          <w:ilvl w:val="1"/>
          <w:numId w:val="30"/>
        </w:numPr>
        <w:rPr>
          <w:rFonts w:ascii="Arial" w:cs="Arial" w:eastAsia="Arial" w:hAnsi="Arial"/>
          <w:sz w:val="19"/>
          <w:szCs w:val="19"/>
          <w:b w:val="1"/>
          <w:bCs w:val="1"/>
          <w:color w:val="auto"/>
        </w:rPr>
      </w:pPr>
      <w:r>
        <w:rPr>
          <w:rFonts w:ascii="Arial" w:cs="Arial" w:eastAsia="Arial" w:hAnsi="Arial"/>
          <w:sz w:val="16"/>
          <w:szCs w:val="16"/>
          <w:b w:val="1"/>
          <w:bCs w:val="1"/>
          <w:color w:val="auto"/>
        </w:rPr>
        <w:t>Dissolution or Liquidation</w:t>
      </w:r>
      <w:r>
        <w:rPr>
          <w:rFonts w:ascii="Arial" w:cs="Arial" w:eastAsia="Arial" w:hAnsi="Arial"/>
          <w:sz w:val="16"/>
          <w:szCs w:val="16"/>
          <w:color w:val="auto"/>
        </w:rPr>
        <w:t>. Except as otherwise provided in the Stock Award Agreement, in the event of a dissolution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liquidation of the 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96" w:lineRule="exact"/>
        <w:rPr>
          <w:rFonts w:ascii="Arial" w:cs="Arial" w:eastAsia="Arial" w:hAnsi="Arial"/>
          <w:sz w:val="19"/>
          <w:szCs w:val="19"/>
          <w:b w:val="1"/>
          <w:bCs w:val="1"/>
          <w:color w:val="auto"/>
        </w:rPr>
      </w:pPr>
    </w:p>
    <w:p>
      <w:pPr>
        <w:jc w:val="both"/>
        <w:ind w:firstLine="885"/>
        <w:spacing w:after="0" w:line="244" w:lineRule="auto"/>
        <w:tabs>
          <w:tab w:leader="none" w:pos="2414" w:val="left"/>
        </w:tabs>
        <w:numPr>
          <w:ilvl w:val="1"/>
          <w:numId w:val="30"/>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Corporate Transactions. </w:t>
      </w:r>
      <w:r>
        <w:rPr>
          <w:rFonts w:ascii="Arial" w:cs="Arial" w:eastAsia="Arial" w:hAnsi="Arial"/>
          <w:sz w:val="18"/>
          <w:szCs w:val="18"/>
          <w:color w:val="auto"/>
        </w:rPr>
        <w:t>The following provisions will apply to Stock Awards in the event of a Transaction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in the Stock Award Agreement or any other written agreement between the Company or any Affiliate and the Participant or unless otherwise expressly provided by the Board at the time of grant of a Stock Award. In the event of a Transaction, then, notwithstanding any other provision of the Plan, the Board may take one or more of the following actions with respect to Stock Awards, contingent upon the closing or completion of the Transaction:</w:t>
      </w:r>
    </w:p>
    <w:p>
      <w:pPr>
        <w:spacing w:after="0" w:line="188"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18"/>
          <w:szCs w:val="18"/>
          <w:color w:val="auto"/>
        </w:rPr>
        <w:t>arrange for the surviving corporation or acquiring corporation (or the surviving or acquiring</w:t>
      </w:r>
      <w:r>
        <w:rPr>
          <w:rFonts w:ascii="Arial" w:cs="Arial" w:eastAsia="Arial" w:hAnsi="Arial"/>
          <w:sz w:val="22"/>
          <w:szCs w:val="22"/>
          <w:b w:val="1"/>
          <w:bCs w:val="1"/>
          <w:color w:val="auto"/>
        </w:rPr>
        <w:t xml:space="preserve"> </w:t>
      </w:r>
      <w:r>
        <w:rPr>
          <w:rFonts w:ascii="Arial" w:cs="Arial" w:eastAsia="Arial" w:hAnsi="Arial"/>
          <w:sz w:val="18"/>
          <w:szCs w:val="18"/>
          <w:color w:val="auto"/>
        </w:rPr>
        <w:t>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174"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18"/>
          <w:szCs w:val="18"/>
          <w:color w:val="auto"/>
        </w:rPr>
        <w:t>arrange for the assignment of any reacquisition or repurchase rights held by the Company in respect of</w:t>
      </w:r>
      <w:r>
        <w:rPr>
          <w:rFonts w:ascii="Arial" w:cs="Arial" w:eastAsia="Arial" w:hAnsi="Arial"/>
          <w:sz w:val="22"/>
          <w:szCs w:val="22"/>
          <w:b w:val="1"/>
          <w:bCs w:val="1"/>
          <w:color w:val="auto"/>
        </w:rPr>
        <w:t xml:space="preserve"> </w:t>
      </w:r>
      <w:r>
        <w:rPr>
          <w:rFonts w:ascii="Arial" w:cs="Arial" w:eastAsia="Arial" w:hAnsi="Arial"/>
          <w:sz w:val="18"/>
          <w:szCs w:val="18"/>
          <w:color w:val="auto"/>
        </w:rPr>
        <w:t>Common Stock issued pursuant to the Stock Award to the surviving corporation or acquiring corporation (or the surviving or acquiring corporation’s parent company);</w:t>
      </w:r>
    </w:p>
    <w:p>
      <w:pPr>
        <w:spacing w:after="0" w:line="174"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21"/>
          <w:szCs w:val="21"/>
          <w:b w:val="1"/>
          <w:bCs w:val="1"/>
          <w:color w:val="auto"/>
        </w:rPr>
        <w:t xml:space="preserve">(iii) </w:t>
      </w:r>
      <w:r>
        <w:rPr>
          <w:rFonts w:ascii="Arial" w:cs="Arial" w:eastAsia="Arial" w:hAnsi="Arial"/>
          <w:sz w:val="17"/>
          <w:szCs w:val="17"/>
          <w:color w:val="auto"/>
        </w:rPr>
        <w:t>accelerate the vesting, in whole or in part, of the Stock Award (and, if applicable, the time at which</w:t>
      </w:r>
      <w:r>
        <w:rPr>
          <w:rFonts w:ascii="Arial" w:cs="Arial" w:eastAsia="Arial" w:hAnsi="Arial"/>
          <w:sz w:val="21"/>
          <w:szCs w:val="21"/>
          <w:b w:val="1"/>
          <w:bCs w:val="1"/>
          <w:color w:val="auto"/>
        </w:rPr>
        <w:t xml:space="preserve"> </w:t>
      </w:r>
      <w:r>
        <w:rPr>
          <w:rFonts w:ascii="Arial" w:cs="Arial" w:eastAsia="Arial" w:hAnsi="Arial"/>
          <w:sz w:val="17"/>
          <w:szCs w:val="17"/>
          <w:color w:val="auto"/>
        </w:rPr>
        <w:t xml:space="preserve">the Stock Award may be exercised) to a date prior to the effective time of such Transaction as the Board determines (or, if the Board does not determine such a date, to the date that is five (5) days prior to the effective date of the Transaction), with such Stock Award terminating if not exercised (if applicable) at or prior to the effective time of the Transaction;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may require Participants to complete and deliver to the Company a notice of exercise before the effective date of a Transaction, which exercise is contingent upon the effectiveness of such Transaction;</w:t>
      </w:r>
    </w:p>
    <w:p>
      <w:pPr>
        <w:sectPr>
          <w:pgSz w:w="11900" w:h="16838" w:orient="portrait"/>
          <w:cols w:equalWidth="0" w:num="1">
            <w:col w:w="11420"/>
          </w:cols>
          <w:pgMar w:left="240" w:top="341" w:right="239" w:bottom="1440" w:gutter="0" w:footer="0" w:header="0"/>
        </w:sectPr>
      </w:pPr>
    </w:p>
    <w:p>
      <w:pPr>
        <w:spacing w:after="0" w:line="164"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auto"/>
        </w:rPr>
        <w:t>(iv)</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Company with respect to the Stock Award;</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arrange for the lapse, in whole or in part, of any reacquisition or repurchase rights held by the</w:t>
      </w:r>
    </w:p>
    <w:p>
      <w:pPr>
        <w:spacing w:after="0" w:line="418" w:lineRule="exact"/>
        <w:rPr>
          <w:sz w:val="20"/>
          <w:szCs w:val="20"/>
          <w:color w:val="auto"/>
        </w:rPr>
      </w:pPr>
    </w:p>
    <w:p>
      <w:pPr>
        <w:sectPr>
          <w:pgSz w:w="11900" w:h="16838" w:orient="portrait"/>
          <w:cols w:equalWidth="0" w:num="2">
            <w:col w:w="3300" w:space="720"/>
            <w:col w:w="7400"/>
          </w:cols>
          <w:pgMar w:left="240" w:top="341" w:right="239" w:bottom="1440" w:gutter="0" w:footer="0" w:header="0"/>
          <w:type w:val="continuous"/>
        </w:sectPr>
      </w:pPr>
    </w:p>
    <w:p>
      <w:pPr>
        <w:ind w:left="880"/>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34" w:name="page35"/>
    <w:bookmarkEnd w:id="34"/>
    <w:p>
      <w:pPr>
        <w:jc w:val="both"/>
        <w:ind w:firstLine="1755"/>
        <w:spacing w:after="0" w:line="300" w:lineRule="auto"/>
        <w:rPr>
          <w:sz w:val="20"/>
          <w:szCs w:val="20"/>
          <w:color w:val="auto"/>
        </w:rPr>
      </w:pPr>
      <w:r>
        <w:rPr>
          <w:rFonts w:ascii="Arial" w:cs="Arial" w:eastAsia="Arial" w:hAnsi="Arial"/>
          <w:sz w:val="21"/>
          <w:szCs w:val="21"/>
          <w:b w:val="1"/>
          <w:bCs w:val="1"/>
          <w:color w:val="auto"/>
        </w:rPr>
        <w:t xml:space="preserve">(v) </w:t>
      </w:r>
      <w:r>
        <w:rPr>
          <w:rFonts w:ascii="Arial" w:cs="Arial" w:eastAsia="Arial" w:hAnsi="Arial"/>
          <w:sz w:val="17"/>
          <w:szCs w:val="17"/>
          <w:color w:val="auto"/>
        </w:rPr>
        <w:t>cancel or arrange for the cancellation of the Stock Award, to the extent not vested or not exercised prior</w:t>
      </w:r>
      <w:r>
        <w:rPr>
          <w:rFonts w:ascii="Arial" w:cs="Arial" w:eastAsia="Arial" w:hAnsi="Arial"/>
          <w:sz w:val="21"/>
          <w:szCs w:val="21"/>
          <w:b w:val="1"/>
          <w:bCs w:val="1"/>
          <w:color w:val="auto"/>
        </w:rPr>
        <w:t xml:space="preserve"> </w:t>
      </w:r>
      <w:r>
        <w:rPr>
          <w:rFonts w:ascii="Arial" w:cs="Arial" w:eastAsia="Arial" w:hAnsi="Arial"/>
          <w:sz w:val="17"/>
          <w:szCs w:val="17"/>
          <w:color w:val="auto"/>
        </w:rPr>
        <w:t>to the effective time of the Transaction, in exchange for such cash consideration, if any, as the Board, in its sole discretion, may consider appropriate; and</w:t>
      </w:r>
    </w:p>
    <w:p>
      <w:pPr>
        <w:spacing w:after="0" w:line="129"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21"/>
          <w:szCs w:val="21"/>
          <w:b w:val="1"/>
          <w:bCs w:val="1"/>
          <w:color w:val="auto"/>
        </w:rPr>
        <w:t xml:space="preserve">(vi) </w:t>
      </w:r>
      <w:r>
        <w:rPr>
          <w:rFonts w:ascii="Arial" w:cs="Arial" w:eastAsia="Arial" w:hAnsi="Arial"/>
          <w:sz w:val="17"/>
          <w:szCs w:val="17"/>
          <w:color w:val="auto"/>
        </w:rPr>
        <w:t>make a payment, in such form as may be determined by the Board equal to the excess, if any, of (A)</w:t>
      </w:r>
      <w:r>
        <w:rPr>
          <w:rFonts w:ascii="Arial" w:cs="Arial" w:eastAsia="Arial" w:hAnsi="Arial"/>
          <w:sz w:val="21"/>
          <w:szCs w:val="21"/>
          <w:b w:val="1"/>
          <w:bCs w:val="1"/>
          <w:color w:val="auto"/>
        </w:rPr>
        <w:t xml:space="preserve"> </w:t>
      </w:r>
      <w:r>
        <w:rPr>
          <w:rFonts w:ascii="Arial" w:cs="Arial" w:eastAsia="Arial" w:hAnsi="Arial"/>
          <w:sz w:val="17"/>
          <w:szCs w:val="17"/>
          <w:color w:val="auto"/>
        </w:rPr>
        <w:t>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Transaction is delayed as a result of escrows, earn outs, holdbacks or any other contingencies.</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93" w:lineRule="exact"/>
        <w:rPr>
          <w:sz w:val="20"/>
          <w:szCs w:val="20"/>
          <w:color w:val="auto"/>
        </w:rPr>
      </w:pPr>
    </w:p>
    <w:p>
      <w:pPr>
        <w:jc w:val="both"/>
        <w:ind w:firstLine="885"/>
        <w:spacing w:after="0" w:line="258" w:lineRule="auto"/>
        <w:tabs>
          <w:tab w:leader="none" w:pos="2438" w:val="left"/>
        </w:tabs>
        <w:numPr>
          <w:ilvl w:val="1"/>
          <w:numId w:val="31"/>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A Stock Award may be subject to additional acceleration of vesting and exercisability upon or after a</w:t>
      </w:r>
      <w:r>
        <w:rPr>
          <w:rFonts w:ascii="Arial" w:cs="Arial" w:eastAsia="Arial" w:hAnsi="Arial"/>
          <w:sz w:val="17"/>
          <w:szCs w:val="17"/>
          <w:b w:val="1"/>
          <w:bCs w:val="1"/>
          <w:color w:val="auto"/>
        </w:rPr>
        <w:t xml:space="preserve"> </w:t>
      </w:r>
      <w:r>
        <w:rPr>
          <w:rFonts w:ascii="Arial" w:cs="Arial" w:eastAsia="Arial" w:hAnsi="Arial"/>
          <w:sz w:val="17"/>
          <w:szCs w:val="17"/>
          <w:color w:val="auto"/>
        </w:rPr>
        <w:t>Change in Control 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192" w:lineRule="exact"/>
        <w:rPr>
          <w:rFonts w:ascii="Arial" w:cs="Arial" w:eastAsia="Arial" w:hAnsi="Arial"/>
          <w:sz w:val="21"/>
          <w:szCs w:val="21"/>
          <w:b w:val="1"/>
          <w:bCs w:val="1"/>
          <w:color w:val="auto"/>
        </w:rPr>
      </w:pPr>
    </w:p>
    <w:p>
      <w:pPr>
        <w:ind w:left="920" w:hanging="912"/>
        <w:spacing w:after="0"/>
        <w:tabs>
          <w:tab w:leader="none" w:pos="920" w:val="left"/>
        </w:tabs>
        <w:numPr>
          <w:ilvl w:val="0"/>
          <w:numId w:val="32"/>
        </w:numPr>
        <w:rPr>
          <w:rFonts w:ascii="Arial" w:cs="Arial" w:eastAsia="Arial" w:hAnsi="Arial"/>
          <w:sz w:val="22"/>
          <w:szCs w:val="22"/>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w:t>
      </w:r>
      <w:r>
        <w:rPr>
          <w:rFonts w:ascii="Arial" w:cs="Arial" w:eastAsia="Arial" w:hAnsi="Arial"/>
          <w:sz w:val="18"/>
          <w:szCs w:val="18"/>
          <w:b w:val="1"/>
          <w:bCs w:val="1"/>
          <w:color w:val="auto"/>
        </w:rPr>
        <w:t>; E</w:t>
      </w:r>
      <w:r>
        <w:rPr>
          <w:rFonts w:ascii="Arial" w:cs="Arial" w:eastAsia="Arial" w:hAnsi="Arial"/>
          <w:sz w:val="12"/>
          <w:szCs w:val="12"/>
          <w:b w:val="1"/>
          <w:bCs w:val="1"/>
          <w:color w:val="auto"/>
        </w:rPr>
        <w:t>ARLIER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28" w:lineRule="exact"/>
        <w:rPr>
          <w:rFonts w:ascii="Arial" w:cs="Arial" w:eastAsia="Arial" w:hAnsi="Arial"/>
          <w:sz w:val="22"/>
          <w:szCs w:val="22"/>
          <w:b w:val="1"/>
          <w:bCs w:val="1"/>
          <w:color w:val="auto"/>
        </w:rPr>
      </w:pPr>
    </w:p>
    <w:p>
      <w:pPr>
        <w:jc w:val="both"/>
        <w:ind w:firstLine="885"/>
        <w:spacing w:after="0" w:line="238" w:lineRule="auto"/>
        <w:tabs>
          <w:tab w:leader="none" w:pos="2426" w:val="left"/>
        </w:tabs>
        <w:numPr>
          <w:ilvl w:val="1"/>
          <w:numId w:val="32"/>
        </w:numPr>
        <w:rPr>
          <w:rFonts w:ascii="Arial" w:cs="Arial" w:eastAsia="Arial" w:hAnsi="Arial"/>
          <w:sz w:val="22"/>
          <w:szCs w:val="22"/>
          <w:b w:val="1"/>
          <w:bCs w:val="1"/>
          <w:color w:val="auto"/>
        </w:rPr>
      </w:pPr>
      <w:r>
        <w:rPr>
          <w:rFonts w:ascii="Arial" w:cs="Arial" w:eastAsia="Arial" w:hAnsi="Arial"/>
          <w:sz w:val="18"/>
          <w:szCs w:val="18"/>
          <w:color w:val="auto"/>
        </w:rPr>
        <w:t>The Board may suspend or terminate the Plan at any time. The Plan will automatically terminate upon the tenth (10th) anniversary of the earlier of (i) the date the Plan is adopted by the Board, or (ii) the date the Plan is approved by the stockholders of the Company. No Awards may be granted under the Plan while the Plan is suspended or after it is terminated.</w:t>
      </w:r>
    </w:p>
    <w:p>
      <w:pPr>
        <w:spacing w:after="0" w:line="225" w:lineRule="exact"/>
        <w:rPr>
          <w:rFonts w:ascii="Arial" w:cs="Arial" w:eastAsia="Arial" w:hAnsi="Arial"/>
          <w:sz w:val="22"/>
          <w:szCs w:val="22"/>
          <w:b w:val="1"/>
          <w:bCs w:val="1"/>
          <w:color w:val="auto"/>
        </w:rPr>
      </w:pPr>
    </w:p>
    <w:p>
      <w:pPr>
        <w:ind w:firstLine="885"/>
        <w:spacing w:after="0" w:line="235" w:lineRule="auto"/>
        <w:tabs>
          <w:tab w:leader="none" w:pos="2438" w:val="left"/>
        </w:tabs>
        <w:numPr>
          <w:ilvl w:val="1"/>
          <w:numId w:val="32"/>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No Impairment of Rights. </w:t>
      </w:r>
      <w:r>
        <w:rPr>
          <w:rFonts w:ascii="Arial" w:cs="Arial" w:eastAsia="Arial" w:hAnsi="Arial"/>
          <w:sz w:val="18"/>
          <w:szCs w:val="18"/>
          <w:color w:val="auto"/>
        </w:rPr>
        <w:t>Suspension or termination of the Plan will not impair rights and obligations under any Award</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while the Plan is in effect except with the written consent of the affected Participant or as otherwise permitted in the Plan.</w:t>
      </w:r>
    </w:p>
    <w:p>
      <w:pPr>
        <w:spacing w:after="0" w:line="206" w:lineRule="exact"/>
        <w:rPr>
          <w:rFonts w:ascii="Arial" w:cs="Arial" w:eastAsia="Arial" w:hAnsi="Arial"/>
          <w:sz w:val="22"/>
          <w:szCs w:val="22"/>
          <w:b w:val="1"/>
          <w:bCs w:val="1"/>
          <w:color w:val="auto"/>
        </w:rPr>
      </w:pPr>
    </w:p>
    <w:p>
      <w:pPr>
        <w:ind w:left="920" w:hanging="912"/>
        <w:spacing w:after="0"/>
        <w:tabs>
          <w:tab w:leader="none" w:pos="920" w:val="left"/>
        </w:tabs>
        <w:numPr>
          <w:ilvl w:val="0"/>
          <w:numId w:val="32"/>
        </w:numPr>
        <w:rPr>
          <w:rFonts w:ascii="Arial" w:cs="Arial" w:eastAsia="Arial" w:hAnsi="Arial"/>
          <w:sz w:val="22"/>
          <w:szCs w:val="22"/>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Plan will become effective on the Effective Date.</w:t>
      </w:r>
    </w:p>
    <w:p>
      <w:pPr>
        <w:spacing w:after="0" w:line="230" w:lineRule="exact"/>
        <w:rPr>
          <w:sz w:val="20"/>
          <w:szCs w:val="20"/>
          <w:color w:val="auto"/>
        </w:rPr>
      </w:pPr>
    </w:p>
    <w:p>
      <w:pPr>
        <w:ind w:left="920" w:hanging="912"/>
        <w:spacing w:after="0"/>
        <w:tabs>
          <w:tab w:leader="none" w:pos="920" w:val="left"/>
        </w:tabs>
        <w:numPr>
          <w:ilvl w:val="0"/>
          <w:numId w:val="33"/>
        </w:numPr>
        <w:rPr>
          <w:rFonts w:ascii="Arial" w:cs="Arial" w:eastAsia="Arial" w:hAnsi="Arial"/>
          <w:sz w:val="22"/>
          <w:szCs w:val="22"/>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8"/>
          <w:szCs w:val="18"/>
          <w:b w:val="1"/>
          <w:bCs w:val="1"/>
          <w:color w:val="auto"/>
        </w:rPr>
        <w:t>.</w:t>
      </w:r>
    </w:p>
    <w:p>
      <w:pPr>
        <w:spacing w:after="0" w:line="202"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The laws of the State of California will govern all questions concerning the construction, validity and interpretation of this Plan, without regard to that state’s conflict of laws rules.</w:t>
      </w:r>
    </w:p>
    <w:p>
      <w:pPr>
        <w:spacing w:after="0" w:line="175" w:lineRule="exact"/>
        <w:rPr>
          <w:sz w:val="20"/>
          <w:szCs w:val="20"/>
          <w:color w:val="auto"/>
        </w:rPr>
      </w:pPr>
    </w:p>
    <w:p>
      <w:pPr>
        <w:ind w:left="920" w:hanging="912"/>
        <w:spacing w:after="0"/>
        <w:tabs>
          <w:tab w:leader="none" w:pos="920" w:val="left"/>
        </w:tabs>
        <w:numPr>
          <w:ilvl w:val="0"/>
          <w:numId w:val="34"/>
        </w:numPr>
        <w:rPr>
          <w:rFonts w:ascii="Arial" w:cs="Arial" w:eastAsia="Arial" w:hAnsi="Arial"/>
          <w:sz w:val="22"/>
          <w:szCs w:val="22"/>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will apply to the capitalized terms indicated below:</w:t>
      </w:r>
    </w:p>
    <w:p>
      <w:pPr>
        <w:spacing w:after="0" w:line="228" w:lineRule="exact"/>
        <w:rPr>
          <w:rFonts w:ascii="Arial" w:cs="Arial" w:eastAsia="Arial" w:hAnsi="Arial"/>
          <w:sz w:val="22"/>
          <w:szCs w:val="22"/>
          <w:b w:val="1"/>
          <w:bCs w:val="1"/>
          <w:color w:val="auto"/>
        </w:rPr>
      </w:pPr>
    </w:p>
    <w:p>
      <w:pPr>
        <w:jc w:val="both"/>
        <w:ind w:right="20" w:firstLine="885"/>
        <w:spacing w:after="0" w:line="238" w:lineRule="auto"/>
        <w:tabs>
          <w:tab w:leader="none" w:pos="2426" w:val="left"/>
        </w:tabs>
        <w:numPr>
          <w:ilvl w:val="1"/>
          <w:numId w:val="34"/>
        </w:numPr>
        <w:rPr>
          <w:rFonts w:ascii="Arial" w:cs="Arial" w:eastAsia="Arial" w:hAnsi="Arial"/>
          <w:sz w:val="22"/>
          <w:szCs w:val="22"/>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The Board will have the authority to determine the time or times at which “parent” or “subsidiary” status is determined within the foregoing definition.</w:t>
      </w:r>
    </w:p>
    <w:p>
      <w:pPr>
        <w:spacing w:after="0" w:line="207" w:lineRule="exact"/>
        <w:rPr>
          <w:rFonts w:ascii="Arial" w:cs="Arial" w:eastAsia="Arial" w:hAnsi="Arial"/>
          <w:sz w:val="22"/>
          <w:szCs w:val="22"/>
          <w:b w:val="1"/>
          <w:bCs w:val="1"/>
          <w:color w:val="auto"/>
        </w:rPr>
      </w:pPr>
    </w:p>
    <w:p>
      <w:pPr>
        <w:ind w:left="2440" w:hanging="1555"/>
        <w:spacing w:after="0"/>
        <w:tabs>
          <w:tab w:leader="none" w:pos="2440" w:val="left"/>
        </w:tabs>
        <w:numPr>
          <w:ilvl w:val="1"/>
          <w:numId w:val="34"/>
        </w:numPr>
        <w:rPr>
          <w:rFonts w:ascii="Arial" w:cs="Arial" w:eastAsia="Arial" w:hAnsi="Arial"/>
          <w:sz w:val="22"/>
          <w:szCs w:val="22"/>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 Stock Award or a Performance Cash Award.</w:t>
      </w:r>
    </w:p>
    <w:p>
      <w:pPr>
        <w:spacing w:after="0" w:line="217" w:lineRule="exact"/>
        <w:rPr>
          <w:rFonts w:ascii="Arial" w:cs="Arial" w:eastAsia="Arial" w:hAnsi="Arial"/>
          <w:sz w:val="22"/>
          <w:szCs w:val="22"/>
          <w:b w:val="1"/>
          <w:bCs w:val="1"/>
          <w:color w:val="auto"/>
        </w:rPr>
      </w:pPr>
    </w:p>
    <w:p>
      <w:pPr>
        <w:ind w:left="2420" w:hanging="1535"/>
        <w:spacing w:after="0"/>
        <w:tabs>
          <w:tab w:leader="none" w:pos="2420" w:val="left"/>
        </w:tabs>
        <w:numPr>
          <w:ilvl w:val="1"/>
          <w:numId w:val="34"/>
        </w:numPr>
        <w:rPr>
          <w:rFonts w:ascii="Arial" w:cs="Arial" w:eastAsia="Arial" w:hAnsi="Arial"/>
          <w:sz w:val="21"/>
          <w:szCs w:val="21"/>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a written agreement between the Company and a Participant evidencing the terms and</w:t>
      </w:r>
    </w:p>
    <w:p>
      <w:pPr>
        <w:spacing w:after="0" w:line="1"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18"/>
          <w:szCs w:val="18"/>
          <w:color w:val="auto"/>
        </w:rPr>
        <w:t>conditions of an Award.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5" w:name="page36"/>
    <w:bookmarkEnd w:id="35"/>
    <w:p>
      <w:pPr>
        <w:ind w:left="880"/>
        <w:spacing w:after="0"/>
        <w:rPr>
          <w:sz w:val="20"/>
          <w:szCs w:val="20"/>
          <w:color w:val="auto"/>
        </w:rPr>
      </w:pPr>
      <w:r>
        <w:rPr>
          <w:rFonts w:ascii="Arial" w:cs="Arial" w:eastAsia="Arial" w:hAnsi="Arial"/>
          <w:sz w:val="19"/>
          <w:szCs w:val="19"/>
          <w:b w:val="1"/>
          <w:bCs w:val="1"/>
          <w:color w:val="auto"/>
        </w:rPr>
        <w:t>(d)</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200" w:lineRule="exact"/>
        <w:rPr>
          <w:sz w:val="20"/>
          <w:szCs w:val="20"/>
          <w:color w:val="auto"/>
        </w:rPr>
      </w:pPr>
    </w:p>
    <w:p>
      <w:pPr>
        <w:sectPr>
          <w:pgSz w:w="11900" w:h="16838" w:orient="portrait"/>
          <w:cols w:equalWidth="0" w:num="2">
            <w:col w:w="1720" w:space="720"/>
            <w:col w:w="8980"/>
          </w:cols>
          <w:pgMar w:left="240" w:top="328" w:right="239" w:bottom="1440" w:gutter="0" w:footer="0" w:header="0"/>
        </w:sectPr>
      </w:pPr>
    </w:p>
    <w:p>
      <w:pPr>
        <w:spacing w:after="0" w:line="35"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19"/>
          <w:szCs w:val="19"/>
          <w:b w:val="1"/>
          <w:bCs w:val="1"/>
          <w:color w:val="auto"/>
        </w:rPr>
        <w:t>(e)</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w:t>
      </w:r>
    </w:p>
    <w:p>
      <w:pPr>
        <w:sectPr>
          <w:pgSz w:w="11900" w:h="16838" w:orient="portrait"/>
          <w:cols w:equalWidth="0" w:num="1">
            <w:col w:w="11420"/>
          </w:cols>
          <w:pgMar w:left="240" w:top="328" w:right="239" w:bottom="1440" w:gutter="0" w:footer="0" w:header="0"/>
          <w:type w:val="continuous"/>
        </w:sectPr>
      </w:pP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51" w:lineRule="exact"/>
        <w:rPr>
          <w:sz w:val="20"/>
          <w:szCs w:val="20"/>
          <w:color w:val="auto"/>
        </w:rPr>
      </w:pPr>
    </w:p>
    <w:p>
      <w:pPr>
        <w:jc w:val="both"/>
        <w:ind w:firstLine="877"/>
        <w:spacing w:after="0" w:line="266" w:lineRule="auto"/>
        <w:rPr>
          <w:sz w:val="20"/>
          <w:szCs w:val="20"/>
          <w:color w:val="auto"/>
        </w:rPr>
      </w:pPr>
      <w:r>
        <w:rPr>
          <w:rFonts w:ascii="Arial" w:cs="Arial" w:eastAsia="Arial" w:hAnsi="Arial"/>
          <w:sz w:val="21"/>
          <w:szCs w:val="21"/>
          <w:b w:val="1"/>
          <w:bCs w:val="1"/>
          <w:color w:val="auto"/>
        </w:rPr>
        <w:t xml:space="preserve">(f) </w:t>
      </w: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will have the meaning ascribed to such term in any written agreement between the Participant and the Company</w:t>
      </w:r>
      <w:r>
        <w:rPr>
          <w:rFonts w:ascii="Arial" w:cs="Arial" w:eastAsia="Arial" w:hAnsi="Arial"/>
          <w:sz w:val="21"/>
          <w:szCs w:val="21"/>
          <w:b w:val="1"/>
          <w:bCs w:val="1"/>
          <w:color w:val="auto"/>
        </w:rPr>
        <w:t xml:space="preserve"> </w:t>
      </w:r>
      <w:r>
        <w:rPr>
          <w:rFonts w:ascii="Arial" w:cs="Arial" w:eastAsia="Arial" w:hAnsi="Arial"/>
          <w:sz w:val="17"/>
          <w:szCs w:val="17"/>
          <w:color w:val="auto"/>
        </w:rPr>
        <w:t>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w:t>
      </w:r>
    </w:p>
    <w:p>
      <w:pPr>
        <w:spacing w:after="0" w:line="1" w:lineRule="exact"/>
        <w:rPr>
          <w:sz w:val="20"/>
          <w:szCs w:val="20"/>
          <w:color w:val="auto"/>
        </w:rPr>
      </w:pPr>
    </w:p>
    <w:p>
      <w:pPr>
        <w:jc w:val="both"/>
        <w:ind w:firstLine="8"/>
        <w:spacing w:after="0" w:line="253" w:lineRule="auto"/>
        <w:tabs>
          <w:tab w:leader="none" w:pos="362"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218" w:lineRule="exact"/>
        <w:rPr>
          <w:rFonts w:ascii="Arial" w:cs="Arial" w:eastAsia="Arial" w:hAnsi="Arial"/>
          <w:sz w:val="18"/>
          <w:szCs w:val="18"/>
          <w:color w:val="auto"/>
        </w:rPr>
      </w:pPr>
    </w:p>
    <w:p>
      <w:pPr>
        <w:ind w:left="2480" w:hanging="1595"/>
        <w:spacing w:after="0"/>
        <w:tabs>
          <w:tab w:leader="none" w:pos="2480" w:val="left"/>
        </w:tabs>
        <w:numPr>
          <w:ilvl w:val="1"/>
          <w:numId w:val="35"/>
        </w:numPr>
        <w:rPr>
          <w:rFonts w:ascii="Arial" w:cs="Arial" w:eastAsia="Arial" w:hAnsi="Arial"/>
          <w:sz w:val="19"/>
          <w:szCs w:val="19"/>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w:t>
      </w:r>
    </w:p>
    <w:p>
      <w:pPr>
        <w:spacing w:after="0" w:line="13"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18"/>
          <w:szCs w:val="18"/>
          <w:color w:val="auto"/>
        </w:rPr>
        <w:t>of the following events:</w:t>
      </w:r>
    </w:p>
    <w:p>
      <w:pPr>
        <w:spacing w:after="0" w:line="196" w:lineRule="exact"/>
        <w:rPr>
          <w:sz w:val="20"/>
          <w:szCs w:val="20"/>
          <w:color w:val="auto"/>
        </w:rPr>
      </w:pPr>
    </w:p>
    <w:p>
      <w:pPr>
        <w:jc w:val="both"/>
        <w:ind w:firstLine="1755"/>
        <w:spacing w:after="0" w:line="287" w:lineRule="auto"/>
        <w:rPr>
          <w:sz w:val="20"/>
          <w:szCs w:val="20"/>
          <w:color w:val="auto"/>
        </w:rPr>
      </w:pPr>
      <w:r>
        <w:rPr>
          <w:rFonts w:ascii="Arial" w:cs="Arial" w:eastAsia="Arial" w:hAnsi="Arial"/>
          <w:sz w:val="19"/>
          <w:szCs w:val="19"/>
          <w:b w:val="1"/>
          <w:bCs w:val="1"/>
          <w:color w:val="auto"/>
        </w:rPr>
        <w:t xml:space="preserve">(i) </w:t>
      </w:r>
      <w:r>
        <w:rPr>
          <w:rFonts w:ascii="Arial" w:cs="Arial" w:eastAsia="Arial" w:hAnsi="Arial"/>
          <w:sz w:val="16"/>
          <w:szCs w:val="16"/>
          <w:color w:val="auto"/>
        </w:rPr>
        <w:t>any Exchange Act Person becomes the Owner, directly or indirectly, of securities of the Company</w:t>
      </w:r>
      <w:r>
        <w:rPr>
          <w:rFonts w:ascii="Arial" w:cs="Arial" w:eastAsia="Arial" w:hAnsi="Arial"/>
          <w:sz w:val="19"/>
          <w:szCs w:val="19"/>
          <w:b w:val="1"/>
          <w:bCs w:val="1"/>
          <w:color w:val="auto"/>
        </w:rPr>
        <w:t xml:space="preserve"> </w:t>
      </w:r>
      <w:r>
        <w:rPr>
          <w:rFonts w:ascii="Arial" w:cs="Arial" w:eastAsia="Arial" w:hAnsi="Arial"/>
          <w:sz w:val="16"/>
          <w:szCs w:val="16"/>
          <w:color w:val="auto"/>
        </w:rPr>
        <w:t>representing more than fifty percent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b w:val="1"/>
          <w:bCs w:val="1"/>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59"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1"/>
          <w:szCs w:val="21"/>
          <w:b w:val="1"/>
          <w:bCs w:val="1"/>
          <w:color w:val="auto"/>
        </w:rPr>
        <w:t xml:space="preserve">(ii) </w:t>
      </w:r>
      <w:r>
        <w:rPr>
          <w:rFonts w:ascii="Arial" w:cs="Arial" w:eastAsia="Arial" w:hAnsi="Arial"/>
          <w:sz w:val="17"/>
          <w:szCs w:val="17"/>
          <w:color w:val="auto"/>
        </w:rPr>
        <w:t>there is consummated a merger, consolidation or similar transaction involving (directly or indirectly)</w:t>
      </w:r>
      <w:r>
        <w:rPr>
          <w:rFonts w:ascii="Arial" w:cs="Arial" w:eastAsia="Arial" w:hAnsi="Arial"/>
          <w:sz w:val="21"/>
          <w:szCs w:val="21"/>
          <w:b w:val="1"/>
          <w:bCs w:val="1"/>
          <w:color w:val="auto"/>
        </w:rPr>
        <w:t xml:space="preserve"> </w:t>
      </w:r>
      <w:r>
        <w:rPr>
          <w:rFonts w:ascii="Arial" w:cs="Arial" w:eastAsia="Arial" w:hAnsi="Arial"/>
          <w:sz w:val="17"/>
          <w:szCs w:val="17"/>
          <w:color w:val="auto"/>
        </w:rPr>
        <w:t>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68"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2"/>
          <w:szCs w:val="22"/>
          <w:b w:val="1"/>
          <w:bCs w:val="1"/>
          <w:color w:val="auto"/>
        </w:rPr>
        <w:t xml:space="preserve">(iii) </w:t>
      </w:r>
      <w:r>
        <w:rPr>
          <w:rFonts w:ascii="Arial" w:cs="Arial" w:eastAsia="Arial" w:hAnsi="Arial"/>
          <w:sz w:val="18"/>
          <w:szCs w:val="18"/>
          <w:color w:val="auto"/>
        </w:rPr>
        <w:t>there is consummated a sale, lease, exclusive license or other disposition of all or substantially all of</w:t>
      </w:r>
      <w:r>
        <w:rPr>
          <w:rFonts w:ascii="Arial" w:cs="Arial" w:eastAsia="Arial" w:hAnsi="Arial"/>
          <w:sz w:val="22"/>
          <w:szCs w:val="22"/>
          <w:b w:val="1"/>
          <w:bCs w:val="1"/>
          <w:color w:val="auto"/>
        </w:rPr>
        <w:t xml:space="preserve"> </w:t>
      </w:r>
      <w:r>
        <w:rPr>
          <w:rFonts w:ascii="Arial" w:cs="Arial" w:eastAsia="Arial" w:hAnsi="Arial"/>
          <w:sz w:val="18"/>
          <w:szCs w:val="18"/>
          <w:color w:val="auto"/>
        </w:rPr>
        <w:t>the consolidated assets of the Company and its Subsidiaries, other than a sale, lease, license or</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36" w:name="page37"/>
    <w:bookmarkEnd w:id="36"/>
    <w:p>
      <w:pPr>
        <w:jc w:val="both"/>
        <w:spacing w:after="0" w:line="286" w:lineRule="auto"/>
        <w:rPr>
          <w:sz w:val="20"/>
          <w:szCs w:val="20"/>
          <w:color w:val="auto"/>
        </w:rPr>
      </w:pPr>
      <w:r>
        <w:rPr>
          <w:rFonts w:ascii="Arial" w:cs="Arial" w:eastAsia="Arial" w:hAnsi="Arial"/>
          <w:sz w:val="17"/>
          <w:szCs w:val="17"/>
          <w:color w:val="auto"/>
        </w:rPr>
        <w:t>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52"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(iv) </w:t>
      </w:r>
      <w:r>
        <w:rPr>
          <w:rFonts w:ascii="Arial" w:cs="Arial" w:eastAsia="Arial" w:hAnsi="Arial"/>
          <w:sz w:val="18"/>
          <w:szCs w:val="18"/>
          <w:color w:val="auto"/>
        </w:rPr>
        <w:t>individuals who, on the date the Plan is adopted by the Board, are members of the Board (the</w:t>
      </w:r>
      <w:r>
        <w:rPr>
          <w:rFonts w:ascii="Arial" w:cs="Arial" w:eastAsia="Arial" w:hAnsi="Arial"/>
          <w:sz w:val="22"/>
          <w:szCs w:val="22"/>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xml:space="preserve">”) cease for any reason to constitute at least a majority of the members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8"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 xml:space="preserve">Notwithstanding the foregoing definition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Awards subject to such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no definition of Change in Control or any analogous term is set forth in such an individual written agreement, the foregoing definition will apply.</w:t>
      </w:r>
    </w:p>
    <w:p>
      <w:pPr>
        <w:sectPr>
          <w:pgSz w:w="11900" w:h="16838" w:orient="portrait"/>
          <w:cols w:equalWidth="0" w:num="1">
            <w:col w:w="11420"/>
          </w:cols>
          <w:pgMar w:left="240" w:top="341" w:right="239" w:bottom="1440" w:gutter="0" w:footer="0" w:header="0"/>
        </w:sectPr>
      </w:pP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(h)</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including any applicable regulations and guidance</w:t>
      </w:r>
    </w:p>
    <w:p>
      <w:pPr>
        <w:spacing w:after="0" w:line="45" w:lineRule="exact"/>
        <w:rPr>
          <w:sz w:val="20"/>
          <w:szCs w:val="20"/>
          <w:color w:val="auto"/>
        </w:rPr>
      </w:pPr>
    </w:p>
    <w:p>
      <w:pPr>
        <w:sectPr>
          <w:pgSz w:w="11900" w:h="16838" w:orient="portrait"/>
          <w:cols w:equalWidth="0" w:num="2">
            <w:col w:w="1720" w:space="720"/>
            <w:col w:w="8980"/>
          </w:cols>
          <w:pgMar w:left="240" w:top="3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thereunder.</w:t>
      </w:r>
    </w:p>
    <w:p>
      <w:pPr>
        <w:sectPr>
          <w:pgSz w:w="11900" w:h="16838" w:orient="portrait"/>
          <w:cols w:equalWidth="0" w:num="1">
            <w:col w:w="11420"/>
          </w:cols>
          <w:pgMar w:left="240" w:top="341" w:right="239" w:bottom="1440" w:gutter="0" w:footer="0" w:header="0"/>
          <w:type w:val="continuous"/>
        </w:sectPr>
      </w:pPr>
    </w:p>
    <w:p>
      <w:pPr>
        <w:spacing w:after="0" w:line="211"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(i)</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Section 2(c).</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a committee of one (1) or more Directors to whom authority has been delegated by the Board in</w:t>
      </w:r>
    </w:p>
    <w:p>
      <w:pPr>
        <w:spacing w:after="0" w:line="420" w:lineRule="exact"/>
        <w:rPr>
          <w:sz w:val="20"/>
          <w:szCs w:val="20"/>
          <w:color w:val="auto"/>
        </w:rPr>
      </w:pPr>
    </w:p>
    <w:p>
      <w:pPr>
        <w:sectPr>
          <w:pgSz w:w="11900" w:h="16838" w:orient="portrait"/>
          <w:cols w:equalWidth="0" w:num="2">
            <w:col w:w="2140" w:space="240"/>
            <w:col w:w="9040"/>
          </w:cols>
          <w:pgMar w:left="240" w:top="341" w:right="239" w:bottom="1440" w:gutter="0" w:footer="0" w:header="0"/>
          <w:type w:val="continuous"/>
        </w:sectPr>
      </w:pPr>
    </w:p>
    <w:p>
      <w:pPr>
        <w:spacing w:after="0" w:line="19"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(j)</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means the common stock of the Company.</w:t>
      </w:r>
    </w:p>
    <w:p>
      <w:pPr>
        <w:spacing w:after="0" w:line="228" w:lineRule="exact"/>
        <w:rPr>
          <w:sz w:val="20"/>
          <w:szCs w:val="20"/>
          <w:color w:val="auto"/>
        </w:rPr>
      </w:pPr>
    </w:p>
    <w:p>
      <w:pPr>
        <w:sectPr>
          <w:pgSz w:w="11900" w:h="16838" w:orient="portrait"/>
          <w:cols w:equalWidth="0" w:num="2">
            <w:col w:w="1680" w:space="720"/>
            <w:col w:w="9020"/>
          </w:cols>
          <w:pgMar w:left="240" w:top="341" w:right="239" w:bottom="1440" w:gutter="0" w:footer="0" w:header="0"/>
          <w:type w:val="continuous"/>
        </w:sectPr>
      </w:pPr>
    </w:p>
    <w:p>
      <w:pPr>
        <w:spacing w:after="0" w:line="6"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(k)</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MediciNova, Inc., a Delaware corporation.</w:t>
      </w:r>
    </w:p>
    <w:p>
      <w:pPr>
        <w:spacing w:after="0" w:line="217" w:lineRule="exact"/>
        <w:rPr>
          <w:sz w:val="20"/>
          <w:szCs w:val="20"/>
          <w:color w:val="auto"/>
        </w:rPr>
      </w:pPr>
    </w:p>
    <w:p>
      <w:pPr>
        <w:sectPr>
          <w:pgSz w:w="11900" w:h="16838" w:orient="portrait"/>
          <w:cols w:equalWidth="0" w:num="2">
            <w:col w:w="1720" w:space="720"/>
            <w:col w:w="8980"/>
          </w:cols>
          <w:pgMar w:left="240" w:top="341" w:right="239" w:bottom="1440" w:gutter="0" w:footer="0" w:header="0"/>
          <w:type w:val="continuous"/>
        </w:sectPr>
      </w:pPr>
    </w:p>
    <w:p>
      <w:pPr>
        <w:spacing w:after="0" w:line="7"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21"/>
          <w:szCs w:val="21"/>
          <w:b w:val="1"/>
          <w:bCs w:val="1"/>
          <w:color w:val="auto"/>
        </w:rPr>
        <w:t>(l)</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w:t>
      </w:r>
    </w:p>
    <w:p>
      <w:pPr>
        <w:sectPr>
          <w:pgSz w:w="11900" w:h="16838" w:orient="portrait"/>
          <w:cols w:equalWidth="0" w:num="1">
            <w:col w:w="11420"/>
          </w:cols>
          <w:pgMar w:left="240" w:top="341" w:right="239" w:bottom="1440" w:gutter="0" w:footer="0" w:header="0"/>
          <w:type w:val="continuous"/>
        </w:sectPr>
      </w:pP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67"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b w:val="1"/>
          <w:bCs w:val="1"/>
          <w:color w:val="auto"/>
        </w:rPr>
        <w:t xml:space="preserve">(m) </w:t>
      </w: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means that the Participant’s service with the Company or an Affiliate, whether as an Employee,</w:t>
      </w:r>
      <w:r>
        <w:rPr>
          <w:rFonts w:ascii="Arial" w:cs="Arial" w:eastAsia="Arial" w:hAnsi="Arial"/>
          <w:sz w:val="19"/>
          <w:szCs w:val="19"/>
          <w:b w:val="1"/>
          <w:bCs w:val="1"/>
          <w:color w:val="auto"/>
        </w:rPr>
        <w:t xml:space="preserve"> </w:t>
      </w:r>
      <w:r>
        <w:rPr>
          <w:rFonts w:ascii="Arial" w:cs="Arial" w:eastAsia="Arial" w:hAnsi="Arial"/>
          <w:sz w:val="16"/>
          <w:szCs w:val="16"/>
          <w:color w:val="auto"/>
        </w:rPr>
        <w:t xml:space="preserve">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56"/>
        </w:trPr>
        <w:tc>
          <w:tcPr>
            <w:tcW w:w="2380" w:type="dxa"/>
            <w:vAlign w:val="bottom"/>
          </w:tcPr>
          <w:p>
            <w:pPr>
              <w:ind w:left="880"/>
              <w:spacing w:after="0"/>
              <w:rPr>
                <w:sz w:val="20"/>
                <w:szCs w:val="20"/>
                <w:color w:val="auto"/>
              </w:rPr>
            </w:pPr>
            <w:r>
              <w:rPr>
                <w:rFonts w:ascii="Arial" w:cs="Arial" w:eastAsia="Arial" w:hAnsi="Arial"/>
                <w:sz w:val="22"/>
                <w:szCs w:val="22"/>
                <w:b w:val="1"/>
                <w:bCs w:val="1"/>
                <w:color w:val="auto"/>
              </w:rPr>
              <w:t>(n)</w:t>
            </w:r>
          </w:p>
        </w:tc>
        <w:tc>
          <w:tcPr>
            <w:tcW w:w="9040" w:type="dxa"/>
            <w:vAlign w:val="bottom"/>
          </w:tcPr>
          <w:p>
            <w:pPr>
              <w:jc w:val="right"/>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i w:val="1"/>
                <w:iCs w:val="1"/>
                <w:color w:val="auto"/>
                <w:w w:val="91"/>
              </w:rPr>
              <w:t>Corporate Transaction</w:t>
            </w:r>
            <w:r>
              <w:rPr>
                <w:rFonts w:ascii="Arial" w:cs="Arial" w:eastAsia="Arial" w:hAnsi="Arial"/>
                <w:sz w:val="18"/>
                <w:szCs w:val="18"/>
                <w:color w:val="auto"/>
                <w:w w:val="91"/>
              </w:rPr>
              <w:t>” means the consummation, in a single transaction or in a series of related transactions, of any one</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w w:val="94"/>
              </w:rPr>
              <w:t>or more of the following events:</w:t>
            </w:r>
          </w:p>
        </w:tc>
        <w:tc>
          <w:tcPr>
            <w:tcW w:w="9040" w:type="dxa"/>
            <w:vAlign w:val="bottom"/>
          </w:tcPr>
          <w:p>
            <w:pPr>
              <w:spacing w:after="0"/>
              <w:rPr>
                <w:sz w:val="20"/>
                <w:szCs w:val="20"/>
                <w:color w:val="auto"/>
              </w:rPr>
            </w:pPr>
          </w:p>
        </w:tc>
      </w:tr>
      <w:tr>
        <w:trPr>
          <w:trHeight w:val="445"/>
        </w:trPr>
        <w:tc>
          <w:tcPr>
            <w:tcW w:w="2380" w:type="dxa"/>
            <w:vAlign w:val="bottom"/>
          </w:tcPr>
          <w:p>
            <w:pPr>
              <w:ind w:left="1760"/>
              <w:spacing w:after="0"/>
              <w:rPr>
                <w:sz w:val="20"/>
                <w:szCs w:val="20"/>
                <w:color w:val="auto"/>
              </w:rPr>
            </w:pPr>
            <w:r>
              <w:rPr>
                <w:rFonts w:ascii="Arial" w:cs="Arial" w:eastAsia="Arial" w:hAnsi="Arial"/>
                <w:sz w:val="22"/>
                <w:szCs w:val="22"/>
                <w:b w:val="1"/>
                <w:bCs w:val="1"/>
                <w:color w:val="auto"/>
              </w:rPr>
              <w:t>(i)</w:t>
            </w:r>
          </w:p>
        </w:tc>
        <w:tc>
          <w:tcPr>
            <w:tcW w:w="9040" w:type="dxa"/>
            <w:vAlign w:val="bottom"/>
          </w:tcPr>
          <w:p>
            <w:pPr>
              <w:jc w:val="right"/>
              <w:spacing w:after="0"/>
              <w:rPr>
                <w:sz w:val="20"/>
                <w:szCs w:val="20"/>
                <w:color w:val="auto"/>
              </w:rPr>
            </w:pPr>
            <w:r>
              <w:rPr>
                <w:rFonts w:ascii="Arial" w:cs="Arial" w:eastAsia="Arial" w:hAnsi="Arial"/>
                <w:sz w:val="18"/>
                <w:szCs w:val="18"/>
                <w:color w:val="auto"/>
              </w:rPr>
              <w:t>a sale or other disposition of all or substantially all, as determined by the Board, in its sole discretion, of</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the consolidated assets of the Company and its Subsidiaries;</w:t>
            </w:r>
          </w:p>
        </w:tc>
      </w:tr>
      <w:tr>
        <w:trPr>
          <w:trHeight w:val="445"/>
        </w:trPr>
        <w:tc>
          <w:tcPr>
            <w:tcW w:w="2380" w:type="dxa"/>
            <w:vAlign w:val="bottom"/>
          </w:tcPr>
          <w:p>
            <w:pPr>
              <w:ind w:left="1760"/>
              <w:spacing w:after="0"/>
              <w:rPr>
                <w:sz w:val="20"/>
                <w:szCs w:val="20"/>
                <w:color w:val="auto"/>
              </w:rPr>
            </w:pPr>
            <w:r>
              <w:rPr>
                <w:rFonts w:ascii="Arial" w:cs="Arial" w:eastAsia="Arial" w:hAnsi="Arial"/>
                <w:sz w:val="22"/>
                <w:szCs w:val="22"/>
                <w:b w:val="1"/>
                <w:bCs w:val="1"/>
                <w:color w:val="auto"/>
              </w:rPr>
              <w:t>(ii)</w:t>
            </w:r>
          </w:p>
        </w:tc>
        <w:tc>
          <w:tcPr>
            <w:tcW w:w="9040" w:type="dxa"/>
            <w:vAlign w:val="bottom"/>
          </w:tcPr>
          <w:p>
            <w:pPr>
              <w:jc w:val="right"/>
              <w:spacing w:after="0"/>
              <w:rPr>
                <w:sz w:val="20"/>
                <w:szCs w:val="20"/>
                <w:color w:val="auto"/>
              </w:rPr>
            </w:pPr>
            <w:r>
              <w:rPr>
                <w:rFonts w:ascii="Arial" w:cs="Arial" w:eastAsia="Arial" w:hAnsi="Arial"/>
                <w:sz w:val="18"/>
                <w:szCs w:val="18"/>
                <w:color w:val="auto"/>
              </w:rPr>
              <w:t>a sale or other disposition of at least ninety percent (90%) of the outstanding securities of the</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Company;</w:t>
            </w:r>
          </w:p>
        </w:tc>
        <w:tc>
          <w:tcPr>
            <w:tcW w:w="9040" w:type="dxa"/>
            <w:vAlign w:val="bottom"/>
          </w:tcPr>
          <w:p>
            <w:pPr>
              <w:spacing w:after="0"/>
              <w:rPr>
                <w:sz w:val="20"/>
                <w:szCs w:val="20"/>
                <w:color w:val="auto"/>
              </w:rPr>
            </w:pPr>
          </w:p>
        </w:tc>
      </w:tr>
      <w:tr>
        <w:trPr>
          <w:trHeight w:val="445"/>
        </w:trPr>
        <w:tc>
          <w:tcPr>
            <w:tcW w:w="2380" w:type="dxa"/>
            <w:vAlign w:val="bottom"/>
          </w:tcPr>
          <w:p>
            <w:pPr>
              <w:ind w:left="1760"/>
              <w:spacing w:after="0"/>
              <w:rPr>
                <w:sz w:val="20"/>
                <w:szCs w:val="20"/>
                <w:color w:val="auto"/>
              </w:rPr>
            </w:pPr>
            <w:r>
              <w:rPr>
                <w:rFonts w:ascii="Arial" w:cs="Arial" w:eastAsia="Arial" w:hAnsi="Arial"/>
                <w:sz w:val="22"/>
                <w:szCs w:val="22"/>
                <w:b w:val="1"/>
                <w:bCs w:val="1"/>
                <w:color w:val="auto"/>
              </w:rPr>
              <w:t>(iii)</w:t>
            </w:r>
          </w:p>
        </w:tc>
        <w:tc>
          <w:tcPr>
            <w:tcW w:w="9040" w:type="dxa"/>
            <w:vAlign w:val="bottom"/>
          </w:tcPr>
          <w:p>
            <w:pPr>
              <w:jc w:val="right"/>
              <w:spacing w:after="0"/>
              <w:rPr>
                <w:sz w:val="20"/>
                <w:szCs w:val="20"/>
                <w:color w:val="auto"/>
              </w:rPr>
            </w:pPr>
            <w:r>
              <w:rPr>
                <w:rFonts w:ascii="Arial" w:cs="Arial" w:eastAsia="Arial" w:hAnsi="Arial"/>
                <w:sz w:val="18"/>
                <w:szCs w:val="18"/>
                <w:color w:val="auto"/>
              </w:rPr>
              <w:t>a merger, consolidation or similar transaction following which the Company is not the surviving</w:t>
            </w: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corporation; or</w:t>
            </w:r>
          </w:p>
        </w:tc>
        <w:tc>
          <w:tcPr>
            <w:tcW w:w="9040" w:type="dxa"/>
            <w:vAlign w:val="bottom"/>
          </w:tcPr>
          <w:p>
            <w:pPr>
              <w:spacing w:after="0"/>
              <w:rPr>
                <w:sz w:val="20"/>
                <w:szCs w:val="20"/>
                <w:color w:val="auto"/>
              </w:rPr>
            </w:pPr>
          </w:p>
        </w:tc>
      </w:tr>
      <w:tr>
        <w:trPr>
          <w:trHeight w:val="461"/>
        </w:trPr>
        <w:tc>
          <w:tcPr>
            <w:tcW w:w="2380" w:type="dxa"/>
            <w:vAlign w:val="bottom"/>
          </w:tcPr>
          <w:p>
            <w:pPr>
              <w:ind w:left="1760"/>
              <w:spacing w:after="0"/>
              <w:rPr>
                <w:sz w:val="20"/>
                <w:szCs w:val="20"/>
                <w:color w:val="auto"/>
              </w:rPr>
            </w:pPr>
            <w:r>
              <w:rPr>
                <w:rFonts w:ascii="Arial" w:cs="Arial" w:eastAsia="Arial" w:hAnsi="Arial"/>
                <w:sz w:val="22"/>
                <w:szCs w:val="22"/>
                <w:b w:val="1"/>
                <w:bCs w:val="1"/>
                <w:color w:val="auto"/>
              </w:rPr>
              <w:t>(iv)</w:t>
            </w:r>
          </w:p>
        </w:tc>
        <w:tc>
          <w:tcPr>
            <w:tcW w:w="9040" w:type="dxa"/>
            <w:vAlign w:val="bottom"/>
          </w:tcPr>
          <w:p>
            <w:pPr>
              <w:jc w:val="right"/>
              <w:spacing w:after="0"/>
              <w:rPr>
                <w:sz w:val="20"/>
                <w:szCs w:val="20"/>
                <w:color w:val="auto"/>
              </w:rPr>
            </w:pPr>
            <w:r>
              <w:rPr>
                <w:rFonts w:ascii="Arial" w:cs="Arial" w:eastAsia="Arial" w:hAnsi="Arial"/>
                <w:sz w:val="18"/>
                <w:szCs w:val="18"/>
                <w:color w:val="auto"/>
              </w:rPr>
              <w:t>a merger, consolidation or similar transaction following which the Company is the surviving</w:t>
            </w:r>
          </w:p>
        </w:tc>
      </w:tr>
    </w:tbl>
    <w:p>
      <w:pPr>
        <w:jc w:val="both"/>
        <w:spacing w:after="0" w:line="288" w:lineRule="auto"/>
        <w:rPr>
          <w:sz w:val="20"/>
          <w:szCs w:val="20"/>
          <w:color w:val="auto"/>
        </w:rPr>
      </w:pPr>
      <w:r>
        <w:rPr>
          <w:rFonts w:ascii="Arial" w:cs="Arial" w:eastAsia="Arial" w:hAnsi="Arial"/>
          <w:sz w:val="17"/>
          <w:szCs w:val="17"/>
          <w:color w:val="auto"/>
        </w:rPr>
        <w:t>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ectPr>
          <w:pgSz w:w="11900" w:h="16838" w:orient="portrait"/>
          <w:cols w:equalWidth="0" w:num="1">
            <w:col w:w="11420"/>
          </w:cols>
          <w:pgMar w:left="240" w:top="328" w:right="239" w:bottom="1440" w:gutter="0" w:footer="0" w:header="0"/>
        </w:sectPr>
      </w:pPr>
    </w:p>
    <w:p>
      <w:pPr>
        <w:spacing w:after="0" w:line="15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(o)</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Employee</w:t>
      </w:r>
      <w:r>
        <w:rPr>
          <w:rFonts w:ascii="Arial" w:cs="Arial" w:eastAsia="Arial" w:hAnsi="Arial"/>
          <w:sz w:val="16"/>
          <w:szCs w:val="16"/>
          <w:color w:val="auto"/>
        </w:rPr>
        <w:t>” will have the meaning provided in Section 162(m)(3) of the Code.</w:t>
      </w:r>
    </w:p>
    <w:p>
      <w:pPr>
        <w:spacing w:after="0" w:line="200" w:lineRule="exact"/>
        <w:rPr>
          <w:sz w:val="20"/>
          <w:szCs w:val="20"/>
          <w:color w:val="auto"/>
        </w:rPr>
      </w:pPr>
    </w:p>
    <w:p>
      <w:pPr>
        <w:sectPr>
          <w:pgSz w:w="11900" w:h="16838" w:orient="portrait"/>
          <w:cols w:equalWidth="0" w:num="2">
            <w:col w:w="1720" w:space="720"/>
            <w:col w:w="8980"/>
          </w:cols>
          <w:pgMar w:left="240" w:top="328" w:right="239" w:bottom="1440" w:gutter="0" w:footer="0" w:header="0"/>
          <w:type w:val="continuous"/>
        </w:sectPr>
      </w:pPr>
    </w:p>
    <w:p>
      <w:pPr>
        <w:spacing w:after="0" w:line="35"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(p)</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200" w:lineRule="exact"/>
        <w:rPr>
          <w:sz w:val="20"/>
          <w:szCs w:val="20"/>
          <w:color w:val="auto"/>
        </w:rPr>
      </w:pPr>
    </w:p>
    <w:p>
      <w:pPr>
        <w:sectPr>
          <w:pgSz w:w="11900" w:h="16838" w:orient="portrait"/>
          <w:cols w:equalWidth="0" w:num="2">
            <w:col w:w="1720" w:space="720"/>
            <w:col w:w="8980"/>
          </w:cols>
          <w:pgMar w:left="240" w:top="328" w:right="239" w:bottom="1440" w:gutter="0" w:footer="0" w:header="0"/>
          <w:type w:val="continuous"/>
        </w:sectPr>
      </w:pPr>
    </w:p>
    <w:p>
      <w:pPr>
        <w:spacing w:after="0" w:line="12" w:lineRule="exact"/>
        <w:rPr>
          <w:sz w:val="20"/>
          <w:szCs w:val="20"/>
          <w:color w:val="auto"/>
        </w:rPr>
      </w:pPr>
    </w:p>
    <w:p>
      <w:pPr>
        <w:ind w:left="880"/>
        <w:spacing w:after="0"/>
        <w:tabs>
          <w:tab w:leader="none" w:pos="2420" w:val="left"/>
          <w:tab w:leader="none" w:pos="6260" w:val="left"/>
        </w:tabs>
        <w:rPr>
          <w:sz w:val="20"/>
          <w:szCs w:val="20"/>
          <w:color w:val="auto"/>
        </w:rPr>
      </w:pPr>
      <w:r>
        <w:rPr>
          <w:rFonts w:ascii="Arial" w:cs="Arial" w:eastAsia="Arial" w:hAnsi="Arial"/>
          <w:sz w:val="22"/>
          <w:szCs w:val="22"/>
          <w:b w:val="1"/>
          <w:bCs w:val="1"/>
          <w:color w:val="auto"/>
        </w:rPr>
        <w:t>(q)</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w:t>
      </w:r>
      <w:r>
        <w:rPr>
          <w:sz w:val="20"/>
          <w:szCs w:val="20"/>
          <w:color w:val="auto"/>
        </w:rPr>
        <w:tab/>
      </w:r>
      <w:r>
        <w:rPr>
          <w:rFonts w:ascii="Arial" w:cs="Arial" w:eastAsia="Arial" w:hAnsi="Arial"/>
          <w:sz w:val="17"/>
          <w:szCs w:val="17"/>
          <w:color w:val="auto"/>
        </w:rPr>
        <w:t>the inability of such Participant to engage in any substantial gainful</w:t>
      </w:r>
    </w:p>
    <w:p>
      <w:pPr>
        <w:sectPr>
          <w:pgSz w:w="11900" w:h="16838" w:orient="portrait"/>
          <w:cols w:equalWidth="0" w:num="1">
            <w:col w:w="11420"/>
          </w:cols>
          <w:pgMar w:left="240" w:top="328" w:right="239" w:bottom="1440" w:gutter="0" w:footer="0" w:header="0"/>
          <w:type w:val="continuous"/>
        </w:sectPr>
      </w:pPr>
    </w:p>
    <w:p>
      <w:pPr>
        <w:spacing w:after="0" w:line="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80" w:type="dxa"/>
            <w:vAlign w:val="bottom"/>
          </w:tcPr>
          <w:p>
            <w:pPr>
              <w:ind w:left="880"/>
              <w:spacing w:after="0"/>
              <w:rPr>
                <w:sz w:val="20"/>
                <w:szCs w:val="20"/>
                <w:color w:val="auto"/>
              </w:rPr>
            </w:pPr>
            <w:r>
              <w:rPr>
                <w:rFonts w:ascii="Arial" w:cs="Arial" w:eastAsia="Arial" w:hAnsi="Arial"/>
                <w:sz w:val="22"/>
                <w:szCs w:val="22"/>
                <w:b w:val="1"/>
                <w:bCs w:val="1"/>
                <w:color w:val="auto"/>
              </w:rPr>
              <w:t>(r)</w:t>
            </w:r>
          </w:p>
        </w:tc>
        <w:tc>
          <w:tcPr>
            <w:tcW w:w="9640" w:type="dxa"/>
            <w:vAlign w:val="bottom"/>
          </w:tcPr>
          <w:p>
            <w:pPr>
              <w:jc w:val="center"/>
              <w:ind w:left="55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i w:val="1"/>
                <w:iCs w:val="1"/>
                <w:color w:val="auto"/>
                <w:w w:val="90"/>
              </w:rPr>
              <w:t>Effective Date</w:t>
            </w:r>
            <w:r>
              <w:rPr>
                <w:rFonts w:ascii="Arial" w:cs="Arial" w:eastAsia="Arial" w:hAnsi="Arial"/>
                <w:sz w:val="18"/>
                <w:szCs w:val="18"/>
                <w:color w:val="auto"/>
                <w:w w:val="90"/>
              </w:rPr>
              <w:t>” means June 14, 2013, which is the date of the annual meeting of stockholders of the Company held in 2013</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where this Plan was approved by the Company’s stockholders.</w:t>
            </w:r>
          </w:p>
        </w:tc>
      </w:tr>
      <w:tr>
        <w:trPr>
          <w:trHeight w:val="445"/>
        </w:trPr>
        <w:tc>
          <w:tcPr>
            <w:tcW w:w="1780" w:type="dxa"/>
            <w:vAlign w:val="bottom"/>
          </w:tcPr>
          <w:p>
            <w:pPr>
              <w:ind w:left="880"/>
              <w:spacing w:after="0"/>
              <w:rPr>
                <w:sz w:val="20"/>
                <w:szCs w:val="20"/>
                <w:color w:val="auto"/>
              </w:rPr>
            </w:pPr>
            <w:r>
              <w:rPr>
                <w:rFonts w:ascii="Arial" w:cs="Arial" w:eastAsia="Arial" w:hAnsi="Arial"/>
                <w:sz w:val="22"/>
                <w:szCs w:val="22"/>
                <w:b w:val="1"/>
                <w:bCs w:val="1"/>
                <w:color w:val="auto"/>
              </w:rPr>
              <w:t>(s)</w:t>
            </w:r>
          </w:p>
        </w:tc>
        <w:tc>
          <w:tcPr>
            <w:tcW w:w="9640" w:type="dxa"/>
            <w:vAlign w:val="bottom"/>
          </w:tcPr>
          <w:p>
            <w:pPr>
              <w:jc w:val="center"/>
              <w:ind w:left="51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i w:val="1"/>
                <w:iCs w:val="1"/>
                <w:color w:val="auto"/>
                <w:w w:val="91"/>
              </w:rPr>
              <w:t>Employee</w:t>
            </w:r>
            <w:r>
              <w:rPr>
                <w:rFonts w:ascii="Arial" w:cs="Arial" w:eastAsia="Arial" w:hAnsi="Arial"/>
                <w:sz w:val="18"/>
                <w:szCs w:val="18"/>
                <w:color w:val="auto"/>
                <w:w w:val="91"/>
              </w:rPr>
              <w:t>” means any person employed by the Company or an Affiliate. However, service solely as a Director, or payment</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of a fee for such services, will not cause a Director to be considered an “Employee” for purposes of the Plan.</w:t>
            </w:r>
          </w:p>
        </w:tc>
      </w:tr>
      <w:tr>
        <w:trPr>
          <w:trHeight w:val="469"/>
        </w:trPr>
        <w:tc>
          <w:tcPr>
            <w:tcW w:w="1780" w:type="dxa"/>
            <w:vAlign w:val="bottom"/>
          </w:tcPr>
          <w:p>
            <w:pPr>
              <w:ind w:left="880"/>
              <w:spacing w:after="0"/>
              <w:rPr>
                <w:sz w:val="20"/>
                <w:szCs w:val="20"/>
                <w:color w:val="auto"/>
              </w:rPr>
            </w:pPr>
            <w:r>
              <w:rPr>
                <w:rFonts w:ascii="Arial" w:cs="Arial" w:eastAsia="Arial" w:hAnsi="Arial"/>
                <w:sz w:val="22"/>
                <w:szCs w:val="22"/>
                <w:b w:val="1"/>
                <w:bCs w:val="1"/>
                <w:color w:val="auto"/>
              </w:rPr>
              <w:t>(t)</w:t>
            </w:r>
          </w:p>
        </w:tc>
        <w:tc>
          <w:tcPr>
            <w:tcW w:w="9640" w:type="dxa"/>
            <w:vAlign w:val="bottom"/>
          </w:tcPr>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tc>
      </w:tr>
      <w:tr>
        <w:trPr>
          <w:trHeight w:val="435"/>
        </w:trPr>
        <w:tc>
          <w:tcPr>
            <w:tcW w:w="1780" w:type="dxa"/>
            <w:vAlign w:val="bottom"/>
          </w:tcPr>
          <w:p>
            <w:pPr>
              <w:ind w:left="880"/>
              <w:spacing w:after="0"/>
              <w:rPr>
                <w:sz w:val="20"/>
                <w:szCs w:val="20"/>
                <w:color w:val="auto"/>
              </w:rPr>
            </w:pPr>
            <w:r>
              <w:rPr>
                <w:rFonts w:ascii="Arial" w:cs="Arial" w:eastAsia="Arial" w:hAnsi="Arial"/>
                <w:sz w:val="22"/>
                <w:szCs w:val="22"/>
                <w:b w:val="1"/>
                <w:bCs w:val="1"/>
                <w:color w:val="auto"/>
              </w:rPr>
              <w:t>(u)</w:t>
            </w:r>
          </w:p>
        </w:tc>
        <w:tc>
          <w:tcPr>
            <w:tcW w:w="9640" w:type="dxa"/>
            <w:vAlign w:val="bottom"/>
          </w:tcPr>
          <w:p>
            <w:pPr>
              <w:jc w:val="center"/>
              <w:ind w:left="57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i w:val="1"/>
                <w:iCs w:val="1"/>
                <w:color w:val="auto"/>
                <w:w w:val="95"/>
              </w:rPr>
              <w:t>Exchange Act</w:t>
            </w:r>
            <w:r>
              <w:rPr>
                <w:rFonts w:ascii="Arial" w:cs="Arial" w:eastAsia="Arial" w:hAnsi="Arial"/>
                <w:sz w:val="18"/>
                <w:szCs w:val="18"/>
                <w:color w:val="auto"/>
                <w:w w:val="95"/>
              </w:rPr>
              <w:t>” means the Securities Exchange Act of 1934, as amended, and the rules and regulations promulgated</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thereunder.</w:t>
            </w:r>
          </w:p>
        </w:tc>
        <w:tc>
          <w:tcPr>
            <w:tcW w:w="9640" w:type="dxa"/>
            <w:vAlign w:val="bottom"/>
          </w:tcPr>
          <w:p>
            <w:pPr>
              <w:spacing w:after="0"/>
              <w:rPr>
                <w:sz w:val="20"/>
                <w:szCs w:val="20"/>
                <w:color w:val="auto"/>
              </w:rPr>
            </w:pPr>
          </w:p>
        </w:tc>
      </w:tr>
      <w:tr>
        <w:trPr>
          <w:trHeight w:val="461"/>
        </w:trPr>
        <w:tc>
          <w:tcPr>
            <w:tcW w:w="1780" w:type="dxa"/>
            <w:vAlign w:val="bottom"/>
          </w:tcPr>
          <w:p>
            <w:pPr>
              <w:ind w:left="880"/>
              <w:spacing w:after="0"/>
              <w:rPr>
                <w:sz w:val="20"/>
                <w:szCs w:val="20"/>
                <w:color w:val="auto"/>
              </w:rPr>
            </w:pPr>
            <w:r>
              <w:rPr>
                <w:rFonts w:ascii="Arial" w:cs="Arial" w:eastAsia="Arial" w:hAnsi="Arial"/>
                <w:sz w:val="22"/>
                <w:szCs w:val="22"/>
                <w:b w:val="1"/>
                <w:bCs w:val="1"/>
                <w:color w:val="auto"/>
              </w:rPr>
              <w:t>(v)</w:t>
            </w:r>
          </w:p>
        </w:tc>
        <w:tc>
          <w:tcPr>
            <w:tcW w:w="9640" w:type="dxa"/>
            <w:vAlign w:val="bottom"/>
          </w:tcPr>
          <w:p>
            <w:pPr>
              <w:jc w:val="center"/>
              <w:ind w:left="55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i w:val="1"/>
                <w:iCs w:val="1"/>
                <w:color w:val="auto"/>
                <w:w w:val="93"/>
              </w:rPr>
              <w:t>Exchange Act Person</w:t>
            </w:r>
            <w:r>
              <w:rPr>
                <w:rFonts w:ascii="Arial" w:cs="Arial" w:eastAsia="Arial" w:hAnsi="Arial"/>
                <w:sz w:val="18"/>
                <w:szCs w:val="18"/>
                <w:color w:val="auto"/>
                <w:w w:val="93"/>
              </w:rPr>
              <w:t>” means any natural person, Entity or “group” (within the meaning of Section 13(d) or 14(d) of the</w:t>
            </w:r>
          </w:p>
        </w:tc>
      </w:tr>
    </w:tbl>
    <w:p>
      <w:pPr>
        <w:jc w:val="both"/>
        <w:spacing w:after="0" w:line="289" w:lineRule="auto"/>
        <w:rPr>
          <w:sz w:val="20"/>
          <w:szCs w:val="20"/>
          <w:color w:val="auto"/>
        </w:rPr>
      </w:pPr>
      <w:r>
        <w:rPr>
          <w:rFonts w:ascii="Arial" w:cs="Arial" w:eastAsia="Arial" w:hAnsi="Arial"/>
          <w:sz w:val="16"/>
          <w:szCs w:val="16"/>
          <w:color w:val="auto"/>
        </w:rPr>
        <w:t>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32" w:lineRule="exact"/>
        <w:rPr>
          <w:sz w:val="20"/>
          <w:szCs w:val="20"/>
          <w:color w:val="auto"/>
        </w:rPr>
      </w:pPr>
    </w:p>
    <w:p>
      <w:pPr>
        <w:ind w:left="880"/>
        <w:spacing w:after="0"/>
        <w:tabs>
          <w:tab w:leader="none" w:pos="2460" w:val="left"/>
        </w:tabs>
        <w:rPr>
          <w:sz w:val="20"/>
          <w:szCs w:val="20"/>
          <w:color w:val="auto"/>
        </w:rPr>
      </w:pPr>
      <w:r>
        <w:rPr>
          <w:rFonts w:ascii="Arial" w:cs="Arial" w:eastAsia="Arial" w:hAnsi="Arial"/>
          <w:sz w:val="22"/>
          <w:szCs w:val="22"/>
          <w:b w:val="1"/>
          <w:bCs w:val="1"/>
          <w:color w:val="auto"/>
        </w:rPr>
        <w:t>(w)</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38" w:name="page39"/>
    <w:bookmarkEnd w:id="38"/>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18"/>
          <w:szCs w:val="18"/>
          <w:color w:val="auto"/>
        </w:rPr>
        <w:t>If the Common Stock is listed on any established stock exchange or traded on any established market,</w:t>
      </w:r>
      <w:r>
        <w:rPr>
          <w:rFonts w:ascii="Arial" w:cs="Arial" w:eastAsia="Arial" w:hAnsi="Arial"/>
          <w:sz w:val="22"/>
          <w:szCs w:val="22"/>
          <w:b w:val="1"/>
          <w:bCs w:val="1"/>
          <w:color w:val="auto"/>
        </w:rPr>
        <w:t xml:space="preserve"> </w:t>
      </w:r>
      <w:r>
        <w:rPr>
          <w:rFonts w:ascii="Arial" w:cs="Arial" w:eastAsia="Arial" w:hAnsi="Arial"/>
          <w:sz w:val="18"/>
          <w:szCs w:val="18"/>
          <w:color w:val="auto"/>
        </w:rPr>
        <w:t>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75"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18"/>
          <w:szCs w:val="18"/>
          <w:color w:val="auto"/>
        </w:rPr>
        <w:t>Unless otherwise provided by the Board, if there is no closing sales price for the Common Stock on the</w:t>
      </w:r>
      <w:r>
        <w:rPr>
          <w:rFonts w:ascii="Arial" w:cs="Arial" w:eastAsia="Arial" w:hAnsi="Arial"/>
          <w:sz w:val="22"/>
          <w:szCs w:val="22"/>
          <w:b w:val="1"/>
          <w:bCs w:val="1"/>
          <w:color w:val="auto"/>
        </w:rPr>
        <w:t xml:space="preserve"> </w:t>
      </w:r>
      <w:r>
        <w:rPr>
          <w:rFonts w:ascii="Arial" w:cs="Arial" w:eastAsia="Arial" w:hAnsi="Arial"/>
          <w:sz w:val="18"/>
          <w:szCs w:val="18"/>
          <w:color w:val="auto"/>
        </w:rPr>
        <w:t>date of determination, then the Fair Market Value will be the closing selling price on the last preceding date for which such quotation exists.</w:t>
      </w:r>
    </w:p>
    <w:p>
      <w:pPr>
        <w:spacing w:after="0" w:line="158" w:lineRule="exact"/>
        <w:rPr>
          <w:sz w:val="20"/>
          <w:szCs w:val="20"/>
          <w:color w:val="auto"/>
        </w:rPr>
      </w:pPr>
    </w:p>
    <w:p>
      <w:pPr>
        <w:jc w:val="both"/>
        <w:ind w:right="20" w:firstLine="1755"/>
        <w:spacing w:after="0" w:line="270" w:lineRule="auto"/>
        <w:rPr>
          <w:sz w:val="20"/>
          <w:szCs w:val="20"/>
          <w:color w:val="auto"/>
        </w:rPr>
      </w:pPr>
      <w:r>
        <w:rPr>
          <w:rFonts w:ascii="Arial" w:cs="Arial" w:eastAsia="Arial" w:hAnsi="Arial"/>
          <w:sz w:val="22"/>
          <w:szCs w:val="22"/>
          <w:b w:val="1"/>
          <w:bCs w:val="1"/>
          <w:color w:val="auto"/>
        </w:rPr>
        <w:t xml:space="preserve">(iii) </w:t>
      </w:r>
      <w:r>
        <w:rPr>
          <w:rFonts w:ascii="Arial" w:cs="Arial" w:eastAsia="Arial" w:hAnsi="Arial"/>
          <w:sz w:val="18"/>
          <w:szCs w:val="18"/>
          <w:color w:val="auto"/>
        </w:rPr>
        <w:t>In the absence of such markets for the Common Stock, the Fair Market Value will be determined by</w:t>
      </w:r>
      <w:r>
        <w:rPr>
          <w:rFonts w:ascii="Arial" w:cs="Arial" w:eastAsia="Arial" w:hAnsi="Arial"/>
          <w:sz w:val="22"/>
          <w:szCs w:val="22"/>
          <w:b w:val="1"/>
          <w:bCs w:val="1"/>
          <w:color w:val="auto"/>
        </w:rPr>
        <w:t xml:space="preserve"> </w:t>
      </w:r>
      <w:r>
        <w:rPr>
          <w:rFonts w:ascii="Arial" w:cs="Arial" w:eastAsia="Arial" w:hAnsi="Arial"/>
          <w:sz w:val="18"/>
          <w:szCs w:val="18"/>
          <w:color w:val="auto"/>
        </w:rPr>
        <w:t>the Board in good faith and in a manner that complies with Sections 409A and 422 of the Code.</w:t>
      </w:r>
    </w:p>
    <w:p>
      <w:pPr>
        <w:spacing w:after="0" w:line="158" w:lineRule="exact"/>
        <w:rPr>
          <w:sz w:val="20"/>
          <w:szCs w:val="20"/>
          <w:color w:val="auto"/>
        </w:rPr>
      </w:pPr>
    </w:p>
    <w:p>
      <w:pPr>
        <w:jc w:val="both"/>
        <w:ind w:right="20" w:firstLine="877"/>
        <w:spacing w:after="0" w:line="230" w:lineRule="auto"/>
        <w:rPr>
          <w:sz w:val="20"/>
          <w:szCs w:val="20"/>
          <w:color w:val="auto"/>
        </w:rPr>
      </w:pPr>
      <w:r>
        <w:rPr>
          <w:rFonts w:ascii="Arial" w:cs="Arial" w:eastAsia="Arial" w:hAnsi="Arial"/>
          <w:sz w:val="22"/>
          <w:szCs w:val="22"/>
          <w:b w:val="1"/>
          <w:bCs w:val="1"/>
          <w:color w:val="auto"/>
        </w:rPr>
        <w:t xml:space="preserve">(x) </w:t>
      </w: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5 that is intended to be, and that qualifies as, an</w:t>
      </w:r>
      <w:r>
        <w:rPr>
          <w:rFonts w:ascii="Arial" w:cs="Arial" w:eastAsia="Arial" w:hAnsi="Arial"/>
          <w:sz w:val="22"/>
          <w:szCs w:val="22"/>
          <w:b w:val="1"/>
          <w:bCs w:val="1"/>
          <w:color w:val="auto"/>
        </w:rPr>
        <w:t xml:space="preserve"> </w:t>
      </w:r>
      <w:r>
        <w:rPr>
          <w:rFonts w:ascii="Arial" w:cs="Arial" w:eastAsia="Arial" w:hAnsi="Arial"/>
          <w:sz w:val="18"/>
          <w:szCs w:val="18"/>
          <w:color w:val="auto"/>
        </w:rPr>
        <w:t>“incentive stock option” within the meaning of Section 422 of the Code.</w:t>
      </w:r>
    </w:p>
    <w:p>
      <w:pPr>
        <w:spacing w:after="0" w:line="179"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21"/>
          <w:szCs w:val="21"/>
          <w:b w:val="1"/>
          <w:bCs w:val="1"/>
          <w:color w:val="auto"/>
        </w:rPr>
        <w:t>(y)</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Non-Employee Director</w:t>
      </w:r>
      <w:r>
        <w:rPr>
          <w:rFonts w:ascii="Arial" w:cs="Arial" w:eastAsia="Arial" w:hAnsi="Arial"/>
          <w:sz w:val="17"/>
          <w:szCs w:val="17"/>
          <w:color w:val="auto"/>
        </w:rPr>
        <w:t>” means a Director who either (i) is not a current employee or officer of the Company or an</w:t>
      </w:r>
    </w:p>
    <w:p>
      <w:pPr>
        <w:spacing w:after="0" w:line="4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6"/>
          <w:szCs w:val="16"/>
          <w:b w:val="1"/>
          <w:bCs w:val="1"/>
          <w:i w:val="1"/>
          <w:iCs w:val="1"/>
          <w:color w:val="auto"/>
        </w:rPr>
        <w:t>Regulation S-K</w:t>
      </w:r>
      <w:r>
        <w:rPr>
          <w:rFonts w:ascii="Arial" w:cs="Arial" w:eastAsia="Arial" w:hAnsi="Arial"/>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1"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 otherwise considered a “non-employee director” for purposes of Rule 16b-3.</w:t>
      </w:r>
    </w:p>
    <w:p>
      <w:pPr>
        <w:spacing w:after="0" w:line="237" w:lineRule="exact"/>
        <w:rPr>
          <w:rFonts w:ascii="Arial" w:cs="Arial" w:eastAsia="Arial" w:hAnsi="Arial"/>
          <w:sz w:val="18"/>
          <w:szCs w:val="18"/>
          <w:color w:val="auto"/>
        </w:rPr>
      </w:pPr>
    </w:p>
    <w:p>
      <w:pPr>
        <w:ind w:left="2420" w:hanging="1535"/>
        <w:spacing w:after="0"/>
        <w:tabs>
          <w:tab w:leader="none" w:pos="2420" w:val="left"/>
        </w:tabs>
        <w:numPr>
          <w:ilvl w:val="1"/>
          <w:numId w:val="36"/>
        </w:numPr>
        <w:rPr>
          <w:rFonts w:ascii="Arial" w:cs="Arial" w:eastAsia="Arial" w:hAnsi="Arial"/>
          <w:sz w:val="19"/>
          <w:szCs w:val="19"/>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means any option granted pursuant to Section 5 that does not qualify as an Incentive Stock</w:t>
      </w:r>
    </w:p>
    <w:p>
      <w:pPr>
        <w:spacing w:after="0" w:line="13"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18"/>
          <w:szCs w:val="18"/>
          <w:color w:val="auto"/>
        </w:rPr>
        <w:t>Option.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460" w:type="dxa"/>
            <w:vAlign w:val="bottom"/>
          </w:tcPr>
          <w:p>
            <w:pPr>
              <w:ind w:left="880"/>
              <w:spacing w:after="0"/>
              <w:rPr>
                <w:sz w:val="20"/>
                <w:szCs w:val="20"/>
                <w:color w:val="auto"/>
              </w:rPr>
            </w:pPr>
            <w:r>
              <w:rPr>
                <w:rFonts w:ascii="Arial" w:cs="Arial" w:eastAsia="Arial" w:hAnsi="Arial"/>
                <w:sz w:val="22"/>
                <w:szCs w:val="22"/>
                <w:b w:val="1"/>
                <w:bCs w:val="1"/>
                <w:color w:val="auto"/>
              </w:rPr>
              <w:t>(aa)</w:t>
            </w:r>
          </w:p>
        </w:tc>
        <w:tc>
          <w:tcPr>
            <w:tcW w:w="8960" w:type="dxa"/>
            <w:vAlign w:val="bottom"/>
          </w:tcPr>
          <w:p>
            <w:pPr>
              <w:jc w:val="right"/>
              <w:ind w:right="49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i w:val="1"/>
                <w:iCs w:val="1"/>
                <w:color w:val="auto"/>
                <w:w w:val="92"/>
              </w:rPr>
              <w:t>Officer</w:t>
            </w:r>
            <w:r>
              <w:rPr>
                <w:rFonts w:ascii="Arial" w:cs="Arial" w:eastAsia="Arial" w:hAnsi="Arial"/>
                <w:sz w:val="18"/>
                <w:szCs w:val="18"/>
                <w:color w:val="auto"/>
                <w:w w:val="92"/>
              </w:rPr>
              <w:t>” means a person who is an officer of the Company within the meaning of Section 16 of the Exchange Act.</w:t>
            </w:r>
          </w:p>
        </w:tc>
      </w:tr>
      <w:tr>
        <w:trPr>
          <w:trHeight w:val="435"/>
        </w:trPr>
        <w:tc>
          <w:tcPr>
            <w:tcW w:w="2460" w:type="dxa"/>
            <w:vAlign w:val="bottom"/>
          </w:tcPr>
          <w:p>
            <w:pPr>
              <w:ind w:left="880"/>
              <w:spacing w:after="0"/>
              <w:rPr>
                <w:sz w:val="20"/>
                <w:szCs w:val="20"/>
                <w:color w:val="auto"/>
              </w:rPr>
            </w:pPr>
            <w:r>
              <w:rPr>
                <w:rFonts w:ascii="Arial" w:cs="Arial" w:eastAsia="Arial" w:hAnsi="Arial"/>
                <w:sz w:val="22"/>
                <w:szCs w:val="22"/>
                <w:b w:val="1"/>
                <w:bCs w:val="1"/>
                <w:color w:val="auto"/>
              </w:rPr>
              <w:t>(bb)</w:t>
            </w:r>
          </w:p>
        </w:tc>
        <w:tc>
          <w:tcPr>
            <w:tcW w:w="8960" w:type="dxa"/>
            <w:vAlign w:val="bottom"/>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i w:val="1"/>
                <w:iCs w:val="1"/>
                <w:color w:val="auto"/>
                <w:w w:val="92"/>
              </w:rPr>
              <w:t>Option</w:t>
            </w:r>
            <w:r>
              <w:rPr>
                <w:rFonts w:ascii="Arial" w:cs="Arial" w:eastAsia="Arial" w:hAnsi="Arial"/>
                <w:sz w:val="18"/>
                <w:szCs w:val="18"/>
                <w:color w:val="auto"/>
                <w:w w:val="92"/>
              </w:rPr>
              <w:t>” means an Incentive Stock Option or a Nonstatutory Stock Option to purchase shares of Common Stock granted</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pursuant to the Plan.</w:t>
            </w:r>
          </w:p>
        </w:tc>
        <w:tc>
          <w:tcPr>
            <w:tcW w:w="8960" w:type="dxa"/>
            <w:vAlign w:val="bottom"/>
          </w:tcPr>
          <w:p>
            <w:pPr>
              <w:spacing w:after="0"/>
              <w:rPr>
                <w:sz w:val="20"/>
                <w:szCs w:val="20"/>
                <w:color w:val="auto"/>
              </w:rPr>
            </w:pPr>
          </w:p>
        </w:tc>
      </w:tr>
      <w:tr>
        <w:trPr>
          <w:trHeight w:val="445"/>
        </w:trPr>
        <w:tc>
          <w:tcPr>
            <w:tcW w:w="2460" w:type="dxa"/>
            <w:vAlign w:val="bottom"/>
          </w:tcPr>
          <w:p>
            <w:pPr>
              <w:ind w:left="880"/>
              <w:spacing w:after="0"/>
              <w:rPr>
                <w:sz w:val="20"/>
                <w:szCs w:val="20"/>
                <w:color w:val="auto"/>
              </w:rPr>
            </w:pPr>
            <w:r>
              <w:rPr>
                <w:rFonts w:ascii="Arial" w:cs="Arial" w:eastAsia="Arial" w:hAnsi="Arial"/>
                <w:sz w:val="22"/>
                <w:szCs w:val="22"/>
                <w:b w:val="1"/>
                <w:bCs w:val="1"/>
                <w:color w:val="auto"/>
              </w:rPr>
              <w:t>(cc)</w:t>
            </w:r>
          </w:p>
        </w:tc>
        <w:tc>
          <w:tcPr>
            <w:tcW w:w="8960" w:type="dxa"/>
            <w:vAlign w:val="bottom"/>
          </w:tcPr>
          <w:p>
            <w:pPr>
              <w:jc w:val="right"/>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i w:val="1"/>
                <w:iCs w:val="1"/>
                <w:color w:val="auto"/>
                <w:w w:val="93"/>
              </w:rPr>
              <w:t>Option Agreement</w:t>
            </w:r>
            <w:r>
              <w:rPr>
                <w:rFonts w:ascii="Arial" w:cs="Arial" w:eastAsia="Arial" w:hAnsi="Arial"/>
                <w:sz w:val="18"/>
                <w:szCs w:val="18"/>
                <w:color w:val="auto"/>
                <w:w w:val="93"/>
              </w:rPr>
              <w:t>” means a written agreement between the Company and an Optionholder evidencing the terms and</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conditions of an Option grant. Each Option Agreement will be subject to the terms and conditions of the Plan.</w:t>
            </w:r>
          </w:p>
        </w:tc>
      </w:tr>
      <w:tr>
        <w:trPr>
          <w:trHeight w:val="445"/>
        </w:trPr>
        <w:tc>
          <w:tcPr>
            <w:tcW w:w="2460" w:type="dxa"/>
            <w:vAlign w:val="bottom"/>
          </w:tcPr>
          <w:p>
            <w:pPr>
              <w:ind w:left="880"/>
              <w:spacing w:after="0"/>
              <w:rPr>
                <w:sz w:val="20"/>
                <w:szCs w:val="20"/>
                <w:color w:val="auto"/>
              </w:rPr>
            </w:pPr>
            <w:r>
              <w:rPr>
                <w:rFonts w:ascii="Arial" w:cs="Arial" w:eastAsia="Arial" w:hAnsi="Arial"/>
                <w:sz w:val="22"/>
                <w:szCs w:val="22"/>
                <w:b w:val="1"/>
                <w:bCs w:val="1"/>
                <w:color w:val="auto"/>
              </w:rPr>
              <w:t>(dd)</w:t>
            </w:r>
          </w:p>
        </w:tc>
        <w:tc>
          <w:tcPr>
            <w:tcW w:w="8960" w:type="dxa"/>
            <w:vAlign w:val="bottom"/>
          </w:tcPr>
          <w:p>
            <w:pPr>
              <w:jc w:val="right"/>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i w:val="1"/>
                <w:iCs w:val="1"/>
                <w:color w:val="auto"/>
                <w:w w:val="94"/>
              </w:rPr>
              <w:t>Optionholder</w:t>
            </w:r>
            <w:r>
              <w:rPr>
                <w:rFonts w:ascii="Arial" w:cs="Arial" w:eastAsia="Arial" w:hAnsi="Arial"/>
                <w:sz w:val="18"/>
                <w:szCs w:val="18"/>
                <w:color w:val="auto"/>
                <w:w w:val="94"/>
              </w:rPr>
              <w:t>” means a person to whom an Option is granted pursuant to the Plan or, if applicable, such other person</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w w:val="91"/>
              </w:rPr>
              <w:t>who holds an outstanding Option.</w:t>
            </w:r>
          </w:p>
        </w:tc>
        <w:tc>
          <w:tcPr>
            <w:tcW w:w="8960" w:type="dxa"/>
            <w:vAlign w:val="bottom"/>
          </w:tcPr>
          <w:p>
            <w:pPr>
              <w:spacing w:after="0"/>
              <w:rPr>
                <w:sz w:val="20"/>
                <w:szCs w:val="20"/>
                <w:color w:val="auto"/>
              </w:rPr>
            </w:pPr>
          </w:p>
        </w:tc>
      </w:tr>
      <w:tr>
        <w:trPr>
          <w:trHeight w:val="445"/>
        </w:trPr>
        <w:tc>
          <w:tcPr>
            <w:tcW w:w="2460" w:type="dxa"/>
            <w:vAlign w:val="bottom"/>
          </w:tcPr>
          <w:p>
            <w:pPr>
              <w:ind w:left="880"/>
              <w:spacing w:after="0"/>
              <w:rPr>
                <w:sz w:val="20"/>
                <w:szCs w:val="20"/>
                <w:color w:val="auto"/>
              </w:rPr>
            </w:pPr>
            <w:r>
              <w:rPr>
                <w:rFonts w:ascii="Arial" w:cs="Arial" w:eastAsia="Arial" w:hAnsi="Arial"/>
                <w:sz w:val="22"/>
                <w:szCs w:val="22"/>
                <w:b w:val="1"/>
                <w:bCs w:val="1"/>
                <w:color w:val="auto"/>
              </w:rPr>
              <w:t>(ee)</w:t>
            </w:r>
          </w:p>
        </w:tc>
        <w:tc>
          <w:tcPr>
            <w:tcW w:w="8960" w:type="dxa"/>
            <w:vAlign w:val="bottom"/>
          </w:tcPr>
          <w:p>
            <w:pPr>
              <w:jc w:val="right"/>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i w:val="1"/>
                <w:iCs w:val="1"/>
                <w:color w:val="auto"/>
                <w:w w:val="95"/>
              </w:rPr>
              <w:t>Other Stock Award</w:t>
            </w:r>
            <w:r>
              <w:rPr>
                <w:rFonts w:ascii="Arial" w:cs="Arial" w:eastAsia="Arial" w:hAnsi="Arial"/>
                <w:sz w:val="18"/>
                <w:szCs w:val="18"/>
                <w:color w:val="auto"/>
                <w:w w:val="95"/>
              </w:rPr>
              <w:t>” means an award based in whole or in part by reference to the Common Stock which is granted</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pursuant to the terms and conditions of Section 6(d).</w:t>
            </w:r>
          </w:p>
        </w:tc>
      </w:tr>
      <w:tr>
        <w:trPr>
          <w:trHeight w:val="461"/>
        </w:trPr>
        <w:tc>
          <w:tcPr>
            <w:tcW w:w="2460" w:type="dxa"/>
            <w:vAlign w:val="bottom"/>
          </w:tcPr>
          <w:p>
            <w:pPr>
              <w:ind w:left="880"/>
              <w:spacing w:after="0"/>
              <w:rPr>
                <w:sz w:val="20"/>
                <w:szCs w:val="20"/>
                <w:color w:val="auto"/>
              </w:rPr>
            </w:pPr>
            <w:r>
              <w:rPr>
                <w:rFonts w:ascii="Arial" w:cs="Arial" w:eastAsia="Arial" w:hAnsi="Arial"/>
                <w:sz w:val="22"/>
                <w:szCs w:val="22"/>
                <w:b w:val="1"/>
                <w:bCs w:val="1"/>
                <w:color w:val="auto"/>
              </w:rPr>
              <w:t>(ff)</w:t>
            </w:r>
          </w:p>
        </w:tc>
        <w:tc>
          <w:tcPr>
            <w:tcW w:w="8960" w:type="dxa"/>
            <w:vAlign w:val="bottom"/>
          </w:tcPr>
          <w:p>
            <w:pPr>
              <w:jc w:val="right"/>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i w:val="1"/>
                <w:iCs w:val="1"/>
                <w:color w:val="auto"/>
                <w:w w:val="90"/>
              </w:rPr>
              <w:t>Other Stock Award Agreement</w:t>
            </w:r>
            <w:r>
              <w:rPr>
                <w:rFonts w:ascii="Arial" w:cs="Arial" w:eastAsia="Arial" w:hAnsi="Arial"/>
                <w:sz w:val="18"/>
                <w:szCs w:val="18"/>
                <w:color w:val="auto"/>
                <w:w w:val="90"/>
              </w:rPr>
              <w:t>” means a written agreement between the Company and a holder of an Other Stock Award</w:t>
            </w:r>
          </w:p>
        </w:tc>
      </w:tr>
    </w:tbl>
    <w:p>
      <w:pPr>
        <w:jc w:val="both"/>
        <w:spacing w:after="0" w:line="259" w:lineRule="auto"/>
        <w:rPr>
          <w:sz w:val="20"/>
          <w:szCs w:val="20"/>
          <w:color w:val="auto"/>
        </w:rPr>
      </w:pPr>
      <w:r>
        <w:rPr>
          <w:rFonts w:ascii="Arial" w:cs="Arial" w:eastAsia="Arial" w:hAnsi="Arial"/>
          <w:sz w:val="18"/>
          <w:szCs w:val="18"/>
          <w:color w:val="auto"/>
        </w:rPr>
        <w:t>evidencing the terms and conditions of an Other Stock Award grant. Each Other Stock Award Agreement will be subject to the terms and conditions of the Plan.</w:t>
      </w:r>
    </w:p>
    <w:p>
      <w:pPr>
        <w:spacing w:after="0" w:line="172"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21"/>
          <w:szCs w:val="21"/>
          <w:b w:val="1"/>
          <w:bCs w:val="1"/>
          <w:color w:val="auto"/>
        </w:rPr>
        <w:t xml:space="preserve">(gg) </w:t>
      </w:r>
      <w:r>
        <w:rPr>
          <w:rFonts w:ascii="Arial" w:cs="Arial" w:eastAsia="Arial" w:hAnsi="Arial"/>
          <w:sz w:val="17"/>
          <w:szCs w:val="17"/>
          <w:color w:val="auto"/>
        </w:rPr>
        <w:t>“</w:t>
      </w:r>
      <w:r>
        <w:rPr>
          <w:rFonts w:ascii="Arial" w:cs="Arial" w:eastAsia="Arial" w:hAnsi="Arial"/>
          <w:sz w:val="17"/>
          <w:szCs w:val="17"/>
          <w:b w:val="1"/>
          <w:bCs w:val="1"/>
          <w:i w:val="1"/>
          <w:iCs w:val="1"/>
          <w:color w:val="auto"/>
        </w:rPr>
        <w:t>Outside Director</w:t>
      </w:r>
      <w:r>
        <w:rPr>
          <w:rFonts w:ascii="Arial" w:cs="Arial" w:eastAsia="Arial" w:hAnsi="Arial"/>
          <w:sz w:val="17"/>
          <w:szCs w:val="17"/>
          <w:color w:val="auto"/>
        </w:rPr>
        <w:t>” means a Director who either (i) is not a current employee of the Company or an “affiliated</w:t>
      </w:r>
      <w:r>
        <w:rPr>
          <w:rFonts w:ascii="Arial" w:cs="Arial" w:eastAsia="Arial" w:hAnsi="Arial"/>
          <w:sz w:val="21"/>
          <w:szCs w:val="21"/>
          <w:b w:val="1"/>
          <w:bCs w:val="1"/>
          <w:color w:val="auto"/>
        </w:rPr>
        <w:t xml:space="preserve"> </w:t>
      </w:r>
      <w:r>
        <w:rPr>
          <w:rFonts w:ascii="Arial" w:cs="Arial" w:eastAsia="Arial" w:hAnsi="Arial"/>
          <w:sz w:val="17"/>
          <w:szCs w:val="17"/>
          <w:color w:val="auto"/>
        </w:rPr>
        <w:t>corporation” (within the meaning of Treasury Regulations promulgated under Section 162(m) of the Code), is not a former employee of the Company or an “affiliated corporation” who receives compensation for prior services (other than benefits under a tax-qualified retirement plan) during the taxable year, has not been an officer of the Company or an “affiliated corporation,” and does not receive remuneration from the Company or an “affiliated</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9" w:name="page40"/>
    <w:bookmarkEnd w:id="39"/>
    <w:p>
      <w:pPr>
        <w:jc w:val="both"/>
        <w:ind w:right="20"/>
        <w:spacing w:after="0" w:line="277" w:lineRule="auto"/>
        <w:rPr>
          <w:sz w:val="20"/>
          <w:szCs w:val="20"/>
          <w:color w:val="auto"/>
        </w:rPr>
      </w:pPr>
      <w:r>
        <w:rPr>
          <w:rFonts w:ascii="Arial" w:cs="Arial" w:eastAsia="Arial" w:hAnsi="Arial"/>
          <w:sz w:val="18"/>
          <w:szCs w:val="18"/>
          <w:color w:val="auto"/>
        </w:rPr>
        <w:t>corporation,” either directly or indirectly, in any capacity other than as a Director, or (ii) is otherwise considered an “outside director” for purposes of Section 162(m) of the Code.</w:t>
      </w:r>
    </w:p>
    <w:p>
      <w:pPr>
        <w:spacing w:after="0" w:line="157" w:lineRule="exact"/>
        <w:rPr>
          <w:sz w:val="20"/>
          <w:szCs w:val="20"/>
          <w:color w:val="auto"/>
        </w:rPr>
      </w:pPr>
    </w:p>
    <w:p>
      <w:pPr>
        <w:jc w:val="both"/>
        <w:ind w:right="20" w:firstLine="877"/>
        <w:spacing w:after="0" w:line="258" w:lineRule="auto"/>
        <w:rPr>
          <w:sz w:val="20"/>
          <w:szCs w:val="20"/>
          <w:color w:val="auto"/>
        </w:rPr>
      </w:pPr>
      <w:r>
        <w:rPr>
          <w:rFonts w:ascii="Arial" w:cs="Arial" w:eastAsia="Arial" w:hAnsi="Arial"/>
          <w:sz w:val="22"/>
          <w:szCs w:val="22"/>
          <w:b w:val="1"/>
          <w:bCs w:val="1"/>
          <w:color w:val="auto"/>
        </w:rPr>
        <w:t xml:space="preserve">(hh) </w:t>
      </w:r>
      <w:r>
        <w:rPr>
          <w:rFonts w:ascii="Arial" w:cs="Arial" w:eastAsia="Arial" w:hAnsi="Arial"/>
          <w:sz w:val="18"/>
          <w:szCs w:val="18"/>
          <w:color w:val="auto"/>
        </w:rPr>
        <w:t>“</w:t>
      </w:r>
      <w:r>
        <w:rPr>
          <w:rFonts w:ascii="Arial" w:cs="Arial" w:eastAsia="Arial" w:hAnsi="Arial"/>
          <w:sz w:val="18"/>
          <w:szCs w:val="18"/>
          <w:b w:val="1"/>
          <w:bCs w:val="1"/>
          <w:i w:val="1"/>
          <w:iCs w:val="1"/>
          <w:color w:val="auto"/>
        </w:rPr>
        <w:t>Own,</w:t>
      </w:r>
      <w:r>
        <w:rPr>
          <w:rFonts w:ascii="Arial" w:cs="Arial" w:eastAsia="Arial" w:hAnsi="Arial"/>
          <w:sz w:val="18"/>
          <w:szCs w:val="18"/>
          <w:color w:val="auto"/>
        </w:rPr>
        <w:t>”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w:t>
      </w:r>
      <w:r>
        <w:rPr>
          <w:rFonts w:ascii="Arial" w:cs="Arial" w:eastAsia="Arial" w:hAnsi="Arial"/>
          <w:sz w:val="18"/>
          <w:szCs w:val="18"/>
          <w:b w:val="1"/>
          <w:bCs w:val="1"/>
          <w:i w:val="1"/>
          <w:iCs w:val="1"/>
          <w:color w:val="auto"/>
        </w:rPr>
        <w:t>Ownership</w:t>
      </w:r>
      <w:r>
        <w:rPr>
          <w:rFonts w:ascii="Arial" w:cs="Arial" w:eastAsia="Arial" w:hAnsi="Arial"/>
          <w:sz w:val="18"/>
          <w:szCs w:val="18"/>
          <w:color w:val="auto"/>
        </w:rPr>
        <w:t>” A person or Entity will be deemed to “Own,” to have “Owned,” to be the</w:t>
      </w:r>
      <w:r>
        <w:rPr>
          <w:rFonts w:ascii="Arial" w:cs="Arial" w:eastAsia="Arial" w:hAnsi="Arial"/>
          <w:sz w:val="22"/>
          <w:szCs w:val="22"/>
          <w:b w:val="1"/>
          <w:bCs w:val="1"/>
          <w:color w:val="auto"/>
        </w:rPr>
        <w:t xml:space="preserve"> </w:t>
      </w:r>
      <w:r>
        <w:rPr>
          <w:rFonts w:ascii="Arial" w:cs="Arial" w:eastAsia="Arial" w:hAnsi="Arial"/>
          <w:sz w:val="18"/>
          <w:szCs w:val="18"/>
          <w:color w:val="auto"/>
        </w:rPr>
        <w:t>“Owner”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4" w:lineRule="exact"/>
        <w:rPr>
          <w:sz w:val="20"/>
          <w:szCs w:val="20"/>
          <w:color w:val="auto"/>
        </w:rPr>
      </w:pPr>
    </w:p>
    <w:p>
      <w:pPr>
        <w:ind w:firstLine="877"/>
        <w:spacing w:after="0" w:line="270"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an Award is granted pursuant to the Plan or, if applicable, such other person who</w:t>
      </w:r>
      <w:r>
        <w:rPr>
          <w:rFonts w:ascii="Arial" w:cs="Arial" w:eastAsia="Arial" w:hAnsi="Arial"/>
          <w:sz w:val="22"/>
          <w:szCs w:val="22"/>
          <w:b w:val="1"/>
          <w:bCs w:val="1"/>
          <w:color w:val="auto"/>
        </w:rPr>
        <w:t xml:space="preserve"> </w:t>
      </w:r>
      <w:r>
        <w:rPr>
          <w:rFonts w:ascii="Arial" w:cs="Arial" w:eastAsia="Arial" w:hAnsi="Arial"/>
          <w:sz w:val="18"/>
          <w:szCs w:val="18"/>
          <w:color w:val="auto"/>
        </w:rPr>
        <w:t>holds an outstanding Stock Award.</w:t>
      </w:r>
    </w:p>
    <w:p>
      <w:pPr>
        <w:sectPr>
          <w:pgSz w:w="11900" w:h="16838" w:orient="portrait"/>
          <w:cols w:equalWidth="0" w:num="1">
            <w:col w:w="11420"/>
          </w:cols>
          <w:pgMar w:left="240" w:top="341" w:right="239" w:bottom="1440" w:gutter="0" w:footer="0" w:header="0"/>
        </w:sectPr>
      </w:pPr>
    </w:p>
    <w:p>
      <w:pPr>
        <w:spacing w:after="0" w:line="158"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(jj)</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Cash Award</w:t>
      </w:r>
      <w:r>
        <w:rPr>
          <w:rFonts w:ascii="Arial" w:cs="Arial" w:eastAsia="Arial" w:hAnsi="Arial"/>
          <w:sz w:val="16"/>
          <w:szCs w:val="16"/>
          <w:color w:val="auto"/>
        </w:rPr>
        <w:t>” means an award of cash granted pursuant to the terms and conditions of Section 6(c)(ii).</w:t>
      </w:r>
    </w:p>
    <w:p>
      <w:pPr>
        <w:spacing w:after="0" w:line="223" w:lineRule="exact"/>
        <w:rPr>
          <w:sz w:val="20"/>
          <w:szCs w:val="20"/>
          <w:color w:val="auto"/>
        </w:rPr>
      </w:pPr>
    </w:p>
    <w:p>
      <w:pPr>
        <w:sectPr>
          <w:pgSz w:w="11900" w:h="16838" w:orient="portrait"/>
          <w:cols w:equalWidth="0" w:num="2">
            <w:col w:w="1740" w:space="720"/>
            <w:col w:w="8960"/>
          </w:cols>
          <w:pgMar w:left="240" w:top="341" w:right="239" w:bottom="1440" w:gutter="0" w:footer="0" w:header="0"/>
          <w:type w:val="continuous"/>
        </w:sectPr>
      </w:pPr>
    </w:p>
    <w:p>
      <w:pPr>
        <w:ind w:left="880"/>
        <w:spacing w:after="0"/>
        <w:tabs>
          <w:tab w:leader="none" w:pos="2540" w:val="left"/>
        </w:tabs>
        <w:rPr>
          <w:sz w:val="20"/>
          <w:szCs w:val="20"/>
          <w:color w:val="auto"/>
        </w:rPr>
      </w:pPr>
      <w:r>
        <w:rPr>
          <w:rFonts w:ascii="Arial" w:cs="Arial" w:eastAsia="Arial" w:hAnsi="Arial"/>
          <w:sz w:val="21"/>
          <w:szCs w:val="21"/>
          <w:b w:val="1"/>
          <w:bCs w:val="1"/>
          <w:color w:val="auto"/>
        </w:rPr>
        <w:t>(kk)</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Criteria</w:t>
      </w:r>
      <w:r>
        <w:rPr>
          <w:rFonts w:ascii="Arial" w:cs="Arial" w:eastAsia="Arial" w:hAnsi="Arial"/>
          <w:sz w:val="17"/>
          <w:szCs w:val="17"/>
          <w:color w:val="auto"/>
        </w:rPr>
        <w:t>” means the one or more criteria that the Board will select for purposes of establishing the</w:t>
      </w:r>
    </w:p>
    <w:p>
      <w:pPr>
        <w:sectPr>
          <w:pgSz w:w="11900" w:h="16838" w:orient="portrait"/>
          <w:cols w:equalWidth="0" w:num="1">
            <w:col w:w="11420"/>
          </w:cols>
          <w:pgMar w:left="240" w:top="341" w:right="239" w:bottom="1440" w:gutter="0" w:footer="0" w:header="0"/>
          <w:type w:val="continuous"/>
        </w:sectPr>
      </w:pPr>
    </w:p>
    <w:p>
      <w:pPr>
        <w:spacing w:after="0" w:line="5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Performance Goals for a Performance Period. The Performance Criteria that will be used to establish such Performance Goals may be based on any one of, or combination of, the following as determined by the Board: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 (xv) increases in revenue or product revenue; (xvi) expenses and cost reduction goals; (xvii) improvement in or attainment of working capital levels; (xviii) economic value added (or an equivalent metric); (xix) market share; (xx) cash flow; (xxi) cash flow per share; (xxii) share price performance; (xxiii) debt reduction; (xxiv) implementation or completion of projects or processes; (xxv) customer satisfaction; (xxvi) stockholders’ equity; (xxvii) capital expenditures; (xxviii) debt levels; (xxix) operating profit or net operating profit; (xxx) workforce diversity; (xxxi) growth of net income or operating income; (xxxii) billings; (xxxiii) clinical goals;</w:t>
      </w:r>
    </w:p>
    <w:p>
      <w:pPr>
        <w:spacing w:after="0" w:line="3" w:lineRule="exact"/>
        <w:rPr>
          <w:sz w:val="20"/>
          <w:szCs w:val="20"/>
          <w:color w:val="auto"/>
        </w:rPr>
      </w:pPr>
    </w:p>
    <w:p>
      <w:pPr>
        <w:ind w:firstLine="8"/>
        <w:spacing w:after="0" w:line="261" w:lineRule="auto"/>
        <w:tabs>
          <w:tab w:leader="none" w:pos="5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financing goals, and (xxxv) to the extent that an Award is not intended to comply with Section 162(m) of the Code, other measures of performance selected by the Board.</w:t>
      </w:r>
    </w:p>
    <w:p>
      <w:pPr>
        <w:spacing w:after="0" w:line="210" w:lineRule="exact"/>
        <w:rPr>
          <w:rFonts w:ascii="Arial" w:cs="Arial" w:eastAsia="Arial" w:hAnsi="Arial"/>
          <w:sz w:val="18"/>
          <w:szCs w:val="18"/>
          <w:color w:val="auto"/>
        </w:rPr>
      </w:pPr>
    </w:p>
    <w:p>
      <w:pPr>
        <w:jc w:val="both"/>
        <w:ind w:firstLine="885"/>
        <w:spacing w:after="0" w:line="262" w:lineRule="auto"/>
        <w:tabs>
          <w:tab w:leader="none" w:pos="2438" w:val="left"/>
        </w:tabs>
        <w:numPr>
          <w:ilvl w:val="1"/>
          <w:numId w:val="37"/>
        </w:numPr>
        <w:rPr>
          <w:rFonts w:ascii="Arial" w:cs="Arial" w:eastAsia="Arial" w:hAnsi="Arial"/>
          <w:sz w:val="21"/>
          <w:szCs w:val="21"/>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Goals</w:t>
      </w:r>
      <w:r>
        <w:rPr>
          <w:rFonts w:ascii="Arial" w:cs="Arial" w:eastAsia="Arial" w:hAnsi="Arial"/>
          <w:sz w:val="17"/>
          <w:szCs w:val="17"/>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as applicable, for non-U.S. dollar denominated Performance Goals; (3) to exclude the effects of changes to generally accepted accounting principles; (4) to exclude the effects of any statutory adjustments to corporate tax rates; and (5) to exclude the effects of any “extraordinary items” as determined under generally accepted accounting principles.</w:t>
      </w:r>
    </w:p>
    <w:p>
      <w:pPr>
        <w:spacing w:after="0" w:line="217" w:lineRule="exact"/>
        <w:rPr>
          <w:rFonts w:ascii="Arial" w:cs="Arial" w:eastAsia="Arial" w:hAnsi="Arial"/>
          <w:sz w:val="21"/>
          <w:szCs w:val="21"/>
          <w:b w:val="1"/>
          <w:bCs w:val="1"/>
          <w:color w:val="auto"/>
        </w:rPr>
      </w:pPr>
    </w:p>
    <w:p>
      <w:pPr>
        <w:jc w:val="both"/>
        <w:ind w:firstLine="885"/>
        <w:spacing w:after="0" w:line="238" w:lineRule="auto"/>
        <w:tabs>
          <w:tab w:leader="none" w:pos="2678" w:val="left"/>
        </w:tabs>
        <w:numPr>
          <w:ilvl w:val="1"/>
          <w:numId w:val="37"/>
        </w:numPr>
        <w:rPr>
          <w:rFonts w:ascii="Arial" w:cs="Arial" w:eastAsia="Arial" w:hAnsi="Arial"/>
          <w:sz w:val="22"/>
          <w:szCs w:val="22"/>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of time selected by the Board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w:t>
      </w:r>
    </w:p>
    <w:p>
      <w:pPr>
        <w:spacing w:after="0" w:line="207" w:lineRule="exact"/>
        <w:rPr>
          <w:rFonts w:ascii="Arial" w:cs="Arial" w:eastAsia="Arial" w:hAnsi="Arial"/>
          <w:sz w:val="22"/>
          <w:szCs w:val="22"/>
          <w:b w:val="1"/>
          <w:bCs w:val="1"/>
          <w:color w:val="auto"/>
        </w:rPr>
      </w:pPr>
    </w:p>
    <w:p>
      <w:pPr>
        <w:ind w:left="2560" w:hanging="1675"/>
        <w:spacing w:after="0"/>
        <w:tabs>
          <w:tab w:leader="none" w:pos="2560" w:val="left"/>
        </w:tabs>
        <w:numPr>
          <w:ilvl w:val="1"/>
          <w:numId w:val="37"/>
        </w:numPr>
        <w:rPr>
          <w:rFonts w:ascii="Arial" w:cs="Arial" w:eastAsia="Arial" w:hAnsi="Arial"/>
          <w:sz w:val="22"/>
          <w:szCs w:val="22"/>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Stock Award</w:t>
      </w:r>
      <w:r>
        <w:rPr>
          <w:rFonts w:ascii="Arial" w:cs="Arial" w:eastAsia="Arial" w:hAnsi="Arial"/>
          <w:sz w:val="18"/>
          <w:szCs w:val="18"/>
          <w:color w:val="auto"/>
        </w:rPr>
        <w:t>” means a Stock Award granted under the terms and conditions of Section 6(c)(i).</w:t>
      </w:r>
    </w:p>
    <w:p>
      <w:pPr>
        <w:spacing w:after="0" w:line="206" w:lineRule="exact"/>
        <w:rPr>
          <w:rFonts w:ascii="Arial" w:cs="Arial" w:eastAsia="Arial" w:hAnsi="Arial"/>
          <w:sz w:val="22"/>
          <w:szCs w:val="22"/>
          <w:b w:val="1"/>
          <w:bCs w:val="1"/>
          <w:color w:val="auto"/>
        </w:rPr>
      </w:pPr>
    </w:p>
    <w:p>
      <w:pPr>
        <w:ind w:left="2540" w:hanging="1655"/>
        <w:spacing w:after="0"/>
        <w:tabs>
          <w:tab w:leader="none" w:pos="2540" w:val="left"/>
        </w:tabs>
        <w:numPr>
          <w:ilvl w:val="1"/>
          <w:numId w:val="37"/>
        </w:numPr>
        <w:rPr>
          <w:rFonts w:ascii="Arial" w:cs="Arial" w:eastAsia="Arial" w:hAnsi="Arial"/>
          <w:sz w:val="22"/>
          <w:szCs w:val="22"/>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MediciNova, Inc. 2013 Equity Incentive Plan.</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40" w:name="page41"/>
    <w:bookmarkEnd w:id="40"/>
    <w:p>
      <w:pPr>
        <w:ind w:left="880"/>
        <w:spacing w:after="0"/>
        <w:tabs>
          <w:tab w:leader="none" w:pos="2540" w:val="left"/>
        </w:tabs>
        <w:rPr>
          <w:sz w:val="20"/>
          <w:szCs w:val="20"/>
          <w:color w:val="auto"/>
        </w:rPr>
      </w:pPr>
      <w:r>
        <w:rPr>
          <w:rFonts w:ascii="Arial" w:cs="Arial" w:eastAsia="Arial" w:hAnsi="Arial"/>
          <w:sz w:val="21"/>
          <w:szCs w:val="21"/>
          <w:b w:val="1"/>
          <w:bCs w:val="1"/>
          <w:color w:val="auto"/>
        </w:rPr>
        <w:t>(pp)</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means an award of shares of Common Stock which is granted pursuant to the terms and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conditions of Section 6(a).</w:t>
      </w:r>
    </w:p>
    <w:p>
      <w:pPr>
        <w:spacing w:after="0" w:line="196"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18"/>
          <w:szCs w:val="18"/>
          <w:b w:val="1"/>
          <w:bCs w:val="1"/>
          <w:color w:val="auto"/>
        </w:rPr>
        <w:t>(qq)</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Restricted Stock Award Agreement</w:t>
      </w:r>
      <w:r>
        <w:rPr>
          <w:rFonts w:ascii="Arial" w:cs="Arial" w:eastAsia="Arial" w:hAnsi="Arial"/>
          <w:sz w:val="15"/>
          <w:szCs w:val="15"/>
          <w:color w:val="auto"/>
        </w:rPr>
        <w:t>” means a written agreement between the Company and a holder of a Restricted Stock</w:t>
      </w:r>
    </w:p>
    <w:p>
      <w:pPr>
        <w:spacing w:after="0" w:line="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Award evidencing the terms and conditions of a Restricted Stock Award grant. Each Restricted Stock Award Agreement will be subject to the terms and conditions of the Plan.</w:t>
      </w:r>
    </w:p>
    <w:p>
      <w:pPr>
        <w:spacing w:after="0" w:line="172"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19"/>
          <w:szCs w:val="19"/>
          <w:b w:val="1"/>
          <w:bCs w:val="1"/>
          <w:color w:val="auto"/>
        </w:rPr>
        <w:t>(rr)</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w:t>
      </w:r>
      <w:r>
        <w:rPr>
          <w:rFonts w:ascii="Arial" w:cs="Arial" w:eastAsia="Arial" w:hAnsi="Arial"/>
          <w:sz w:val="16"/>
          <w:szCs w:val="16"/>
          <w:color w:val="auto"/>
        </w:rPr>
        <w:t>” means a right to receive shares of Common Stock which is granted pursuant to the terms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and conditions of Section 6(b).</w:t>
      </w:r>
    </w:p>
    <w:p>
      <w:pPr>
        <w:spacing w:after="0" w:line="196"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19"/>
          <w:szCs w:val="19"/>
          <w:b w:val="1"/>
          <w:bCs w:val="1"/>
          <w:color w:val="auto"/>
        </w:rPr>
        <w:t>(ss)</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 Agreement</w:t>
      </w:r>
      <w:r>
        <w:rPr>
          <w:rFonts w:ascii="Arial" w:cs="Arial" w:eastAsia="Arial" w:hAnsi="Arial"/>
          <w:sz w:val="16"/>
          <w:szCs w:val="16"/>
          <w:color w:val="auto"/>
        </w:rPr>
        <w:t>” means a written agreement between the Company and a holder of a Restricted</w:t>
      </w:r>
    </w:p>
    <w:p>
      <w:pPr>
        <w:spacing w:after="0" w:line="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Stock Unit Award evidencing the terms and conditions of a Restricted Stock Unit Award grant. Each Restricted Stock Unit Award Agreement will be subject to the terms and conditions of the Plan.</w:t>
      </w:r>
    </w:p>
    <w:p>
      <w:pPr>
        <w:spacing w:after="0" w:line="17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19"/>
          <w:szCs w:val="19"/>
          <w:b w:val="1"/>
          <w:bCs w:val="1"/>
          <w:color w:val="auto"/>
        </w:rPr>
        <w:t>(tt)</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 or any successor to Rule 16b-3, as in effect from</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174"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2"/>
          <w:szCs w:val="22"/>
          <w:b w:val="1"/>
          <w:bCs w:val="1"/>
          <w:color w:val="auto"/>
        </w:rPr>
        <w:t>(uu)</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206"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b w:val="1"/>
          <w:bCs w:val="1"/>
          <w:color w:val="auto"/>
        </w:rPr>
        <w:t>(vv)</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means Rule 701 promulgated under the Securities Act.</w:t>
      </w:r>
    </w:p>
    <w:p>
      <w:pPr>
        <w:spacing w:after="0" w:line="206"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2"/>
          <w:szCs w:val="22"/>
          <w:b w:val="1"/>
          <w:bCs w:val="1"/>
          <w:color w:val="auto"/>
        </w:rPr>
        <w:t>(ww)</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9"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19"/>
          <w:szCs w:val="19"/>
          <w:b w:val="1"/>
          <w:bCs w:val="1"/>
          <w:color w:val="auto"/>
        </w:rPr>
        <w:t>(xx)</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or “</w:t>
      </w:r>
      <w:r>
        <w:rPr>
          <w:rFonts w:ascii="Arial" w:cs="Arial" w:eastAsia="Arial" w:hAnsi="Arial"/>
          <w:sz w:val="16"/>
          <w:szCs w:val="16"/>
          <w:b w:val="1"/>
          <w:bCs w:val="1"/>
          <w:i w:val="1"/>
          <w:iCs w:val="1"/>
          <w:color w:val="auto"/>
        </w:rPr>
        <w:t>SAR</w:t>
      </w:r>
      <w:r>
        <w:rPr>
          <w:rFonts w:ascii="Arial" w:cs="Arial" w:eastAsia="Arial" w:hAnsi="Arial"/>
          <w:sz w:val="16"/>
          <w:szCs w:val="16"/>
          <w:color w:val="auto"/>
        </w:rPr>
        <w:t>” means a right to receive the appreciation on Common Stock that is granted pursuant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to the terms and conditions of Section 5.</w:t>
      </w:r>
    </w:p>
    <w:p>
      <w:pPr>
        <w:sectPr>
          <w:pgSz w:w="11900" w:h="16838" w:orient="portrait"/>
          <w:cols w:equalWidth="0" w:num="1">
            <w:col w:w="11420"/>
          </w:cols>
          <w:pgMar w:left="240" w:top="317" w:right="239" w:bottom="1440" w:gutter="0" w:footer="0" w:header="0"/>
        </w:sectPr>
      </w:pPr>
    </w:p>
    <w:p>
      <w:pPr>
        <w:spacing w:after="0" w:line="174" w:lineRule="exact"/>
        <w:rPr>
          <w:sz w:val="20"/>
          <w:szCs w:val="20"/>
          <w:color w:val="auto"/>
        </w:rPr>
      </w:pPr>
    </w:p>
    <w:p>
      <w:pPr>
        <w:jc w:val="both"/>
        <w:ind w:left="880"/>
        <w:spacing w:after="0"/>
        <w:tabs>
          <w:tab w:leader="none" w:pos="2520" w:val="left"/>
        </w:tabs>
        <w:rPr>
          <w:sz w:val="20"/>
          <w:szCs w:val="20"/>
          <w:color w:val="auto"/>
        </w:rPr>
      </w:pPr>
      <w:r>
        <w:rPr>
          <w:rFonts w:ascii="Arial" w:cs="Arial" w:eastAsia="Arial" w:hAnsi="Arial"/>
          <w:sz w:val="22"/>
          <w:szCs w:val="22"/>
          <w:b w:val="1"/>
          <w:bCs w:val="1"/>
          <w:color w:val="auto"/>
        </w:rPr>
        <w:t>(yy)</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Appreciation Right evidencing the terms and conditions of a Stock Appreciation Right grant.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the Plan.</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hanging="14"/>
        <w:spacing w:after="0" w:line="342" w:lineRule="auto"/>
        <w:rPr>
          <w:sz w:val="20"/>
          <w:szCs w:val="20"/>
          <w:color w:val="auto"/>
        </w:rPr>
      </w:pPr>
      <w:r>
        <w:rPr>
          <w:rFonts w:ascii="Arial" w:cs="Arial" w:eastAsia="Arial" w:hAnsi="Arial"/>
          <w:sz w:val="16"/>
          <w:szCs w:val="16"/>
          <w:color w:val="auto"/>
        </w:rPr>
        <w:t>agreement between the Company and a holder of a Stock Each Stock Appreciation Right Agreement will be subject to</w:t>
      </w:r>
    </w:p>
    <w:p>
      <w:pPr>
        <w:spacing w:after="0" w:line="327" w:lineRule="exact"/>
        <w:rPr>
          <w:sz w:val="20"/>
          <w:szCs w:val="20"/>
          <w:color w:val="auto"/>
        </w:rPr>
      </w:pPr>
    </w:p>
    <w:p>
      <w:pPr>
        <w:sectPr>
          <w:pgSz w:w="11900" w:h="16838" w:orient="portrait"/>
          <w:cols w:equalWidth="0" w:num="2">
            <w:col w:w="6860" w:space="100"/>
            <w:col w:w="4460"/>
          </w:cols>
          <w:pgMar w:left="240" w:top="317" w:right="239" w:bottom="1440" w:gutter="0" w:footer="0" w:header="0"/>
          <w:type w:val="continuous"/>
        </w:sectPr>
      </w:pPr>
    </w:p>
    <w:p>
      <w:pPr>
        <w:jc w:val="both"/>
        <w:ind w:firstLine="877"/>
        <w:spacing w:after="0" w:line="236" w:lineRule="auto"/>
        <w:rPr>
          <w:sz w:val="20"/>
          <w:szCs w:val="20"/>
          <w:color w:val="auto"/>
        </w:rPr>
      </w:pPr>
      <w:r>
        <w:rPr>
          <w:rFonts w:ascii="Arial" w:cs="Arial" w:eastAsia="Arial" w:hAnsi="Arial"/>
          <w:sz w:val="22"/>
          <w:szCs w:val="22"/>
          <w:b w:val="1"/>
          <w:bCs w:val="1"/>
          <w:color w:val="auto"/>
        </w:rPr>
        <w:t xml:space="preserve">(zz) </w:t>
      </w: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w:t>
      </w:r>
      <w:r>
        <w:rPr>
          <w:rFonts w:ascii="Arial" w:cs="Arial" w:eastAsia="Arial" w:hAnsi="Arial"/>
          <w:sz w:val="18"/>
          <w:szCs w:val="18"/>
          <w:color w:val="auto"/>
        </w:rPr>
        <w:t>” means any right to receive Common Stock granted under the Plan, including an Incentive Stock Option, a</w:t>
      </w:r>
      <w:r>
        <w:rPr>
          <w:rFonts w:ascii="Arial" w:cs="Arial" w:eastAsia="Arial" w:hAnsi="Arial"/>
          <w:sz w:val="22"/>
          <w:szCs w:val="22"/>
          <w:b w:val="1"/>
          <w:bCs w:val="1"/>
          <w:color w:val="auto"/>
        </w:rPr>
        <w:t xml:space="preserve"> </w:t>
      </w:r>
      <w:r>
        <w:rPr>
          <w:rFonts w:ascii="Arial" w:cs="Arial" w:eastAsia="Arial" w:hAnsi="Arial"/>
          <w:sz w:val="18"/>
          <w:szCs w:val="18"/>
          <w:color w:val="auto"/>
        </w:rPr>
        <w:t>Nonstatutory Stock Option, a Restricted Stock Award, a Restricted Stock Unit Award, a Stock Appreciation Right, a Performance Stock Award or any Other Stock Award.</w:t>
      </w:r>
    </w:p>
    <w:p>
      <w:pPr>
        <w:spacing w:after="0" w:line="190"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19"/>
          <w:szCs w:val="19"/>
          <w:b w:val="1"/>
          <w:bCs w:val="1"/>
          <w:color w:val="auto"/>
        </w:rPr>
        <w:t>(aaa)</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Award Agreement</w:t>
      </w:r>
      <w:r>
        <w:rPr>
          <w:rFonts w:ascii="Arial" w:cs="Arial" w:eastAsia="Arial" w:hAnsi="Arial"/>
          <w:sz w:val="16"/>
          <w:szCs w:val="16"/>
          <w:color w:val="auto"/>
        </w:rPr>
        <w:t>” means a written agreement between the Company and a Participant evidencing the terms and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conditions of a Stock Award grant. Each Stock Award Agreement will be subject to the terms and conditions of the Plan.</w:t>
      </w:r>
    </w:p>
    <w:p>
      <w:pPr>
        <w:spacing w:after="0" w:line="185" w:lineRule="exact"/>
        <w:rPr>
          <w:sz w:val="20"/>
          <w:szCs w:val="20"/>
          <w:color w:val="auto"/>
        </w:rPr>
      </w:pPr>
    </w:p>
    <w:p>
      <w:pPr>
        <w:ind w:left="880"/>
        <w:spacing w:after="0"/>
        <w:tabs>
          <w:tab w:leader="none" w:pos="2660" w:val="left"/>
        </w:tabs>
        <w:rPr>
          <w:sz w:val="20"/>
          <w:szCs w:val="20"/>
          <w:color w:val="auto"/>
        </w:rPr>
      </w:pPr>
      <w:r>
        <w:rPr>
          <w:rFonts w:ascii="Arial" w:cs="Arial" w:eastAsia="Arial" w:hAnsi="Arial"/>
          <w:sz w:val="21"/>
          <w:szCs w:val="21"/>
          <w:b w:val="1"/>
          <w:bCs w:val="1"/>
          <w:color w:val="auto"/>
        </w:rPr>
        <w:t>(bbb)</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fifty percent (50%) of the</w:t>
      </w:r>
    </w:p>
    <w:p>
      <w:pPr>
        <w:spacing w:after="0" w:line="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spacing w:after="0" w:line="162"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22"/>
          <w:szCs w:val="22"/>
          <w:b w:val="1"/>
          <w:bCs w:val="1"/>
          <w:color w:val="auto"/>
        </w:rPr>
        <w:t xml:space="preserve">(ccc) </w:t>
      </w: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w:t>
      </w:r>
      <w:r>
        <w:rPr>
          <w:rFonts w:ascii="Arial" w:cs="Arial" w:eastAsia="Arial" w:hAnsi="Arial"/>
          <w:sz w:val="22"/>
          <w:szCs w:val="22"/>
          <w:b w:val="1"/>
          <w:bCs w:val="1"/>
          <w:color w:val="auto"/>
        </w:rPr>
        <w:t xml:space="preserve"> </w:t>
      </w:r>
      <w:r>
        <w:rPr>
          <w:rFonts w:ascii="Arial" w:cs="Arial" w:eastAsia="Arial" w:hAnsi="Arial"/>
          <w:sz w:val="18"/>
          <w:szCs w:val="18"/>
          <w:color w:val="auto"/>
        </w:rPr>
        <w:t>stock possessing more than ten percent (10%) of the total combined voting power of all classes of stock of the Company or any Affiliate.</w:t>
      </w:r>
    </w:p>
    <w:p>
      <w:pPr>
        <w:spacing w:after="0" w:line="175" w:lineRule="exact"/>
        <w:rPr>
          <w:sz w:val="20"/>
          <w:szCs w:val="20"/>
          <w:color w:val="auto"/>
        </w:rPr>
      </w:pPr>
    </w:p>
    <w:p>
      <w:pPr>
        <w:ind w:left="2040" w:hanging="1155"/>
        <w:spacing w:after="0"/>
        <w:tabs>
          <w:tab w:leader="none" w:pos="2040" w:val="left"/>
        </w:tabs>
        <w:numPr>
          <w:ilvl w:val="0"/>
          <w:numId w:val="38"/>
        </w:numPr>
        <w:rPr>
          <w:rFonts w:ascii="Arial" w:cs="Arial" w:eastAsia="Arial" w:hAnsi="Arial"/>
          <w:sz w:val="22"/>
          <w:szCs w:val="22"/>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means a Corporate Transaction or a Change in Control.</w:t>
      </w:r>
    </w:p>
    <w:p>
      <w:pPr>
        <w:spacing w:after="0" w:line="200" w:lineRule="exact"/>
        <w:rPr>
          <w:sz w:val="20"/>
          <w:szCs w:val="20"/>
          <w:color w:val="auto"/>
        </w:rPr>
      </w:pPr>
    </w:p>
    <w:p>
      <w:pPr>
        <w:spacing w:after="0" w:line="40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317" w:right="2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7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2017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26, 2017</w:t>
      </w:r>
    </w:p>
    <w:p>
      <w:pPr>
        <w:spacing w:after="0" w:line="252" w:lineRule="exact"/>
        <w:rPr>
          <w:sz w:val="20"/>
          <w:szCs w:val="20"/>
          <w:color w:val="auto"/>
        </w:rPr>
      </w:pPr>
    </w:p>
    <w:p>
      <w:pPr>
        <w:ind w:left="6860"/>
        <w:spacing w:after="0"/>
        <w:tabs>
          <w:tab w:leader="none" w:pos="740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4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Ryan Selhorn, certify that:</w:t>
      </w:r>
    </w:p>
    <w:p>
      <w:pPr>
        <w:spacing w:after="0" w:line="117" w:lineRule="exact"/>
        <w:rPr>
          <w:sz w:val="20"/>
          <w:szCs w:val="20"/>
          <w:color w:val="auto"/>
        </w:rPr>
      </w:pPr>
    </w:p>
    <w:p>
      <w:pPr>
        <w:ind w:left="700" w:hanging="174"/>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2017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26, 2017</w:t>
      </w:r>
    </w:p>
    <w:p>
      <w:pPr>
        <w:spacing w:after="0" w:line="252" w:lineRule="exact"/>
        <w:rPr>
          <w:sz w:val="20"/>
          <w:szCs w:val="20"/>
          <w:color w:val="auto"/>
        </w:rPr>
      </w:pPr>
    </w:p>
    <w:p>
      <w:pPr>
        <w:ind w:left="6860"/>
        <w:spacing w:after="0"/>
        <w:tabs>
          <w:tab w:leader="none" w:pos="7400" w:val="left"/>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Ryan Selhorn</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4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2017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26, 2017</w:t>
      </w:r>
    </w:p>
    <w:p>
      <w:pPr>
        <w:spacing w:after="0" w:line="252" w:lineRule="exact"/>
        <w:rPr>
          <w:sz w:val="20"/>
          <w:szCs w:val="20"/>
          <w:color w:val="auto"/>
        </w:rPr>
      </w:pPr>
    </w:p>
    <w:p>
      <w:pPr>
        <w:ind w:left="6860"/>
        <w:spacing w:after="0"/>
        <w:tabs>
          <w:tab w:leader="none" w:pos="8780" w:val="left"/>
          <w:tab w:leader="none" w:pos="9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1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jc w:val="cente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42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2017, as filed with the Securities and Exchange Commission on the date hereof (the “Report”), I, Ryan Selhorn, as Chief Financial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26, 2017</w:t>
      </w:r>
    </w:p>
    <w:p>
      <w:pPr>
        <w:spacing w:after="0" w:line="252" w:lineRule="exact"/>
        <w:rPr>
          <w:sz w:val="20"/>
          <w:szCs w:val="20"/>
          <w:color w:val="auto"/>
        </w:rPr>
      </w:pPr>
    </w:p>
    <w:p>
      <w:pPr>
        <w:ind w:left="6860"/>
        <w:spacing w:after="0"/>
        <w:tabs>
          <w:tab w:leader="none" w:pos="8680" w:val="left"/>
          <w:tab w:leader="none" w:pos="9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Ryan Selhorn</w:t>
      </w:r>
    </w:p>
    <w:p>
      <w:pPr>
        <w:spacing w:after="0" w:line="18"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-97790</wp:posOffset>
            </wp:positionV>
            <wp:extent cx="26073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32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amp;"/>
      <w:numFmt w:val="bullet"/>
      <w:start w:val="1"/>
    </w:lvl>
  </w:abstractNum>
  <w:abstractNum w:abstractNumId="4">
    <w:nsid w:val="6763845E"/>
    <w:multiLevelType w:val="hybridMultilevel"/>
    <w:lvl w:ilvl="0">
      <w:lvlJc w:val="left"/>
      <w:lvlText w:val="%1."/>
      <w:numFmt w:val="decimal"/>
      <w:start w:val="6"/>
    </w:lvl>
    <w:lvl w:ilvl="1">
      <w:lvlJc w:val="left"/>
      <w:lvlText w:val="•"/>
      <w:numFmt w:val="bullet"/>
      <w:start w:val="1"/>
    </w:lvl>
  </w:abstractNum>
  <w:abstractNum w:abstractNumId="5">
    <w:nsid w:val="75A2A8D4"/>
    <w:multiLevelType w:val="hybridMultilevel"/>
    <w:lvl w:ilvl="0">
      <w:lvlJc w:val="left"/>
      <w:lvlText w:val="•"/>
      <w:numFmt w:val="bullet"/>
      <w:start w:val="1"/>
    </w:lvl>
    <w:lvl w:ilvl="1">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01"/>
    </w:lvl>
  </w:abstractNum>
  <w:abstractNum w:abstractNumId="8">
    <w:nsid w:val="4353D0CD"/>
    <w:multiLevelType w:val="hybridMultilevel"/>
    <w:lvl w:ilvl="0">
      <w:lvlJc w:val="left"/>
      <w:lvlText w:val="%1"/>
      <w:numFmt w:val="decimal"/>
      <w:start w:val="101"/>
    </w:lvl>
  </w:abstractNum>
  <w:abstractNum w:abstractNumId="9">
    <w:nsid w:val="B03E0C6"/>
    <w:multiLevelType w:val="hybridMultilevel"/>
    <w:lvl w:ilvl="0">
      <w:lvlJc w:val="left"/>
      <w:lvlText w:val="%1."/>
      <w:numFmt w:val="decimal"/>
      <w:start w:val="1"/>
    </w:lvl>
    <w:lvl w:ilvl="1">
      <w:lvlJc w:val="left"/>
      <w:lvlText w:val="(%2)"/>
      <w:numFmt w:val="lowerLetter"/>
      <w:start w:val="1"/>
    </w:lvl>
  </w:abstractNum>
  <w:abstractNum w:abstractNumId="10">
    <w:nsid w:val="189A769B"/>
    <w:multiLevelType w:val="hybridMultilevel"/>
    <w:lvl w:ilvl="0">
      <w:lvlJc w:val="left"/>
      <w:lvlText w:val="(%1)"/>
      <w:numFmt w:val="lowerLetter"/>
      <w:start w:val="3"/>
    </w:lvl>
  </w:abstractNum>
  <w:abstractNum w:abstractNumId="11">
    <w:nsid w:val="54E49EB4"/>
    <w:multiLevelType w:val="hybridMultilevel"/>
    <w:lvl w:ilvl="0">
      <w:lvlJc w:val="left"/>
      <w:lvlText w:val="%1"/>
      <w:numFmt w:val="decimal"/>
      <w:start w:val="1"/>
    </w:lvl>
    <w:lvl w:ilvl="1">
      <w:lvlJc w:val="left"/>
      <w:lvlText w:val="(%2)"/>
      <w:numFmt w:val="lowerLetter"/>
      <w:start w:val="4"/>
    </w:lvl>
  </w:abstractNum>
  <w:abstractNum w:abstractNumId="12">
    <w:nsid w:val="71F32454"/>
    <w:multiLevelType w:val="hybridMultilevel"/>
    <w:lvl w:ilvl="0">
      <w:lvlJc w:val="left"/>
      <w:lvlText w:val="%1."/>
      <w:numFmt w:val="decimal"/>
      <w:start w:val="3"/>
    </w:lvl>
    <w:lvl w:ilvl="1">
      <w:lvlJc w:val="left"/>
      <w:lvlText w:val="(%2)"/>
      <w:numFmt w:val="lowerLetter"/>
      <w:start w:val="1"/>
    </w:lvl>
  </w:abstractNum>
  <w:abstractNum w:abstractNumId="13">
    <w:nsid w:val="2CA88611"/>
    <w:multiLevelType w:val="hybridMultilevel"/>
    <w:lvl w:ilvl="0">
      <w:lvlJc w:val="left"/>
      <w:lvlText w:val="(%1)"/>
      <w:numFmt w:val="lowerLetter"/>
      <w:start w:val="2"/>
    </w:lvl>
  </w:abstractNum>
  <w:abstractNum w:abstractNumId="14">
    <w:nsid w:val="836C40E"/>
    <w:multiLevelType w:val="hybridMultilevel"/>
    <w:lvl w:ilvl="0">
      <w:lvlJc w:val="left"/>
      <w:lvlText w:val="%1"/>
      <w:numFmt w:val="decimal"/>
      <w:start w:val="1"/>
    </w:lvl>
    <w:lvl w:ilvl="1">
      <w:lvlJc w:val="left"/>
      <w:lvlText w:val="(%2)"/>
      <w:numFmt w:val="lowerLetter"/>
      <w:start w:val="5"/>
    </w:lvl>
  </w:abstractNum>
  <w:abstractNum w:abstractNumId="15">
    <w:nsid w:val="2901D82"/>
    <w:multiLevelType w:val="hybridMultilevel"/>
    <w:lvl w:ilvl="0">
      <w:lvlJc w:val="left"/>
      <w:lvlText w:val="%1."/>
      <w:numFmt w:val="decimal"/>
      <w:start w:val="4"/>
    </w:lvl>
    <w:lvl w:ilvl="1">
      <w:lvlJc w:val="left"/>
      <w:lvlText w:val="(%2)"/>
      <w:numFmt w:val="lowerLetter"/>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4"/>
    </w:lvl>
  </w:abstractNum>
  <w:abstractNum w:abstractNumId="18">
    <w:nsid w:val="1E7FF521"/>
    <w:multiLevelType w:val="hybridMultilevel"/>
    <w:lvl w:ilvl="0">
      <w:lvlJc w:val="left"/>
      <w:lvlText w:val="(%1)"/>
      <w:numFmt w:val="lowerLetter"/>
      <w:start w:val="6"/>
    </w:lvl>
  </w:abstractNum>
  <w:abstractNum w:abstractNumId="19">
    <w:nsid w:val="7C3DBD3D"/>
    <w:multiLevelType w:val="hybridMultilevel"/>
    <w:lvl w:ilvl="0">
      <w:lvlJc w:val="left"/>
      <w:lvlText w:val="(%1)"/>
      <w:numFmt w:val="lowerLetter"/>
      <w:start w:val="7"/>
    </w:lvl>
  </w:abstractNum>
  <w:abstractNum w:abstractNumId="20">
    <w:nsid w:val="737B8DDC"/>
    <w:multiLevelType w:val="hybridMultilevel"/>
    <w:lvl w:ilvl="0">
      <w:lvlJc w:val="left"/>
      <w:lvlText w:val="%1"/>
      <w:numFmt w:val="decimal"/>
      <w:start w:val="1"/>
    </w:lvl>
    <w:lvl w:ilvl="1">
      <w:lvlJc w:val="left"/>
      <w:lvlText w:val="(%2)"/>
      <w:numFmt w:val="lowerLetter"/>
      <w:start w:val="11"/>
    </w:lvl>
  </w:abstractNum>
  <w:abstractNum w:abstractNumId="21">
    <w:nsid w:val="6CEAF087"/>
    <w:multiLevelType w:val="hybridMultilevel"/>
    <w:lvl w:ilvl="0">
      <w:lvlJc w:val="left"/>
      <w:lvlText w:val="%1."/>
      <w:numFmt w:val="decimal"/>
      <w:start w:val="6"/>
    </w:lvl>
    <w:lvl w:ilvl="1">
      <w:lvlJc w:val="left"/>
      <w:lvlText w:val="(%2)"/>
      <w:numFmt w:val="lowerLetter"/>
      <w:start w:val="1"/>
    </w:lvl>
  </w:abstractNum>
  <w:abstractNum w:abstractNumId="22">
    <w:nsid w:val="22221A70"/>
    <w:multiLevelType w:val="hybridMultilevel"/>
    <w:lvl w:ilvl="0">
      <w:lvlJc w:val="left"/>
      <w:lvlText w:val="(%1)"/>
      <w:numFmt w:val="lowerLetter"/>
      <w:start w:val="2"/>
    </w:lvl>
  </w:abstractNum>
  <w:abstractNum w:abstractNumId="23">
    <w:nsid w:val="4516DDE9"/>
    <w:multiLevelType w:val="hybridMultilevel"/>
    <w:lvl w:ilvl="0">
      <w:lvlJc w:val="left"/>
      <w:lvlText w:val="(%1)"/>
      <w:numFmt w:val="lowerLetter"/>
      <w:start w:val="3"/>
    </w:lvl>
  </w:abstractNum>
  <w:abstractNum w:abstractNumId="24">
    <w:nsid w:val="3006C83E"/>
    <w:multiLevelType w:val="hybridMultilevel"/>
    <w:lvl w:ilvl="0">
      <w:lvlJc w:val="left"/>
      <w:lvlText w:val="%1"/>
      <w:numFmt w:val="decimal"/>
      <w:start w:val="1"/>
    </w:lvl>
    <w:lvl w:ilvl="1">
      <w:lvlJc w:val="left"/>
      <w:lvlText w:val="(%2)"/>
      <w:numFmt w:val="lowerLetter"/>
      <w:start w:val="4"/>
    </w:lvl>
  </w:abstractNum>
  <w:abstractNum w:abstractNumId="25">
    <w:nsid w:val="614FD4A1"/>
    <w:multiLevelType w:val="hybridMultilevel"/>
    <w:lvl w:ilvl="0">
      <w:lvlJc w:val="left"/>
      <w:lvlText w:val="%1."/>
      <w:numFmt w:val="decimal"/>
      <w:start w:val="7"/>
    </w:lvl>
    <w:lvl w:ilvl="1">
      <w:lvlJc w:val="left"/>
      <w:lvlText w:val="(%2)"/>
      <w:numFmt w:val="lowerLetter"/>
      <w:start w:val="1"/>
    </w:lvl>
  </w:abstractNum>
  <w:abstractNum w:abstractNumId="26">
    <w:nsid w:val="419AC241"/>
    <w:multiLevelType w:val="hybridMultilevel"/>
    <w:lvl w:ilvl="0">
      <w:lvlJc w:val="left"/>
      <w:lvlText w:val="%1"/>
      <w:numFmt w:val="decimal"/>
      <w:start w:val="1"/>
    </w:lvl>
    <w:lvl w:ilvl="1">
      <w:lvlJc w:val="left"/>
      <w:lvlText w:val="(%2)"/>
      <w:numFmt w:val="lowerLetter"/>
      <w:start w:val="3"/>
    </w:lvl>
  </w:abstractNum>
  <w:abstractNum w:abstractNumId="27">
    <w:nsid w:val="5577F8E1"/>
    <w:multiLevelType w:val="hybridMultilevel"/>
    <w:lvl w:ilvl="0">
      <w:lvlJc w:val="left"/>
      <w:lvlText w:val="%1."/>
      <w:numFmt w:val="decimal"/>
      <w:start w:val="8"/>
    </w:lvl>
    <w:lvl w:ilvl="1">
      <w:lvlJc w:val="left"/>
      <w:lvlText w:val="(%2)"/>
      <w:numFmt w:val="lowerLetter"/>
      <w:start w:val="1"/>
    </w:lvl>
  </w:abstractNum>
  <w:abstractNum w:abstractNumId="28">
    <w:nsid w:val="440BADFC"/>
    <w:multiLevelType w:val="hybridMultilevel"/>
    <w:lvl w:ilvl="0">
      <w:lvlJc w:val="left"/>
      <w:lvlText w:val="(%1)"/>
      <w:numFmt w:val="lowerLetter"/>
      <w:start w:val="7"/>
    </w:lvl>
  </w:abstractNum>
  <w:abstractNum w:abstractNumId="29">
    <w:nsid w:val="5072367"/>
    <w:multiLevelType w:val="hybridMultilevel"/>
    <w:lvl w:ilvl="0">
      <w:lvlJc w:val="left"/>
      <w:lvlText w:val="%1."/>
      <w:numFmt w:val="decimal"/>
      <w:start w:val="9"/>
    </w:lvl>
    <w:lvl w:ilvl="1">
      <w:lvlJc w:val="left"/>
      <w:lvlText w:val="(%2)"/>
      <w:numFmt w:val="lowerLetter"/>
      <w:start w:val="1"/>
    </w:lvl>
  </w:abstractNum>
  <w:abstractNum w:abstractNumId="30">
    <w:nsid w:val="3804823E"/>
    <w:multiLevelType w:val="hybridMultilevel"/>
    <w:lvl w:ilvl="0">
      <w:lvlJc w:val="left"/>
      <w:lvlText w:val="%1"/>
      <w:numFmt w:val="decimal"/>
      <w:start w:val="1"/>
    </w:lvl>
    <w:lvl w:ilvl="1">
      <w:lvlJc w:val="left"/>
      <w:lvlText w:val="(%2)"/>
      <w:numFmt w:val="lowerLetter"/>
      <w:start w:val="4"/>
    </w:lvl>
  </w:abstractNum>
  <w:abstractNum w:abstractNumId="31">
    <w:nsid w:val="77465F01"/>
    <w:multiLevelType w:val="hybridMultilevel"/>
    <w:lvl w:ilvl="0">
      <w:lvlJc w:val="left"/>
      <w:lvlText w:val="%1."/>
      <w:numFmt w:val="decimal"/>
      <w:start w:val="10"/>
    </w:lvl>
    <w:lvl w:ilvl="1">
      <w:lvlJc w:val="left"/>
      <w:lvlText w:val="(%2)"/>
      <w:numFmt w:val="lowerLetter"/>
      <w:start w:val="1"/>
    </w:lvl>
  </w:abstractNum>
  <w:abstractNum w:abstractNumId="32">
    <w:nsid w:val="7724C67E"/>
    <w:multiLevelType w:val="hybridMultilevel"/>
    <w:lvl w:ilvl="0">
      <w:lvlJc w:val="left"/>
      <w:lvlText w:val="%1."/>
      <w:numFmt w:val="decimal"/>
      <w:start w:val="12"/>
    </w:lvl>
  </w:abstractNum>
  <w:abstractNum w:abstractNumId="33">
    <w:nsid w:val="5C482A97"/>
    <w:multiLevelType w:val="hybridMultilevel"/>
    <w:lvl w:ilvl="0">
      <w:lvlJc w:val="left"/>
      <w:lvlText w:val="%1."/>
      <w:numFmt w:val="decimal"/>
      <w:start w:val="13"/>
    </w:lvl>
    <w:lvl w:ilvl="1">
      <w:lvlJc w:val="left"/>
      <w:lvlText w:val="(%2)"/>
      <w:numFmt w:val="lowerLetter"/>
      <w:start w:val="1"/>
    </w:lvl>
  </w:abstractNum>
  <w:abstractNum w:abstractNumId="34">
    <w:nsid w:val="2463B9EA"/>
    <w:multiLevelType w:val="hybridMultilevel"/>
    <w:lvl w:ilvl="0">
      <w:lvlJc w:val="left"/>
      <w:lvlText w:val="(%1)"/>
      <w:numFmt w:val="lowerRoman"/>
      <w:start w:val="4"/>
    </w:lvl>
    <w:lvl w:ilvl="1">
      <w:lvlJc w:val="left"/>
      <w:lvlText w:val="(%2)"/>
      <w:numFmt w:val="lowerLetter"/>
      <w:start w:val="7"/>
    </w:lvl>
  </w:abstractNum>
  <w:abstractNum w:abstractNumId="35">
    <w:nsid w:val="5E884ADC"/>
    <w:multiLevelType w:val="hybridMultilevel"/>
    <w:lvl w:ilvl="0">
      <w:lvlJc w:val="left"/>
      <w:lvlText w:val="(%1)"/>
      <w:numFmt w:val="lowerLetter"/>
      <w:start w:val="35"/>
    </w:lvl>
    <w:lvl w:ilvl="1">
      <w:lvlJc w:val="left"/>
      <w:lvlText w:val="(%2)"/>
      <w:numFmt w:val="lowerLetter"/>
      <w:start w:val="26"/>
    </w:lvl>
  </w:abstractNum>
  <w:abstractNum w:abstractNumId="36">
    <w:nsid w:val="51EAD36B"/>
    <w:multiLevelType w:val="hybridMultilevel"/>
    <w:lvl w:ilvl="0">
      <w:lvlJc w:val="left"/>
      <w:lvlText w:val="(%1)"/>
      <w:numFmt w:val="lowerRoman"/>
      <w:start w:val="34"/>
    </w:lvl>
    <w:lvl w:ilvl="1">
      <w:lvlJc w:val="left"/>
      <w:lvlText w:val="(%2)"/>
      <w:numFmt w:val="lowerLetter"/>
      <w:start w:val="38"/>
    </w:lvl>
  </w:abstractNum>
  <w:abstractNum w:abstractNumId="37">
    <w:nsid w:val="2D517796"/>
    <w:multiLevelType w:val="hybridMultilevel"/>
    <w:lvl w:ilvl="0">
      <w:lvlJc w:val="left"/>
      <w:lvlText w:val="(%1)"/>
      <w:numFmt w:val="lowerLetter"/>
      <w:start w:val="56"/>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2019-12-29T04:54:33Z</dcterms:created>
  <dcterms:modified xsi:type="dcterms:W3CDTF">2019-12-29T04:54:33Z</dcterms:modified>
</cp:coreProperties>
</file>