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7"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26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49" w:lineRule="exact"/>
        <w:rPr>
          <w:sz w:val="24"/>
          <w:szCs w:val="24"/>
          <w:color w:val="auto"/>
        </w:rPr>
      </w:pPr>
    </w:p>
    <w:p>
      <w:pPr>
        <w:ind w:left="520" w:right="24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280"/>
          </w:cols>
          <w:pgMar w:left="240" w:top="571" w:right="379" w:bottom="1440" w:gutter="0" w:footer="0" w:header="0"/>
        </w:sectPr>
      </w:pPr>
    </w:p>
    <w:p>
      <w:pPr>
        <w:spacing w:after="0" w:line="104"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58" w:lineRule="exact"/>
        <w:rPr>
          <w:sz w:val="24"/>
          <w:szCs w:val="24"/>
          <w:color w:val="auto"/>
        </w:rPr>
      </w:pPr>
    </w:p>
    <w:p>
      <w:pPr>
        <w:sectPr>
          <w:pgSz w:w="11900" w:h="16838" w:orient="portrait"/>
          <w:cols w:equalWidth="0" w:num="2">
            <w:col w:w="6560" w:space="720"/>
            <w:col w:w="4000"/>
          </w:cols>
          <w:pgMar w:left="240" w:top="571" w:right="379" w:bottom="1440" w:gutter="0" w:footer="0" w:header="0"/>
          <w:type w:val="continuous"/>
        </w:sectPr>
      </w:pPr>
    </w:p>
    <w:p>
      <w:pPr>
        <w:jc w:val="center"/>
        <w:ind w:right="-139"/>
        <w:spacing w:after="0"/>
        <w:rPr>
          <w:sz w:val="20"/>
          <w:szCs w:val="20"/>
          <w:color w:val="auto"/>
        </w:rPr>
      </w:pPr>
      <w:r>
        <w:rPr>
          <w:rFonts w:ascii="Arial" w:cs="Arial" w:eastAsia="Arial" w:hAnsi="Arial"/>
          <w:sz w:val="16"/>
          <w:szCs w:val="16"/>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135255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280"/>
          </w:cols>
          <w:pgMar w:left="240" w:top="571" w:right="379" w:bottom="1440" w:gutter="0" w:footer="0" w:header="0"/>
          <w:type w:val="continuous"/>
        </w:sectPr>
      </w:pPr>
    </w:p>
    <w:p>
      <w:pPr>
        <w:spacing w:after="0" w:line="327" w:lineRule="exact"/>
        <w:rPr>
          <w:sz w:val="24"/>
          <w:szCs w:val="24"/>
          <w:color w:val="auto"/>
        </w:rPr>
      </w:pPr>
    </w:p>
    <w:p>
      <w:pPr>
        <w:jc w:val="center"/>
        <w:ind w:right="-139"/>
        <w:spacing w:after="0"/>
        <w:rPr>
          <w:sz w:val="20"/>
          <w:szCs w:val="20"/>
          <w:color w:val="auto"/>
        </w:rPr>
      </w:pPr>
      <w:r>
        <w:rPr>
          <w:rFonts w:ascii="Arial" w:cs="Arial" w:eastAsia="Arial" w:hAnsi="Arial"/>
          <w:sz w:val="40"/>
          <w:szCs w:val="40"/>
          <w:b w:val="1"/>
          <w:bCs w:val="1"/>
          <w:color w:val="auto"/>
        </w:rPr>
        <w:t>MEDICINOVA, INC.</w:t>
      </w:r>
    </w:p>
    <w:p>
      <w:pPr>
        <w:spacing w:after="0" w:line="3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3"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6300" w:type="dxa"/>
            <w:vAlign w:val="bottom"/>
          </w:tcPr>
          <w:p>
            <w:pPr>
              <w:jc w:val="center"/>
              <w:ind w:right="3679"/>
              <w:spacing w:after="0"/>
              <w:rPr>
                <w:sz w:val="20"/>
                <w:szCs w:val="20"/>
                <w:color w:val="auto"/>
              </w:rPr>
            </w:pPr>
            <w:r>
              <w:rPr>
                <w:rFonts w:ascii="Arial" w:cs="Arial" w:eastAsia="Arial" w:hAnsi="Arial"/>
                <w:sz w:val="18"/>
                <w:szCs w:val="18"/>
                <w:b w:val="1"/>
                <w:bCs w:val="1"/>
                <w:color w:val="auto"/>
                <w:w w:val="93"/>
              </w:rPr>
              <w:t>Delaware</w:t>
            </w:r>
          </w:p>
        </w:tc>
        <w:tc>
          <w:tcPr>
            <w:tcW w:w="1340" w:type="dxa"/>
            <w:vAlign w:val="bottom"/>
          </w:tcPr>
          <w:p>
            <w:pPr>
              <w:jc w:val="right"/>
              <w:ind w:right="41"/>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6300" w:type="dxa"/>
            <w:vAlign w:val="bottom"/>
          </w:tcPr>
          <w:p>
            <w:pPr>
              <w:jc w:val="center"/>
              <w:ind w:right="36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340" w:type="dxa"/>
            <w:vAlign w:val="bottom"/>
          </w:tcPr>
          <w:p>
            <w:pPr>
              <w:jc w:val="center"/>
              <w:ind w:left="1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300" w:type="dxa"/>
            <w:vAlign w:val="bottom"/>
          </w:tcPr>
          <w:p>
            <w:pPr>
              <w:jc w:val="center"/>
              <w:ind w:right="3679"/>
              <w:spacing w:after="0"/>
              <w:rPr>
                <w:sz w:val="20"/>
                <w:szCs w:val="20"/>
                <w:color w:val="auto"/>
              </w:rPr>
            </w:pPr>
            <w:r>
              <w:rPr>
                <w:rFonts w:ascii="Arial" w:cs="Arial" w:eastAsia="Arial" w:hAnsi="Arial"/>
                <w:sz w:val="14"/>
                <w:szCs w:val="14"/>
                <w:b w:val="1"/>
                <w:bCs w:val="1"/>
                <w:color w:val="auto"/>
                <w:w w:val="95"/>
              </w:rPr>
              <w:t>Incorporation or Organization)</w:t>
            </w:r>
          </w:p>
        </w:tc>
        <w:tc>
          <w:tcPr>
            <w:tcW w:w="1340" w:type="dxa"/>
            <w:vAlign w:val="bottom"/>
          </w:tcPr>
          <w:p>
            <w:pPr>
              <w:jc w:val="center"/>
              <w:ind w:left="141"/>
              <w:spacing w:after="0"/>
              <w:rPr>
                <w:sz w:val="20"/>
                <w:szCs w:val="20"/>
                <w:color w:val="auto"/>
              </w:rPr>
            </w:pPr>
            <w:r>
              <w:rPr>
                <w:rFonts w:ascii="Arial" w:cs="Arial" w:eastAsia="Arial" w:hAnsi="Arial"/>
                <w:sz w:val="14"/>
                <w:szCs w:val="14"/>
                <w:b w:val="1"/>
                <w:bCs w:val="1"/>
                <w:color w:val="auto"/>
                <w:w w:val="94"/>
              </w:rPr>
              <w:t>Identification No.)</w:t>
            </w:r>
          </w:p>
        </w:tc>
      </w:tr>
      <w:tr>
        <w:trPr>
          <w:trHeight w:val="331"/>
        </w:trPr>
        <w:tc>
          <w:tcPr>
            <w:tcW w:w="6300" w:type="dxa"/>
            <w:vAlign w:val="bottom"/>
          </w:tcPr>
          <w:p>
            <w:pPr>
              <w:jc w:val="center"/>
              <w:ind w:right="3679"/>
              <w:spacing w:after="0"/>
              <w:rPr>
                <w:sz w:val="20"/>
                <w:szCs w:val="20"/>
                <w:color w:val="auto"/>
              </w:rPr>
            </w:pPr>
            <w:r>
              <w:rPr>
                <w:rFonts w:ascii="Arial" w:cs="Arial" w:eastAsia="Arial" w:hAnsi="Arial"/>
                <w:sz w:val="18"/>
                <w:szCs w:val="18"/>
                <w:b w:val="1"/>
                <w:bCs w:val="1"/>
                <w:color w:val="auto"/>
                <w:w w:val="89"/>
              </w:rPr>
              <w:t>4275 Executive Square, Suite 650</w:t>
            </w:r>
          </w:p>
        </w:tc>
        <w:tc>
          <w:tcPr>
            <w:tcW w:w="1340" w:type="dxa"/>
            <w:vAlign w:val="bottom"/>
          </w:tcPr>
          <w:p>
            <w:pPr>
              <w:spacing w:after="0"/>
              <w:rPr>
                <w:sz w:val="24"/>
                <w:szCs w:val="24"/>
                <w:color w:val="auto"/>
              </w:rPr>
            </w:pPr>
          </w:p>
        </w:tc>
      </w:tr>
      <w:tr>
        <w:trPr>
          <w:trHeight w:val="212"/>
        </w:trPr>
        <w:tc>
          <w:tcPr>
            <w:tcW w:w="6300" w:type="dxa"/>
            <w:vAlign w:val="bottom"/>
          </w:tcPr>
          <w:p>
            <w:pPr>
              <w:jc w:val="center"/>
              <w:ind w:right="3679"/>
              <w:spacing w:after="0"/>
              <w:rPr>
                <w:sz w:val="20"/>
                <w:szCs w:val="20"/>
                <w:color w:val="auto"/>
              </w:rPr>
            </w:pPr>
            <w:r>
              <w:rPr>
                <w:rFonts w:ascii="Arial" w:cs="Arial" w:eastAsia="Arial" w:hAnsi="Arial"/>
                <w:sz w:val="18"/>
                <w:szCs w:val="18"/>
                <w:b w:val="1"/>
                <w:bCs w:val="1"/>
                <w:color w:val="auto"/>
                <w:w w:val="95"/>
              </w:rPr>
              <w:t>La Jolla, CA</w:t>
            </w:r>
          </w:p>
        </w:tc>
        <w:tc>
          <w:tcPr>
            <w:tcW w:w="1340" w:type="dxa"/>
            <w:vAlign w:val="bottom"/>
          </w:tcPr>
          <w:p>
            <w:pPr>
              <w:jc w:val="right"/>
              <w:ind w:right="261"/>
              <w:spacing w:after="0"/>
              <w:rPr>
                <w:sz w:val="20"/>
                <w:szCs w:val="20"/>
                <w:color w:val="auto"/>
              </w:rPr>
            </w:pPr>
            <w:r>
              <w:rPr>
                <w:rFonts w:ascii="Arial" w:cs="Arial" w:eastAsia="Arial" w:hAnsi="Arial"/>
                <w:sz w:val="18"/>
                <w:szCs w:val="18"/>
                <w:b w:val="1"/>
                <w:bCs w:val="1"/>
                <w:color w:val="auto"/>
              </w:rPr>
              <w:t>92037</w:t>
            </w:r>
          </w:p>
        </w:tc>
      </w:tr>
      <w:tr>
        <w:trPr>
          <w:trHeight w:val="186"/>
        </w:trPr>
        <w:tc>
          <w:tcPr>
            <w:tcW w:w="6300" w:type="dxa"/>
            <w:vAlign w:val="bottom"/>
          </w:tcPr>
          <w:p>
            <w:pPr>
              <w:jc w:val="center"/>
              <w:ind w:right="36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340" w:type="dxa"/>
            <w:vAlign w:val="bottom"/>
          </w:tcPr>
          <w:p>
            <w:pPr>
              <w:jc w:val="center"/>
              <w:ind w:left="161"/>
              <w:spacing w:after="0"/>
              <w:rPr>
                <w:sz w:val="20"/>
                <w:szCs w:val="20"/>
                <w:color w:val="auto"/>
              </w:rPr>
            </w:pPr>
            <w:r>
              <w:rPr>
                <w:rFonts w:ascii="Arial" w:cs="Arial" w:eastAsia="Arial" w:hAnsi="Arial"/>
                <w:sz w:val="14"/>
                <w:szCs w:val="14"/>
                <w:b w:val="1"/>
                <w:bCs w:val="1"/>
                <w:color w:val="auto"/>
                <w:w w:val="95"/>
              </w:rPr>
              <w:t>(Zip Code)</w:t>
            </w:r>
          </w:p>
        </w:tc>
      </w:tr>
      <w:tr>
        <w:trPr>
          <w:trHeight w:val="376"/>
        </w:trPr>
        <w:tc>
          <w:tcPr>
            <w:tcW w:w="6300" w:type="dxa"/>
            <w:vAlign w:val="bottom"/>
          </w:tcPr>
          <w:p>
            <w:pPr>
              <w:jc w:val="right"/>
              <w:ind w:right="1539"/>
              <w:spacing w:after="0"/>
              <w:rPr>
                <w:sz w:val="20"/>
                <w:szCs w:val="20"/>
                <w:color w:val="auto"/>
              </w:rPr>
            </w:pPr>
            <w:r>
              <w:rPr>
                <w:rFonts w:ascii="Arial" w:cs="Arial" w:eastAsia="Arial" w:hAnsi="Arial"/>
                <w:sz w:val="16"/>
                <w:szCs w:val="16"/>
                <w:b w:val="1"/>
                <w:bCs w:val="1"/>
                <w:color w:val="auto"/>
              </w:rPr>
              <w:t>(858) 373-1500</w:t>
            </w:r>
          </w:p>
        </w:tc>
        <w:tc>
          <w:tcPr>
            <w:tcW w:w="1340" w:type="dxa"/>
            <w:vAlign w:val="bottom"/>
          </w:tcPr>
          <w:p>
            <w:pPr>
              <w:spacing w:after="0"/>
              <w:rPr>
                <w:sz w:val="24"/>
                <w:szCs w:val="24"/>
                <w:color w:val="auto"/>
              </w:rPr>
            </w:pPr>
          </w:p>
        </w:tc>
      </w:tr>
      <w:tr>
        <w:trPr>
          <w:trHeight w:val="210"/>
        </w:trPr>
        <w:tc>
          <w:tcPr>
            <w:tcW w:w="6300" w:type="dxa"/>
            <w:vAlign w:val="bottom"/>
          </w:tcPr>
          <w:p>
            <w:pPr>
              <w:jc w:val="center"/>
              <w:ind w:left="1959"/>
              <w:spacing w:after="0"/>
              <w:rPr>
                <w:sz w:val="20"/>
                <w:szCs w:val="20"/>
                <w:color w:val="auto"/>
              </w:rPr>
            </w:pPr>
            <w:r>
              <w:rPr>
                <w:rFonts w:ascii="Arial" w:cs="Arial" w:eastAsia="Arial" w:hAnsi="Arial"/>
                <w:sz w:val="16"/>
                <w:szCs w:val="16"/>
                <w:b w:val="1"/>
                <w:bCs w:val="1"/>
                <w:color w:val="auto"/>
                <w:w w:val="91"/>
              </w:rPr>
              <w:t>(Registrant’s Telephone Number, Including Area Code)</w:t>
            </w:r>
          </w:p>
        </w:tc>
        <w:tc>
          <w:tcPr>
            <w:tcW w:w="134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106680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0" w:lineRule="exact"/>
        <w:rPr>
          <w:sz w:val="24"/>
          <w:szCs w:val="24"/>
          <w:color w:val="auto"/>
        </w:rPr>
      </w:pPr>
    </w:p>
    <w:p>
      <w:pPr>
        <w:ind w:right="160" w:firstLine="518"/>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84" w:lineRule="exact"/>
        <w:tabs>
          <w:tab w:leader="none" w:pos="680" w:val="left"/>
          <w:tab w:leader="none" w:pos="132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63" w:lineRule="exact"/>
        <w:rPr>
          <w:sz w:val="24"/>
          <w:szCs w:val="24"/>
          <w:color w:val="auto"/>
        </w:rPr>
      </w:pPr>
    </w:p>
    <w:p>
      <w:pPr>
        <w:ind w:right="260" w:firstLine="518"/>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5" w:lineRule="exact"/>
        <w:rPr>
          <w:sz w:val="24"/>
          <w:szCs w:val="24"/>
          <w:color w:val="auto"/>
        </w:rPr>
      </w:pPr>
    </w:p>
    <w:p>
      <w:pPr>
        <w:ind w:firstLine="518"/>
        <w:spacing w:after="0" w:line="29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See the definitions of “accelerated filer”, “large accelerated filer” and “smaller reporting company” in Rule 12b-2 of the Exchange Act. (Check one):</w:t>
      </w:r>
    </w:p>
    <w:p>
      <w:pPr>
        <w:sectPr>
          <w:pgSz w:w="11900" w:h="16838" w:orient="portrait"/>
          <w:cols w:equalWidth="0" w:num="1">
            <w:col w:w="11280"/>
          </w:cols>
          <w:pgMar w:left="240" w:top="571" w:right="379" w:bottom="1440" w:gutter="0" w:footer="0" w:header="0"/>
          <w:type w:val="continuous"/>
        </w:sectPr>
      </w:pPr>
    </w:p>
    <w:p>
      <w:pPr>
        <w:spacing w:after="0" w:line="159" w:lineRule="exact"/>
        <w:rPr>
          <w:sz w:val="24"/>
          <w:szCs w:val="24"/>
          <w:color w:val="auto"/>
        </w:rPr>
      </w:pPr>
    </w:p>
    <w:p>
      <w:pPr>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62" w:lineRule="exact"/>
        <w:rPr>
          <w:sz w:val="24"/>
          <w:szCs w:val="24"/>
          <w:color w:val="auto"/>
        </w:rPr>
      </w:pPr>
    </w:p>
    <w:p>
      <w:pPr>
        <w:sectPr>
          <w:pgSz w:w="11900" w:h="16838" w:orient="portrait"/>
          <w:cols w:equalWidth="0" w:num="4">
            <w:col w:w="1800" w:space="720"/>
            <w:col w:w="4840" w:space="720"/>
            <w:col w:w="2340" w:space="720"/>
            <w:col w:w="140"/>
          </w:cols>
          <w:pgMar w:left="240" w:top="571" w:right="37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24"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24" w:lineRule="exact"/>
        <w:rPr>
          <w:sz w:val="20"/>
          <w:szCs w:val="20"/>
          <w:color w:val="auto"/>
        </w:rPr>
      </w:pPr>
      <w:r>
        <w:rPr>
          <w:rFonts w:ascii="MS PGothic" w:cs="MS PGothic" w:eastAsia="MS PGothic" w:hAnsi="MS PGothic"/>
          <w:sz w:val="14"/>
          <w:szCs w:val="14"/>
          <w:color w:val="auto"/>
        </w:rPr>
        <w:t>☐</w:t>
      </w:r>
    </w:p>
    <w:p>
      <w:pPr>
        <w:spacing w:after="0" w:line="250" w:lineRule="exact"/>
        <w:rPr>
          <w:sz w:val="24"/>
          <w:szCs w:val="24"/>
          <w:color w:val="auto"/>
        </w:rPr>
      </w:pPr>
    </w:p>
    <w:p>
      <w:pPr>
        <w:sectPr>
          <w:pgSz w:w="11900" w:h="16838" w:orient="portrait"/>
          <w:cols w:equalWidth="0" w:num="5">
            <w:col w:w="1800" w:space="720"/>
            <w:col w:w="140" w:space="80"/>
            <w:col w:w="4620" w:space="720"/>
            <w:col w:w="2340" w:space="720"/>
            <w:col w:w="140"/>
          </w:cols>
          <w:pgMar w:left="240" w:top="571" w:right="379" w:bottom="1440" w:gutter="0" w:footer="0" w:header="0"/>
          <w:type w:val="continuous"/>
        </w:sectPr>
      </w:pPr>
    </w:p>
    <w:p>
      <w:pPr>
        <w:spacing w:after="0" w:line="14" w:lineRule="exact"/>
        <w:rPr>
          <w:sz w:val="24"/>
          <w:szCs w:val="24"/>
          <w:color w:val="auto"/>
        </w:rPr>
      </w:pPr>
    </w:p>
    <w:p>
      <w:pPr>
        <w:ind w:left="7780"/>
        <w:spacing w:after="0" w:line="184" w:lineRule="exact"/>
        <w:tabs>
          <w:tab w:leader="none" w:pos="1062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ectPr>
          <w:pgSz w:w="11900" w:h="16838" w:orient="portrait"/>
          <w:cols w:equalWidth="0" w:num="1">
            <w:col w:w="11280"/>
          </w:cols>
          <w:pgMar w:left="240" w:top="571" w:right="379" w:bottom="1440" w:gutter="0" w:footer="0" w:header="0"/>
          <w:type w:val="continuous"/>
        </w:sectPr>
      </w:pPr>
    </w:p>
    <w:p>
      <w:pPr>
        <w:spacing w:after="0" w:line="70" w:lineRule="exact"/>
        <w:rPr>
          <w:sz w:val="24"/>
          <w:szCs w:val="24"/>
          <w:color w:val="auto"/>
        </w:rPr>
      </w:pPr>
    </w:p>
    <w:p>
      <w:pPr>
        <w:spacing w:after="0"/>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w:t>
      </w:r>
    </w:p>
    <w:p>
      <w:pPr>
        <w:spacing w:after="0" w:line="24" w:lineRule="exact"/>
        <w:rPr>
          <w:sz w:val="24"/>
          <w:szCs w:val="24"/>
          <w:color w:val="auto"/>
        </w:rPr>
      </w:pPr>
    </w:p>
    <w:p>
      <w:pPr>
        <w:spacing w:after="0" w:line="184" w:lineRule="exact"/>
        <w:tabs>
          <w:tab w:leader="none" w:pos="6460" w:val="left"/>
        </w:tabs>
        <w:rPr>
          <w:sz w:val="20"/>
          <w:szCs w:val="20"/>
          <w:color w:val="auto"/>
        </w:rPr>
      </w:pPr>
      <w:r>
        <w:rPr>
          <w:rFonts w:ascii="Arial" w:cs="Arial" w:eastAsia="Arial" w:hAnsi="Arial"/>
          <w:sz w:val="16"/>
          <w:szCs w:val="16"/>
          <w:color w:val="auto"/>
        </w:rPr>
        <w:t>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187" w:lineRule="exact"/>
        <w:rPr>
          <w:sz w:val="24"/>
          <w:szCs w:val="24"/>
          <w:color w:val="auto"/>
        </w:rPr>
      </w:pPr>
    </w:p>
    <w:p>
      <w:pPr>
        <w:ind w:left="520" w:right="2180"/>
        <w:spacing w:after="0" w:line="29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October 20, 2017, the registrant had 36,100,733 shares of Common Stock ($0.001 par value) outstanding.</w:t>
      </w:r>
    </w:p>
    <w:p>
      <w:pPr>
        <w:spacing w:after="0" w:line="200" w:lineRule="exact"/>
        <w:rPr>
          <w:sz w:val="24"/>
          <w:szCs w:val="24"/>
          <w:color w:val="auto"/>
        </w:rPr>
      </w:pPr>
    </w:p>
    <w:p>
      <w:pPr>
        <w:spacing w:after="0" w:line="251"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80"/>
          </w:cols>
          <w:pgMar w:left="240" w:top="571" w:right="37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This quarterly report on Form 10-Q, in particular "Item 2. Management's Discussion and Analysis of Financial Condition and Results of Operations," and the information incorporated by reference herein contains “forward-looking statements”.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193"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In light of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04"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if needed or on favorable terms;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generate revenues from product sales to continue business operations;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develop and commercialize our product candidates;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or delay in completing clinical trials or obtaining FDA or foreign regulatory approval for our product candidates in a timely manner;</w:t>
      </w:r>
    </w:p>
    <w:p>
      <w:pPr>
        <w:spacing w:after="0" w:line="115" w:lineRule="exact"/>
        <w:rPr>
          <w:rFonts w:ascii="Arial" w:cs="Arial" w:eastAsia="Arial" w:hAnsi="Arial"/>
          <w:sz w:val="17"/>
          <w:szCs w:val="17"/>
          <w:color w:val="auto"/>
        </w:rPr>
      </w:pPr>
    </w:p>
    <w:p>
      <w:pPr>
        <w:ind w:left="1040" w:right="26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Unsuccessful clinical trials stemming from clinical trial designs, failure to enroll a sufficient number of patients, undesirable side effects and other safety concerns;</w:t>
      </w:r>
    </w:p>
    <w:p>
      <w:pPr>
        <w:spacing w:after="0" w:line="48"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demonstrate sufficient efficacy of product candidates;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the success of our MN-166 (ibudilast) and MN-001 (tipelukast) product candidates;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commencement or completion of clinical trials or suspension or termination of clinical trials;</w:t>
      </w:r>
    </w:p>
    <w:p>
      <w:pPr>
        <w:spacing w:after="0" w:line="103"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our licensed rights to develop and commercialize a product candidate as a result of the termination of the underlying licensing agreement;</w:t>
      </w:r>
    </w:p>
    <w:p>
      <w:pPr>
        <w:spacing w:after="0" w:line="48"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may develop products rendering our product candidates obsolete and noncompetitive;</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attract partners and enter into collaborations on acceptable terms;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conduct clinical trials and to manufacture product candidates;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market and distribute products;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if approved, may not gain market acceptance or obtain adequate coverage for third party reimbursement;</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 for our products may become difficult to obtain or expensive;</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 candidates;</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or inability to attract, key personnel; and</w:t>
      </w:r>
    </w:p>
    <w:p>
      <w:pPr>
        <w:spacing w:after="0" w:line="103"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political, foreign exchange and other risks associated with international operations.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60" w:type="dxa"/>
            <w:vAlign w:val="bottom"/>
            <w:gridSpan w:val="5"/>
          </w:tcPr>
          <w:p>
            <w:pPr>
              <w:jc w:val="center"/>
              <w:ind w:right="3680"/>
              <w:spacing w:after="0"/>
              <w:rPr>
                <w:sz w:val="20"/>
                <w:szCs w:val="20"/>
                <w:color w:val="auto"/>
              </w:rPr>
            </w:pPr>
            <w:r>
              <w:rPr>
                <w:rFonts w:ascii="Arial" w:cs="Arial" w:eastAsia="Arial" w:hAnsi="Arial"/>
                <w:sz w:val="18"/>
                <w:szCs w:val="18"/>
                <w:b w:val="1"/>
                <w:bCs w:val="1"/>
                <w:color w:val="auto"/>
              </w:rPr>
              <w:t>MEDICINOVA, INC.</w:t>
            </w:r>
          </w:p>
        </w:tc>
        <w:tc>
          <w:tcPr>
            <w:tcW w:w="72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60" w:type="dxa"/>
            <w:vAlign w:val="bottom"/>
            <w:gridSpan w:val="5"/>
          </w:tcPr>
          <w:p>
            <w:pPr>
              <w:jc w:val="center"/>
              <w:ind w:right="366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4"/>
                <w:szCs w:val="24"/>
                <w:color w:val="auto"/>
              </w:rPr>
            </w:pPr>
          </w:p>
        </w:tc>
      </w:tr>
      <w:tr>
        <w:trPr>
          <w:trHeight w:val="405"/>
        </w:trPr>
        <w:tc>
          <w:tcPr>
            <w:tcW w:w="290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78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45"/>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444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CONSOLIDATED FINANCIAL STATEMENTS (unaudited)</w:t>
              </w:r>
            </w:hyperlink>
          </w:p>
        </w:tc>
        <w:tc>
          <w:tcPr>
            <w:tcW w:w="5000" w:type="dxa"/>
            <w:vAlign w:val="bottom"/>
            <w:gridSpan w:val="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892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12">
              <w:r>
                <w:rPr>
                  <w:rFonts w:ascii="Arial" w:cs="Arial" w:eastAsia="Arial" w:hAnsi="Arial"/>
                  <w:sz w:val="18"/>
                  <w:szCs w:val="18"/>
                  <w:color w:val="0000EE"/>
                  <w:w w:val="97"/>
                </w:rPr>
                <w:t>MANAGEMENT’S DISCUSSION AND ANALYSIS OF FINANCIAL CONDITION AND RESULTS OF OPERATIONS</w:t>
              </w:r>
            </w:hyperlink>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6140" w:type="dxa"/>
            <w:vAlign w:val="bottom"/>
            <w:tcBorders>
              <w:bottom w:val="single" w:sz="8" w:color="0000EE"/>
            </w:tcBorders>
            <w:gridSpan w:val="11"/>
          </w:tcPr>
          <w:p>
            <w:pPr>
              <w:spacing w:after="0"/>
              <w:rPr>
                <w:rFonts w:ascii="Arial" w:cs="Arial" w:eastAsia="Arial" w:hAnsi="Arial"/>
                <w:sz w:val="18"/>
                <w:szCs w:val="18"/>
                <w:color w:val="0000EE"/>
                <w:w w:val="98"/>
              </w:rPr>
            </w:pPr>
            <w:hyperlink w:anchor="page17">
              <w:r>
                <w:rPr>
                  <w:rFonts w:ascii="Arial" w:cs="Arial" w:eastAsia="Arial" w:hAnsi="Arial"/>
                  <w:sz w:val="18"/>
                  <w:szCs w:val="18"/>
                  <w:color w:val="0000EE"/>
                  <w:w w:val="98"/>
                </w:rPr>
                <w:t>QUANTITATIVE AND QUALITATIVE DISCLOSURES ABOUT MARKET RISK</w:t>
              </w:r>
            </w:hyperlink>
          </w:p>
        </w:tc>
        <w:tc>
          <w:tcPr>
            <w:tcW w:w="3300" w:type="dxa"/>
            <w:vAlign w:val="bottom"/>
            <w:gridSpan w:val="2"/>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260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17">
              <w:r>
                <w:rPr>
                  <w:rFonts w:ascii="Arial" w:cs="Arial" w:eastAsia="Arial" w:hAnsi="Arial"/>
                  <w:sz w:val="18"/>
                  <w:szCs w:val="18"/>
                  <w:color w:val="0000EE"/>
                  <w:w w:val="93"/>
                </w:rPr>
                <w:t>CONTROLS AND PROCEDURES</w:t>
              </w:r>
            </w:hyperlink>
          </w:p>
        </w:tc>
        <w:tc>
          <w:tcPr>
            <w:tcW w:w="6840" w:type="dxa"/>
            <w:vAlign w:val="bottom"/>
            <w:gridSpan w:val="6"/>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45"/>
        </w:trPr>
        <w:tc>
          <w:tcPr>
            <w:tcW w:w="10680" w:type="dxa"/>
            <w:vAlign w:val="bottom"/>
            <w:gridSpan w:val="1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PART II. 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45"/>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188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18">
              <w:r>
                <w:rPr>
                  <w:rFonts w:ascii="Arial" w:cs="Arial" w:eastAsia="Arial" w:hAnsi="Arial"/>
                  <w:sz w:val="18"/>
                  <w:szCs w:val="18"/>
                  <w:color w:val="0000EE"/>
                  <w:w w:val="94"/>
                </w:rPr>
                <w:t>LEGAL PROCEEDINGS</w:t>
              </w:r>
            </w:hyperlink>
          </w:p>
        </w:tc>
        <w:tc>
          <w:tcPr>
            <w:tcW w:w="756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1A.</w:t>
            </w:r>
          </w:p>
        </w:tc>
        <w:tc>
          <w:tcPr>
            <w:tcW w:w="9440" w:type="dxa"/>
            <w:vAlign w:val="bottom"/>
            <w:gridSpan w:val="1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9440" w:type="dxa"/>
            <w:vAlign w:val="bottom"/>
            <w:gridSpan w:val="1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UNREGISTERED SALES OF EQUITY SECURITIES AND USE OF PROCEEDS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6060" w:type="dxa"/>
            <w:vAlign w:val="bottom"/>
            <w:tcBorders>
              <w:top w:val="single" w:sz="8" w:color="0000EE"/>
            </w:tcBorders>
            <w:gridSpan w:val="10"/>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DEFAULTS UPON SENIOR SECURITIES</w:t>
              </w:r>
            </w:hyperlink>
          </w:p>
        </w:tc>
        <w:tc>
          <w:tcPr>
            <w:tcW w:w="3380" w:type="dxa"/>
            <w:vAlign w:val="bottom"/>
            <w:gridSpan w:val="3"/>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24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5"/>
              </w:rPr>
            </w:pPr>
            <w:hyperlink w:anchor="page18">
              <w:r>
                <w:rPr>
                  <w:rFonts w:ascii="Arial" w:cs="Arial" w:eastAsia="Arial" w:hAnsi="Arial"/>
                  <w:sz w:val="18"/>
                  <w:szCs w:val="18"/>
                  <w:color w:val="0000EE"/>
                  <w:w w:val="95"/>
                </w:rPr>
                <w:t>MINE SAFETY DISCLOSURES</w:t>
              </w:r>
            </w:hyperlink>
          </w:p>
        </w:tc>
        <w:tc>
          <w:tcPr>
            <w:tcW w:w="740" w:type="dxa"/>
            <w:vAlign w:val="bottom"/>
            <w:tcBorders>
              <w:top w:val="single" w:sz="8" w:color="0000EE"/>
            </w:tcBorders>
            <w:gridSpan w:val="2"/>
          </w:tcPr>
          <w:p>
            <w:pPr>
              <w:spacing w:after="0"/>
              <w:rPr>
                <w:sz w:val="18"/>
                <w:szCs w:val="18"/>
                <w:color w:val="auto"/>
              </w:rPr>
            </w:pPr>
          </w:p>
        </w:tc>
        <w:tc>
          <w:tcPr>
            <w:tcW w:w="6260" w:type="dxa"/>
            <w:vAlign w:val="bottom"/>
            <w:gridSpan w:val="5"/>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5.</w:t>
            </w:r>
          </w:p>
        </w:tc>
        <w:tc>
          <w:tcPr>
            <w:tcW w:w="9440" w:type="dxa"/>
            <w:vAlign w:val="bottom"/>
            <w:gridSpan w:val="13"/>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6.</w:t>
            </w:r>
          </w:p>
        </w:tc>
        <w:tc>
          <w:tcPr>
            <w:tcW w:w="1880" w:type="dxa"/>
            <w:vAlign w:val="bottom"/>
            <w:tcBorders>
              <w:top w:val="single" w:sz="8" w:color="0000EE"/>
            </w:tcBorders>
            <w:gridSpan w:val="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EXHIBITS</w:t>
              </w:r>
            </w:hyperlink>
          </w:p>
        </w:tc>
        <w:tc>
          <w:tcPr>
            <w:tcW w:w="7560" w:type="dxa"/>
            <w:vAlign w:val="bottom"/>
            <w:gridSpan w:val="8"/>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45"/>
        </w:trPr>
        <w:tc>
          <w:tcPr>
            <w:tcW w:w="1240" w:type="dxa"/>
            <w:vAlign w:val="bottom"/>
            <w:gridSpan w:val="2"/>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SIGNATURES</w:t>
              </w:r>
            </w:hyperlink>
          </w:p>
        </w:tc>
        <w:tc>
          <w:tcPr>
            <w:tcW w:w="8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540" w:type="dxa"/>
            <w:vAlign w:val="bottom"/>
          </w:tcPr>
          <w:p>
            <w:pPr>
              <w:jc w:val="center"/>
              <w:ind w:left="2550"/>
              <w:spacing w:after="0"/>
              <w:rPr>
                <w:sz w:val="20"/>
                <w:szCs w:val="20"/>
                <w:color w:val="auto"/>
              </w:rPr>
            </w:pPr>
            <w:r>
              <w:rPr>
                <w:rFonts w:ascii="Arial" w:cs="Arial" w:eastAsia="Arial" w:hAnsi="Arial"/>
                <w:sz w:val="18"/>
                <w:szCs w:val="18"/>
                <w:b w:val="1"/>
                <w:bCs w:val="1"/>
                <w:color w:val="auto"/>
              </w:rPr>
              <w:t>PART I. FINANCIAL INFORMATION</w:t>
            </w:r>
          </w:p>
        </w:tc>
        <w:tc>
          <w:tcPr>
            <w:tcW w:w="2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540" w:type="dxa"/>
            <w:vAlign w:val="bottom"/>
          </w:tcPr>
          <w:p>
            <w:pPr>
              <w:ind w:left="40"/>
              <w:spacing w:after="0"/>
              <w:rPr>
                <w:sz w:val="20"/>
                <w:szCs w:val="20"/>
                <w:color w:val="auto"/>
              </w:rPr>
            </w:pPr>
            <w:r>
              <w:rPr>
                <w:rFonts w:ascii="Arial" w:cs="Arial" w:eastAsia="Arial" w:hAnsi="Arial"/>
                <w:sz w:val="18"/>
                <w:szCs w:val="18"/>
                <w:b w:val="1"/>
                <w:bCs w:val="1"/>
                <w:color w:val="auto"/>
              </w:rPr>
              <w:t>CONSOLIDATED FINANCIAL STATEMENTS.</w:t>
            </w: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0" w:type="dxa"/>
            <w:vAlign w:val="bottom"/>
          </w:tcPr>
          <w:p>
            <w:pPr>
              <w:spacing w:after="0"/>
              <w:rPr>
                <w:sz w:val="24"/>
                <w:szCs w:val="24"/>
                <w:color w:val="auto"/>
              </w:rPr>
            </w:pPr>
          </w:p>
        </w:tc>
        <w:tc>
          <w:tcPr>
            <w:tcW w:w="6540" w:type="dxa"/>
            <w:vAlign w:val="bottom"/>
          </w:tcPr>
          <w:p>
            <w:pPr>
              <w:jc w:val="center"/>
              <w:ind w:left="2550"/>
              <w:spacing w:after="0"/>
              <w:rPr>
                <w:sz w:val="20"/>
                <w:szCs w:val="20"/>
                <w:color w:val="auto"/>
              </w:rPr>
            </w:pPr>
            <w:r>
              <w:rPr>
                <w:rFonts w:ascii="Arial" w:cs="Arial" w:eastAsia="Arial" w:hAnsi="Arial"/>
                <w:sz w:val="18"/>
                <w:szCs w:val="18"/>
                <w:b w:val="1"/>
                <w:bCs w:val="1"/>
                <w:color w:val="auto"/>
              </w:rPr>
              <w:t>MEDICINOVA, INC.</w:t>
            </w: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6540" w:type="dxa"/>
            <w:vAlign w:val="bottom"/>
          </w:tcPr>
          <w:p>
            <w:pPr>
              <w:jc w:val="center"/>
              <w:ind w:left="2530"/>
              <w:spacing w:after="0"/>
              <w:rPr>
                <w:sz w:val="20"/>
                <w:szCs w:val="20"/>
                <w:color w:val="auto"/>
              </w:rPr>
            </w:pPr>
            <w:r>
              <w:rPr>
                <w:rFonts w:ascii="Arial" w:cs="Arial" w:eastAsia="Arial" w:hAnsi="Arial"/>
                <w:sz w:val="18"/>
                <w:szCs w:val="18"/>
                <w:b w:val="1"/>
                <w:bCs w:val="1"/>
                <w:color w:val="auto"/>
                <w:w w:val="99"/>
              </w:rPr>
              <w:t>CONSOLIDATED BALANCE SHEETS</w:t>
            </w: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112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September 30,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1"/>
        </w:trPr>
        <w:tc>
          <w:tcPr>
            <w:tcW w:w="11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6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jc w:val="center"/>
              <w:ind w:right="212"/>
              <w:spacing w:after="0" w:line="155" w:lineRule="exact"/>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0"/>
              </w:rPr>
              <w:t>Current assets:</w:t>
            </w:r>
          </w:p>
        </w:tc>
        <w:tc>
          <w:tcPr>
            <w:tcW w:w="6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24,535,427</w:t>
            </w:r>
          </w:p>
        </w:tc>
        <w:tc>
          <w:tcPr>
            <w:tcW w:w="14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24,118,037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474,740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585,810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25,010,167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24,703,847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Goodwill</w:t>
            </w:r>
          </w:p>
        </w:tc>
        <w:tc>
          <w:tcPr>
            <w:tcW w:w="6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9,600,240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9,600,240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Investment in joint venture</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616,657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618,330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90,717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Other assets</w:t>
            </w:r>
          </w:p>
        </w:tc>
        <w:tc>
          <w:tcPr>
            <w:tcW w:w="6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10,958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65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40,107,564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39,813,134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301,709</w:t>
            </w:r>
          </w:p>
        </w:tc>
        <w:tc>
          <w:tcPr>
            <w:tcW w:w="140" w:type="dxa"/>
            <w:vAlign w:val="bottom"/>
          </w:tcPr>
          <w:p>
            <w:pPr>
              <w:spacing w:after="0"/>
              <w:rPr>
                <w:sz w:val="19"/>
                <w:szCs w:val="19"/>
                <w:color w:val="auto"/>
              </w:rPr>
            </w:pPr>
          </w:p>
        </w:tc>
        <w:tc>
          <w:tcPr>
            <w:tcW w:w="34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367,275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Accrued expenses</w:t>
            </w:r>
          </w:p>
        </w:tc>
        <w:tc>
          <w:tcPr>
            <w:tcW w:w="26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1,436,020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1,263,767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1,737,729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1,631,042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tax liability</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1,956,000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1,956,000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Long-term deferred revenue</w:t>
            </w: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1,694,163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1,694,163</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shd w:val="clear" w:color="auto" w:fill="CFF0FC"/>
          </w:tcPr>
          <w:p>
            <w:pPr>
              <w:spacing w:after="0"/>
              <w:rPr>
                <w:sz w:val="20"/>
                <w:szCs w:val="20"/>
                <w:color w:val="auto"/>
              </w:rPr>
            </w:pPr>
            <w:r>
              <w:rPr>
                <w:rFonts w:ascii="Arial" w:cs="Arial" w:eastAsia="Arial" w:hAnsi="Arial"/>
                <w:sz w:val="18"/>
                <w:szCs w:val="18"/>
                <w:color w:val="auto"/>
                <w:w w:val="97"/>
              </w:rPr>
              <w:t>Total liabilities</w:t>
            </w:r>
          </w:p>
        </w:tc>
        <w:tc>
          <w:tcPr>
            <w:tcW w:w="65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5,387,892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5,281,205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660" w:type="dxa"/>
            <w:vAlign w:val="bottom"/>
            <w:gridSpan w:val="2"/>
          </w:tcPr>
          <w:p>
            <w:pPr>
              <w:ind w:left="380"/>
              <w:spacing w:after="0"/>
              <w:rPr>
                <w:sz w:val="20"/>
                <w:szCs w:val="20"/>
                <w:color w:val="auto"/>
              </w:rPr>
            </w:pPr>
            <w:r>
              <w:rPr>
                <w:rFonts w:ascii="Arial" w:cs="Arial" w:eastAsia="Arial" w:hAnsi="Arial"/>
                <w:sz w:val="18"/>
                <w:szCs w:val="18"/>
                <w:color w:val="auto"/>
                <w:w w:val="97"/>
              </w:rPr>
              <w:t>Common stock, $0.001 par value; 100,000,000 shares authorized at September 30, 2017 and</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380"/>
              <w:spacing w:after="0"/>
              <w:rPr>
                <w:sz w:val="20"/>
                <w:szCs w:val="20"/>
                <w:color w:val="auto"/>
              </w:rPr>
            </w:pPr>
            <w:r>
              <w:rPr>
                <w:rFonts w:ascii="Arial" w:cs="Arial" w:eastAsia="Arial" w:hAnsi="Arial"/>
                <w:sz w:val="18"/>
                <w:szCs w:val="18"/>
                <w:color w:val="auto"/>
              </w:rPr>
              <w:t>December 31, 2016; 35,672,265 and 34,523,678 shares issued and</w:t>
            </w:r>
          </w:p>
        </w:tc>
        <w:tc>
          <w:tcPr>
            <w:tcW w:w="2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gridSpan w:val="2"/>
          </w:tcPr>
          <w:p>
            <w:pPr>
              <w:ind w:left="380"/>
              <w:spacing w:after="0"/>
              <w:rPr>
                <w:sz w:val="20"/>
                <w:szCs w:val="20"/>
                <w:color w:val="auto"/>
              </w:rPr>
            </w:pPr>
            <w:r>
              <w:rPr>
                <w:rFonts w:ascii="Arial" w:cs="Arial" w:eastAsia="Arial" w:hAnsi="Arial"/>
                <w:sz w:val="18"/>
                <w:szCs w:val="18"/>
                <w:color w:val="auto"/>
              </w:rPr>
              <w:t>outstanding at September 30, 2017 and December 31, 2016, respectively</w:t>
            </w:r>
          </w:p>
        </w:tc>
        <w:tc>
          <w:tcPr>
            <w:tcW w:w="2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35,672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34,525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Additional paid-in capital</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374,631,602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364,886,468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Pr>
          <w:p>
            <w:pPr>
              <w:spacing w:after="0"/>
              <w:rPr>
                <w:sz w:val="19"/>
                <w:szCs w:val="19"/>
                <w:color w:val="auto"/>
              </w:rPr>
            </w:pP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(94,273)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(96,000)</w:t>
            </w:r>
          </w:p>
        </w:tc>
        <w:tc>
          <w:tcPr>
            <w:tcW w:w="0" w:type="dxa"/>
            <w:vAlign w:val="bottom"/>
          </w:tcPr>
          <w:p>
            <w:pPr>
              <w:spacing w:after="0"/>
              <w:rPr>
                <w:sz w:val="1"/>
                <w:szCs w:val="1"/>
                <w:color w:val="auto"/>
              </w:rPr>
            </w:pPr>
          </w:p>
        </w:tc>
      </w:tr>
      <w:tr>
        <w:trPr>
          <w:trHeight w:val="230"/>
        </w:trPr>
        <w:tc>
          <w:tcPr>
            <w:tcW w:w="76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(339,853,329)</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(330,293,064)</w:t>
            </w:r>
          </w:p>
        </w:tc>
        <w:tc>
          <w:tcPr>
            <w:tcW w:w="0" w:type="dxa"/>
            <w:vAlign w:val="bottom"/>
          </w:tcPr>
          <w:p>
            <w:pPr>
              <w:spacing w:after="0"/>
              <w:rPr>
                <w:sz w:val="1"/>
                <w:szCs w:val="1"/>
                <w:color w:val="auto"/>
              </w:rPr>
            </w:pPr>
          </w:p>
        </w:tc>
      </w:tr>
      <w:tr>
        <w:trPr>
          <w:trHeight w:val="223"/>
        </w:trPr>
        <w:tc>
          <w:tcPr>
            <w:tcW w:w="76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34,719,672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34,531,929</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40,107,564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39,813,134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4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September 30,</w:t>
            </w:r>
          </w:p>
        </w:tc>
      </w:tr>
      <w:tr>
        <w:trPr>
          <w:trHeight w:val="156"/>
        </w:trPr>
        <w:tc>
          <w:tcPr>
            <w:tcW w:w="4720" w:type="dxa"/>
            <w:vAlign w:val="bottom"/>
            <w:tcBorders>
              <w:bottom w:val="single" w:sz="8" w:color="CFF0FC"/>
            </w:tcBorders>
          </w:tcPr>
          <w:p>
            <w:pPr>
              <w:spacing w:after="0"/>
              <w:rPr>
                <w:sz w:val="13"/>
                <w:szCs w:val="13"/>
                <w:color w:val="auto"/>
              </w:rPr>
            </w:pPr>
          </w:p>
        </w:tc>
        <w:tc>
          <w:tcPr>
            <w:tcW w:w="140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73"/>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720" w:type="dxa"/>
            <w:vAlign w:val="bottom"/>
          </w:tcPr>
          <w:p>
            <w:pPr>
              <w:ind w:left="380"/>
              <w:spacing w:after="0"/>
              <w:rPr>
                <w:sz w:val="20"/>
                <w:szCs w:val="20"/>
                <w:color w:val="auto"/>
              </w:rPr>
            </w:pPr>
            <w:r>
              <w:rPr>
                <w:rFonts w:ascii="Arial" w:cs="Arial" w:eastAsia="Arial" w:hAnsi="Arial"/>
                <w:sz w:val="18"/>
                <w:szCs w:val="18"/>
                <w:color w:val="auto"/>
              </w:rPr>
              <w:t>Research, development and patents</w:t>
            </w:r>
          </w:p>
        </w:tc>
        <w:tc>
          <w:tcPr>
            <w:tcW w:w="16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1,268,417</w:t>
            </w:r>
          </w:p>
        </w:tc>
        <w:tc>
          <w:tcPr>
            <w:tcW w:w="140" w:type="dxa"/>
            <w:vAlign w:val="bottom"/>
          </w:tcPr>
          <w:p>
            <w:pPr>
              <w:spacing w:after="0"/>
              <w:rPr>
                <w:sz w:val="19"/>
                <w:szCs w:val="19"/>
                <w:color w:val="auto"/>
              </w:rPr>
            </w:pPr>
          </w:p>
        </w:tc>
        <w:tc>
          <w:tcPr>
            <w:tcW w:w="46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889,578</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3,066,287</w:t>
            </w:r>
          </w:p>
        </w:tc>
        <w:tc>
          <w:tcPr>
            <w:tcW w:w="220" w:type="dxa"/>
            <w:vAlign w:val="bottom"/>
          </w:tcPr>
          <w:p>
            <w:pPr>
              <w:spacing w:after="0"/>
              <w:rPr>
                <w:sz w:val="19"/>
                <w:szCs w:val="19"/>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2,927,606</w:t>
            </w:r>
          </w:p>
        </w:tc>
        <w:tc>
          <w:tcPr>
            <w:tcW w:w="120" w:type="dxa"/>
            <w:vAlign w:val="bottom"/>
          </w:tcPr>
          <w:p>
            <w:pPr>
              <w:spacing w:after="0"/>
              <w:rPr>
                <w:sz w:val="19"/>
                <w:szCs w:val="19"/>
                <w:color w:val="auto"/>
              </w:rPr>
            </w:pPr>
          </w:p>
        </w:tc>
      </w:tr>
      <w:tr>
        <w:trPr>
          <w:trHeight w:val="230"/>
        </w:trPr>
        <w:tc>
          <w:tcPr>
            <w:tcW w:w="4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General and administrative</w:t>
            </w:r>
          </w:p>
        </w:tc>
        <w:tc>
          <w:tcPr>
            <w:tcW w:w="14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2,523,119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1,955,167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6,553,760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6,513,472</w:t>
            </w:r>
          </w:p>
        </w:tc>
        <w:tc>
          <w:tcPr>
            <w:tcW w:w="120" w:type="dxa"/>
            <w:vAlign w:val="bottom"/>
            <w:shd w:val="clear" w:color="auto" w:fill="CFF0FC"/>
          </w:tcPr>
          <w:p>
            <w:pPr>
              <w:spacing w:after="0"/>
              <w:rPr>
                <w:sz w:val="19"/>
                <w:szCs w:val="19"/>
                <w:color w:val="auto"/>
              </w:rPr>
            </w:pPr>
          </w:p>
        </w:tc>
      </w:tr>
      <w:tr>
        <w:trPr>
          <w:trHeight w:val="223"/>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14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3,791,536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2,844,745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9,620,047</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9,441,078</w:t>
            </w:r>
          </w:p>
        </w:tc>
        <w:tc>
          <w:tcPr>
            <w:tcW w:w="120" w:type="dxa"/>
            <w:vAlign w:val="bottom"/>
            <w:tcBorders>
              <w:bottom w:val="single" w:sz="8" w:color="CFF0FC"/>
            </w:tcBorders>
          </w:tcPr>
          <w:p>
            <w:pPr>
              <w:spacing w:after="0"/>
              <w:rPr>
                <w:sz w:val="19"/>
                <w:szCs w:val="19"/>
                <w:color w:val="auto"/>
              </w:rPr>
            </w:pPr>
          </w:p>
        </w:tc>
      </w:tr>
      <w:tr>
        <w:trPr>
          <w:trHeight w:val="223"/>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(3,791,536)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(2,844,745)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(9,620,047)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(9,441,078)</w:t>
            </w:r>
          </w:p>
        </w:tc>
        <w:tc>
          <w:tcPr>
            <w:tcW w:w="120" w:type="dxa"/>
            <w:vAlign w:val="bottom"/>
            <w:shd w:val="clear" w:color="auto" w:fill="CFF0FC"/>
          </w:tcPr>
          <w:p>
            <w:pPr>
              <w:spacing w:after="0"/>
              <w:rPr>
                <w:sz w:val="19"/>
                <w:szCs w:val="19"/>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Other expense</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(3,309)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(2,777)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(13,783)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(17,785)</w:t>
            </w: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4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41,796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81,709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46,323</w:t>
            </w:r>
          </w:p>
        </w:tc>
        <w:tc>
          <w:tcPr>
            <w:tcW w:w="120" w:type="dxa"/>
            <w:vAlign w:val="bottom"/>
            <w:shd w:val="clear" w:color="auto" w:fill="CFF0FC"/>
          </w:tcPr>
          <w:p>
            <w:pPr>
              <w:spacing w:after="0"/>
              <w:rPr>
                <w:sz w:val="19"/>
                <w:szCs w:val="19"/>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(3,753,049)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1"/>
              </w:rPr>
              <w:t>(2,834,137)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1"/>
              </w:rPr>
              <w:t>(9,552,121)</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(9,412,540)</w:t>
            </w:r>
          </w:p>
        </w:tc>
        <w:tc>
          <w:tcPr>
            <w:tcW w:w="120" w:type="dxa"/>
            <w:vAlign w:val="bottom"/>
          </w:tcPr>
          <w:p>
            <w:pPr>
              <w:spacing w:after="0"/>
              <w:rPr>
                <w:sz w:val="19"/>
                <w:szCs w:val="19"/>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(2,054)</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(1,675)</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(8,144)</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(4,191)</w:t>
            </w:r>
          </w:p>
        </w:tc>
      </w:tr>
      <w:tr>
        <w:trPr>
          <w:trHeight w:val="263"/>
        </w:trPr>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applicable to common stockholders</w:t>
            </w:r>
          </w:p>
        </w:tc>
        <w:tc>
          <w:tcPr>
            <w:tcW w:w="140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(3,755,103</w:t>
            </w:r>
          </w:p>
        </w:tc>
        <w:tc>
          <w:tcPr>
            <w:tcW w:w="14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(2,835,812)</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(9,560,265</w:t>
            </w:r>
          </w:p>
        </w:tc>
        <w:tc>
          <w:tcPr>
            <w:tcW w:w="220" w:type="dxa"/>
            <w:vAlign w:val="bottom"/>
            <w:tcBorders>
              <w:bottom w:val="single" w:sz="8" w:color="CFF0FC"/>
            </w:tcBorders>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FF0FC"/>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(9,416,731</w:t>
            </w:r>
          </w:p>
        </w:tc>
        <w:tc>
          <w:tcPr>
            <w:tcW w:w="120" w:type="dxa"/>
            <w:vAlign w:val="bottom"/>
            <w:tcBorders>
              <w:bottom w:val="single" w:sz="8" w:color="CFF0FC"/>
            </w:tcBorders>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common share</w:t>
            </w:r>
          </w:p>
        </w:tc>
        <w:tc>
          <w:tcPr>
            <w:tcW w:w="14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(0.27)</w:t>
            </w: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120" w:type="dxa"/>
            <w:vAlign w:val="bottom"/>
            <w:shd w:val="clear" w:color="auto" w:fill="CFF0FC"/>
          </w:tcPr>
          <w:p>
            <w:pPr>
              <w:spacing w:after="0"/>
              <w:rPr>
                <w:sz w:val="18"/>
                <w:szCs w:val="18"/>
                <w:color w:val="auto"/>
              </w:rPr>
            </w:pPr>
          </w:p>
        </w:tc>
      </w:tr>
      <w:tr>
        <w:trPr>
          <w:trHeight w:val="215"/>
        </w:trPr>
        <w:tc>
          <w:tcPr>
            <w:tcW w:w="4720" w:type="dxa"/>
            <w:vAlign w:val="bottom"/>
          </w:tcPr>
          <w:p>
            <w:pPr>
              <w:spacing w:after="0"/>
              <w:rPr>
                <w:sz w:val="20"/>
                <w:szCs w:val="20"/>
                <w:color w:val="auto"/>
              </w:rPr>
            </w:pPr>
            <w:r>
              <w:rPr>
                <w:rFonts w:ascii="Arial" w:cs="Arial" w:eastAsia="Arial" w:hAnsi="Arial"/>
                <w:sz w:val="18"/>
                <w:szCs w:val="18"/>
                <w:color w:val="auto"/>
              </w:rPr>
              <w:t>Shares used to compute basic and diluted net</w:t>
            </w: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720" w:type="dxa"/>
            <w:vAlign w:val="bottom"/>
          </w:tcPr>
          <w:p>
            <w:pPr>
              <w:ind w:left="140"/>
              <w:spacing w:after="0"/>
              <w:rPr>
                <w:sz w:val="20"/>
                <w:szCs w:val="20"/>
                <w:color w:val="auto"/>
              </w:rPr>
            </w:pPr>
            <w:r>
              <w:rPr>
                <w:rFonts w:ascii="Arial" w:cs="Arial" w:eastAsia="Arial" w:hAnsi="Arial"/>
                <w:sz w:val="18"/>
                <w:szCs w:val="18"/>
                <w:color w:val="auto"/>
              </w:rPr>
              <w:t>loss per common share</w:t>
            </w: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35,156,080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34,476,244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34,778,921</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7"/>
              </w:rPr>
              <w:t>32,477,079</w:t>
            </w:r>
          </w:p>
        </w:tc>
        <w:tc>
          <w:tcPr>
            <w:tcW w:w="120" w:type="dxa"/>
            <w:vAlign w:val="bottom"/>
          </w:tcPr>
          <w:p>
            <w:pPr>
              <w:spacing w:after="0"/>
              <w:rPr>
                <w:sz w:val="20"/>
                <w:szCs w:val="20"/>
                <w:color w:val="auto"/>
              </w:rPr>
            </w:pPr>
          </w:p>
        </w:tc>
      </w:tr>
      <w:tr>
        <w:trPr>
          <w:trHeight w:val="230"/>
        </w:trPr>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Net loss applicable to common stockholders</w:t>
            </w:r>
          </w:p>
        </w:tc>
        <w:tc>
          <w:tcPr>
            <w:tcW w:w="162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(3,755,103)</w:t>
            </w:r>
          </w:p>
        </w:tc>
        <w:tc>
          <w:tcPr>
            <w:tcW w:w="460" w:type="dxa"/>
            <w:vAlign w:val="bottom"/>
            <w:gridSpan w:val="2"/>
            <w:shd w:val="clear" w:color="auto" w:fill="CFF0FC"/>
          </w:tcPr>
          <w:p>
            <w:pPr>
              <w:jc w:val="right"/>
              <w:ind w:right="20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7"/>
              </w:rPr>
              <w:t>(2,835,812)</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w w:val="97"/>
              </w:rPr>
              <w:t>(9,560,265)</w:t>
            </w:r>
          </w:p>
        </w:tc>
        <w:tc>
          <w:tcPr>
            <w:tcW w:w="1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(9,416,731)</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1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14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17,807</w:t>
            </w:r>
          </w:p>
        </w:tc>
        <w:tc>
          <w:tcPr>
            <w:tcW w:w="120" w:type="dxa"/>
            <w:vAlign w:val="bottom"/>
            <w:shd w:val="clear" w:color="auto" w:fill="CFF0FC"/>
          </w:tcPr>
          <w:p>
            <w:pPr>
              <w:spacing w:after="0"/>
              <w:rPr>
                <w:sz w:val="19"/>
                <w:szCs w:val="19"/>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color w:val="auto"/>
              </w:rPr>
              <w:t>Comprehensive loss</w:t>
            </w:r>
          </w:p>
        </w:tc>
        <w:tc>
          <w:tcPr>
            <w:tcW w:w="140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(3,754,592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(2,833,214)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(9,558,538</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(9,398,924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47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000" w:type="dxa"/>
            <w:vAlign w:val="bottom"/>
            <w:vMerge w:val="restart"/>
          </w:tcPr>
          <w:p>
            <w:pPr>
              <w:spacing w:after="0"/>
              <w:rPr>
                <w:sz w:val="20"/>
                <w:szCs w:val="20"/>
                <w:color w:val="auto"/>
              </w:rPr>
            </w:pPr>
            <w:r>
              <w:rPr>
                <w:rFonts w:ascii="Arial" w:cs="Arial" w:eastAsia="Arial" w:hAnsi="Arial"/>
                <w:sz w:val="18"/>
                <w:szCs w:val="18"/>
                <w:color w:val="auto"/>
              </w:rPr>
              <w:t>Operating activities:</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0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(9,560,265)</w:t>
            </w:r>
          </w:p>
        </w:tc>
        <w:tc>
          <w:tcPr>
            <w:tcW w:w="580" w:type="dxa"/>
            <w:vAlign w:val="bottom"/>
            <w:gridSpan w:val="2"/>
            <w:shd w:val="clear" w:color="auto" w:fill="CFF0FC"/>
          </w:tcPr>
          <w:p>
            <w:pPr>
              <w:jc w:val="right"/>
              <w:ind w:right="3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(9,416,731)</w:t>
            </w:r>
          </w:p>
        </w:tc>
        <w:tc>
          <w:tcPr>
            <w:tcW w:w="0" w:type="dxa"/>
            <w:vAlign w:val="bottom"/>
          </w:tcPr>
          <w:p>
            <w:pPr>
              <w:spacing w:after="0"/>
              <w:rPr>
                <w:sz w:val="1"/>
                <w:szCs w:val="1"/>
                <w:color w:val="auto"/>
              </w:rPr>
            </w:pPr>
          </w:p>
        </w:tc>
      </w:tr>
      <w:tr>
        <w:trPr>
          <w:trHeight w:val="215"/>
        </w:trPr>
        <w:tc>
          <w:tcPr>
            <w:tcW w:w="7000" w:type="dxa"/>
            <w:vAlign w:val="bottom"/>
          </w:tcPr>
          <w:p>
            <w:pPr>
              <w:ind w:left="360"/>
              <w:spacing w:after="0"/>
              <w:rPr>
                <w:sz w:val="20"/>
                <w:szCs w:val="20"/>
                <w:color w:val="auto"/>
              </w:rPr>
            </w:pPr>
            <w:r>
              <w:rPr>
                <w:rFonts w:ascii="Arial" w:cs="Arial" w:eastAsia="Arial" w:hAnsi="Arial"/>
                <w:sz w:val="18"/>
                <w:szCs w:val="18"/>
                <w:color w:val="auto"/>
              </w:rPr>
              <w:t>Adjustments to reconcile net loss to net cash used in operating</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500"/>
              <w:spacing w:after="0"/>
              <w:rPr>
                <w:sz w:val="20"/>
                <w:szCs w:val="20"/>
                <w:color w:val="auto"/>
              </w:rPr>
            </w:pPr>
            <w:r>
              <w:rPr>
                <w:rFonts w:ascii="Arial" w:cs="Arial" w:eastAsia="Arial" w:hAnsi="Arial"/>
                <w:sz w:val="18"/>
                <w:szCs w:val="18"/>
                <w:color w:val="auto"/>
              </w:rPr>
              <w:t>activities:</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Non-cash stock-based compensation</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3,451,807</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3,961,341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7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21,452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Change in equity method investment</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740"/>
              <w:spacing w:after="0"/>
              <w:rPr>
                <w:sz w:val="20"/>
                <w:szCs w:val="20"/>
                <w:color w:val="auto"/>
              </w:rPr>
            </w:pPr>
            <w:r>
              <w:rPr>
                <w:rFonts w:ascii="Arial" w:cs="Arial" w:eastAsia="Arial" w:hAnsi="Arial"/>
                <w:sz w:val="18"/>
                <w:szCs w:val="18"/>
                <w:color w:val="auto"/>
              </w:rPr>
              <w:t>Changes in assets and liabilities: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1100"/>
              <w:spacing w:after="0"/>
              <w:rPr>
                <w:sz w:val="20"/>
                <w:szCs w:val="20"/>
                <w:color w:val="auto"/>
              </w:rPr>
            </w:pPr>
            <w:r>
              <w:rPr>
                <w:rFonts w:ascii="Arial" w:cs="Arial" w:eastAsia="Arial" w:hAnsi="Arial"/>
                <w:sz w:val="18"/>
                <w:szCs w:val="18"/>
                <w:color w:val="auto"/>
              </w:rPr>
              <w:t>Prepaid expenses and other current and non-current assets</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104,133</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1100"/>
              <w:spacing w:after="0"/>
              <w:rPr>
                <w:sz w:val="20"/>
                <w:szCs w:val="20"/>
                <w:color w:val="auto"/>
              </w:rPr>
            </w:pPr>
            <w:r>
              <w:rPr>
                <w:rFonts w:ascii="Arial" w:cs="Arial" w:eastAsia="Arial" w:hAnsi="Arial"/>
                <w:sz w:val="18"/>
                <w:szCs w:val="18"/>
                <w:color w:val="auto"/>
              </w:rPr>
              <w:t>Accounts payable, accrued liabilities and other current liabilities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103,246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(122,621)</w:t>
            </w:r>
          </w:p>
        </w:tc>
        <w:tc>
          <w:tcPr>
            <w:tcW w:w="0" w:type="dxa"/>
            <w:vAlign w:val="bottom"/>
          </w:tcPr>
          <w:p>
            <w:pPr>
              <w:spacing w:after="0"/>
              <w:rPr>
                <w:sz w:val="1"/>
                <w:szCs w:val="1"/>
                <w:color w:val="auto"/>
              </w:rPr>
            </w:pPr>
          </w:p>
        </w:tc>
      </w:tr>
      <w:tr>
        <w:trPr>
          <w:trHeight w:val="223"/>
        </w:trPr>
        <w:tc>
          <w:tcPr>
            <w:tcW w:w="7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(5,877,954)</w:t>
            </w: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(5,487,620)</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Acquisition of property and equipment</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(66,843)</w:t>
            </w: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(66,843)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00" w:type="dxa"/>
            <w:vAlign w:val="bottom"/>
          </w:tcPr>
          <w:p>
            <w:pPr>
              <w:ind w:left="360"/>
              <w:spacing w:after="0"/>
              <w:rPr>
                <w:sz w:val="20"/>
                <w:szCs w:val="20"/>
                <w:color w:val="auto"/>
              </w:rPr>
            </w:pPr>
            <w:r>
              <w:rPr>
                <w:rFonts w:ascii="Arial" w:cs="Arial" w:eastAsia="Arial" w:hAnsi="Arial"/>
                <w:sz w:val="18"/>
                <w:szCs w:val="18"/>
                <w:color w:val="auto"/>
              </w:rPr>
              <w:t>Proceeds from issuance of common stock, exercise of common</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360"/>
              <w:spacing w:after="0"/>
              <w:rPr>
                <w:sz w:val="20"/>
                <w:szCs w:val="20"/>
                <w:color w:val="auto"/>
              </w:rPr>
            </w:pPr>
            <w:r>
              <w:rPr>
                <w:rFonts w:ascii="Arial" w:cs="Arial" w:eastAsia="Arial" w:hAnsi="Arial"/>
                <w:sz w:val="18"/>
                <w:szCs w:val="18"/>
                <w:color w:val="auto"/>
              </w:rPr>
              <w:t>stock options and warrants, net of issuance costs</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6,217,156</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8,342,698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Proceeds from issuance of equity awards under ESPP</w:t>
            </w: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77,319</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87,729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6,294,475</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8,430,427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869</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417,390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2,895,053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24,118,037</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22,076,749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24,535,427</w:t>
            </w:r>
          </w:p>
        </w:tc>
        <w:tc>
          <w:tcPr>
            <w:tcW w:w="120" w:type="dxa"/>
            <w:vAlign w:val="bottom"/>
            <w:tcBorders>
              <w:bottom w:val="single" w:sz="8" w:color="CFF0FC"/>
            </w:tcBorders>
          </w:tcPr>
          <w:p>
            <w:pPr>
              <w:spacing w:after="0"/>
              <w:rPr>
                <w:sz w:val="22"/>
                <w:szCs w:val="22"/>
                <w:color w:val="auto"/>
              </w:rPr>
            </w:pPr>
          </w:p>
        </w:tc>
        <w:tc>
          <w:tcPr>
            <w:tcW w:w="40" w:type="dxa"/>
            <w:vAlign w:val="bottom"/>
            <w:tcBorders>
              <w:bottom w:val="single" w:sz="8" w:color="CFF0FC"/>
            </w:tcBorders>
          </w:tcPr>
          <w:p>
            <w:pPr>
              <w:spacing w:after="0"/>
              <w:rPr>
                <w:sz w:val="22"/>
                <w:szCs w:val="22"/>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24,971,802</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00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disclosures of cash flow information:</w:t>
            </w: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0" w:type="dxa"/>
            <w:vAlign w:val="bottom"/>
          </w:tcPr>
          <w:p>
            <w:pPr>
              <w:ind w:left="360"/>
              <w:spacing w:after="0"/>
              <w:rPr>
                <w:sz w:val="20"/>
                <w:szCs w:val="20"/>
                <w:color w:val="auto"/>
              </w:rPr>
            </w:pPr>
            <w:r>
              <w:rPr>
                <w:rFonts w:ascii="Arial" w:cs="Arial" w:eastAsia="Arial" w:hAnsi="Arial"/>
                <w:sz w:val="18"/>
                <w:szCs w:val="18"/>
                <w:color w:val="auto"/>
              </w:rPr>
              <w:t>Income taxes paid</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9,203</w:t>
            </w:r>
          </w:p>
        </w:tc>
        <w:tc>
          <w:tcPr>
            <w:tcW w:w="120" w:type="dxa"/>
            <w:vAlign w:val="bottom"/>
          </w:tcPr>
          <w:p>
            <w:pPr>
              <w:spacing w:after="0"/>
              <w:rPr>
                <w:sz w:val="20"/>
                <w:szCs w:val="20"/>
                <w:color w:val="auto"/>
              </w:rPr>
            </w:pPr>
          </w:p>
        </w:tc>
        <w:tc>
          <w:tcPr>
            <w:tcW w:w="58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120"/>
          </w:cols>
          <w:pgMar w:left="900" w:top="337" w:right="879" w:bottom="1440" w:gutter="0" w:footer="0" w:header="0"/>
        </w:sectPr>
      </w:pPr>
    </w:p>
    <w:bookmarkStart w:id="6" w:name="page7"/>
    <w:bookmarkEnd w:id="6"/>
    <w:p>
      <w:pPr>
        <w:ind w:left="4880"/>
        <w:spacing w:after="0"/>
        <w:rPr>
          <w:sz w:val="20"/>
          <w:szCs w:val="20"/>
          <w:color w:val="auto"/>
        </w:rPr>
      </w:pPr>
      <w:r>
        <w:rPr>
          <w:rFonts w:ascii="Arial" w:cs="Arial" w:eastAsia="Arial" w:hAnsi="Arial"/>
          <w:sz w:val="18"/>
          <w:szCs w:val="18"/>
          <w:b w:val="1"/>
          <w:bCs w:val="1"/>
          <w:color w:val="auto"/>
        </w:rPr>
        <w:t>MEDICINOVA, INC.</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1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MediciNova, Inc. (the “Company” or “MediciNova”) was incorporated in the state of Delaware in September 2000 and is a public company. The Company’s common stock is listed in both the U.S. and Japan and trades on The NASDAQ Global Market and the JASDAQ Market of the Tokyo Stock Exchange. MediciNova is a biopharmaceutical company focused on acquiring and developing novel, small molecule therapeutics for the treatment of serious diseases with unmet medical needs with a commercial focus on the U.S. market. The Company’s current strategy is to focus its development activities on MN-166 (ibudilast) for neurological disorders such as progressive multiple sclerosis (MS), amyotrophic lateral sclerosis (ALS) and substance dependence (e.g., methamphetamine dependence, opioid dependence and alcohol dependence), and MN-001 (tipelukast) for fibrotic diseases such as nonalcoholic steatohepatitis (NASH) and idiopathic pulmonary fibrosis (IPF). The Company’s pipeline also includes MN-221 (bedoradrine) for the treatment of acute exacerbations of asthma and MN-029 (denibulin) for solid tumor cancers.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(GAAP) for interim financial information and with the instructions of the Securities and Exchange Commission (SEC) on Form 10-Q and Rule 10-01 of Regulation S-X. Accordingly, they do not include all of the information and disclosures required by GAAP for complete financial statements. In the opinion of management, the consolidated financial statements include all adjustments necessary, which are of a normal and recurring nature, for the fair presentation of the Company’s financial position and of the results of operations and cash flows for the periods presented. The accompanying unaudited consolidated financial statements include the accounts of the Company and its wholly owned subsidiaries.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These financial statements should be read in conjunction with the audited consolidated financial statements and notes thereto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included in the Company’s Annual Report on Form 10-K filed with the SEC. The results of operations for the interim period shown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report are not necessarily indicative of the results that may be expected for any other interim period or for the full year. The balance sheet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2016 has been derived from the audited financial statements at that date, but does not include all of the information and footnotes required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GAAP for complete financial statements.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117" w:lineRule="exact"/>
        <w:rPr>
          <w:sz w:val="20"/>
          <w:szCs w:val="20"/>
          <w:color w:val="auto"/>
        </w:rPr>
      </w:pPr>
    </w:p>
    <w:p>
      <w:pPr>
        <w:ind w:right="220" w:firstLine="518"/>
        <w:spacing w:after="0" w:line="279" w:lineRule="auto"/>
        <w:rPr>
          <w:sz w:val="20"/>
          <w:szCs w:val="20"/>
          <w:color w:val="auto"/>
        </w:rPr>
      </w:pPr>
      <w:r>
        <w:rPr>
          <w:rFonts w:ascii="Arial" w:cs="Arial" w:eastAsia="Arial" w:hAnsi="Arial"/>
          <w:sz w:val="17"/>
          <w:szCs w:val="17"/>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$1.2 million and $0.8 million for the three months ended September 30, 2017 and 2016, respectively. Research and development costs totaled $2.9 million and $2.7 million for the nine months ended September 30, 2017 and 2016, respectively.</w:t>
      </w:r>
    </w:p>
    <w:p>
      <w:pPr>
        <w:spacing w:after="0" w:line="171" w:lineRule="exact"/>
        <w:rPr>
          <w:sz w:val="20"/>
          <w:szCs w:val="20"/>
          <w:color w:val="auto"/>
        </w:rPr>
      </w:pPr>
    </w:p>
    <w:p>
      <w:pPr>
        <w:ind w:right="260" w:firstLine="518"/>
        <w:spacing w:after="0" w:line="259" w:lineRule="auto"/>
        <w:rPr>
          <w:sz w:val="20"/>
          <w:szCs w:val="20"/>
          <w:color w:val="auto"/>
        </w:rPr>
      </w:pPr>
      <w:r>
        <w:rPr>
          <w:rFonts w:ascii="Arial" w:cs="Arial" w:eastAsia="Arial" w:hAnsi="Arial"/>
          <w:sz w:val="18"/>
          <w:szCs w:val="18"/>
          <w:color w:val="auto"/>
        </w:rPr>
        <w:t>Costs related to filing and pursuing patent applications are expensed as incurred, as recoverability of such expenditures is uncertain. The Company includes all external costs related to the filing of patents on developments in Research, Development and Patents expenses. Such patent-related expenses totaled $0.1 million for the three months ended September 30, 2017 and 2016 and $0.2 million for the nine months ended September 30, 2017 and 2016,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The preparation of the consolidated financial statements in conformity with GAAP requires management to make estimates and assumptions that affect the amounts reported in the consolidated financial statements and the accompanying notes. Actual results could differ from those estimates.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May 2014, the Financial Accounting Standards Board (“FASB”) amended the existing accounting standards for revenue recognition. The amendments are based on the principle that revenue should be recognized to depict the transfer of promised goods or services to customers in an amount that reflects the consideration to which the entity expects to be entitled in exchange for said goods</w:t>
      </w: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7" w:name="page8"/>
    <w:bookmarkEnd w:id="7"/>
    <w:p>
      <w:pPr>
        <w:ind w:right="380"/>
        <w:spacing w:after="0" w:line="264" w:lineRule="auto"/>
        <w:rPr>
          <w:sz w:val="20"/>
          <w:szCs w:val="20"/>
          <w:color w:val="auto"/>
        </w:rPr>
      </w:pPr>
      <w:r>
        <w:rPr>
          <w:rFonts w:ascii="Arial" w:cs="Arial" w:eastAsia="Arial" w:hAnsi="Arial"/>
          <w:sz w:val="18"/>
          <w:szCs w:val="18"/>
          <w:color w:val="auto"/>
        </w:rPr>
        <w:t>or services. The Company is required to adopt the amendments beginning January 1, 2018. The amendments may be applied retrospectively to each prior period presented or retrospectively with the cumulative effect recognized as of the date of initial application (“modified retrospective method”). We are currently evaluating our open contract and plan to apply the modified retrospective method.</w:t>
      </w:r>
    </w:p>
    <w:p>
      <w:pPr>
        <w:spacing w:after="0" w:line="28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 xml:space="preserve">In February 2016, the FASB issued Accounting Standards Update (“ASU”) 2016-02, </w:t>
      </w:r>
      <w:r>
        <w:rPr>
          <w:rFonts w:ascii="Arial" w:cs="Arial" w:eastAsia="Arial" w:hAnsi="Arial"/>
          <w:sz w:val="18"/>
          <w:szCs w:val="18"/>
          <w:i w:val="1"/>
          <w:iCs w:val="1"/>
          <w:color w:val="auto"/>
        </w:rPr>
        <w:t>Leases</w:t>
      </w:r>
      <w:r>
        <w:rPr>
          <w:rFonts w:ascii="Arial" w:cs="Arial" w:eastAsia="Arial" w:hAnsi="Arial"/>
          <w:sz w:val="18"/>
          <w:szCs w:val="18"/>
          <w:color w:val="auto"/>
        </w:rPr>
        <w:t>, which introduces the recognition of lease assets and lease liabilities by lessees for those leases classified as operating leases under previous guidance. The new standard establishes a right-of-use ("ROU") model that requires a lessee to record an ROU asset and a lease liability on the balance sheet for all leases with terms longer than 12 months. The new standard is effective for fiscal years beginning after December 15, 2018 and interim periods within those fiscal years with early adoption permitted. We are evaluating the impact that the adoption of this standard will have on our financial statements.</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Revenues consist of milestone payments and research and development services. Milestone payments are recognized as revenue upon achievement of pre-defined scientific events, which require substantive effort, and for which achievement of the milestone was not readily assured at the inception of the agreement. Milestones that do not meet the criteria for accounting under the milestone method because the payments are solely contingent upon the performance of a third party are accounted for as contingent revenue. Research and development services are recognized as research costs are incurred over the period the services are performed. For all other revenue the Company recognizes revenues when all four of the following criteria are met: (1) persuasive evidence that an arrangement exists; (2) delivery of the products and/or services has occurred; (3) the selling price is fixed or determinable; and (4) collectability is reasonably assured.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Pharmaceutical Co., Ltd</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October 2011, the Company entered into an agreement with Kissei Pharmaceutical Co., Ltd., or Kissei, to perform research and development services relating to MN-221 in exchange for a non-refundable upfront payment of $2.5 million. Under the terms of the agreement, the Company is responsible for all costs to be incurred in the performance of these services. Certain of these research and development services were completed in 2013 and 2012, and the remaining services are expected to be delivered and completed at a future date. The Company assessed the deliverables in accordance with the authoritative guidance and concluded the existence of one deliverable, research and development services. As such, revenue is being recognized as the research and development services are performed. The amount received from Kissei, net of the amount recorded as revenue, is included on the balance sheet as long-term deferred revenue and will be recognized as revenue as the remaining services are performed. No services were performed and no revenue was recorded for the three and nine months ended September 30, 2017 and 2016.</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9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31" w:lineRule="exact"/>
        <w:rPr>
          <w:sz w:val="20"/>
          <w:szCs w:val="20"/>
          <w:color w:val="auto"/>
        </w:rPr>
      </w:pPr>
    </w:p>
    <w:p>
      <w:pPr>
        <w:ind w:left="1240" w:right="1000" w:hanging="647"/>
        <w:spacing w:after="0" w:line="277" w:lineRule="auto"/>
        <w:rPr>
          <w:sz w:val="20"/>
          <w:szCs w:val="20"/>
          <w:color w:val="auto"/>
        </w:rPr>
      </w:pPr>
      <w:r>
        <w:rPr>
          <w:rFonts w:ascii="Arial" w:cs="Arial" w:eastAsia="Arial" w:hAnsi="Arial"/>
          <w:sz w:val="18"/>
          <w:szCs w:val="18"/>
          <w:color w:val="auto"/>
        </w:rPr>
        <w:t>Level 2: Inputs are quoted prices for similar items in active markets or quoted prices for identical or similar items in markets that are not active near the measurement date; and</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3: Unobservable inputs due to little or no market data, which require the reporting entity to develop its own assumptions.</w:t>
      </w:r>
    </w:p>
    <w:p>
      <w:pPr>
        <w:spacing w:after="0" w:line="225" w:lineRule="exact"/>
        <w:rPr>
          <w:sz w:val="20"/>
          <w:szCs w:val="20"/>
          <w:color w:val="auto"/>
        </w:rPr>
      </w:pPr>
    </w:p>
    <w:p>
      <w:pPr>
        <w:ind w:right="720" w:firstLine="518"/>
        <w:spacing w:after="0" w:line="277" w:lineRule="auto"/>
        <w:rPr>
          <w:sz w:val="20"/>
          <w:szCs w:val="20"/>
          <w:color w:val="auto"/>
        </w:rPr>
      </w:pPr>
      <w:r>
        <w:rPr>
          <w:rFonts w:ascii="Arial" w:cs="Arial" w:eastAsia="Arial" w:hAnsi="Arial"/>
          <w:sz w:val="18"/>
          <w:szCs w:val="18"/>
          <w:color w:val="auto"/>
        </w:rPr>
        <w:t>Cash and cash equivalents, including money market accounts of $664,648 and $661,287 measured at fair value as of September 30, 2017 and December 31, 2016, respectively, are classified within Level 1 of the fair value hierarchy.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Joint Venture</w:t>
      </w:r>
    </w:p>
    <w:p>
      <w:pPr>
        <w:spacing w:after="0" w:line="121" w:lineRule="exact"/>
        <w:rPr>
          <w:sz w:val="20"/>
          <w:szCs w:val="20"/>
          <w:color w:val="auto"/>
        </w:rPr>
      </w:pPr>
    </w:p>
    <w:p>
      <w:pPr>
        <w:ind w:right="940" w:firstLine="518"/>
        <w:spacing w:after="0" w:line="277" w:lineRule="auto"/>
        <w:rPr>
          <w:sz w:val="20"/>
          <w:szCs w:val="20"/>
          <w:color w:val="auto"/>
        </w:rPr>
      </w:pPr>
      <w:r>
        <w:rPr>
          <w:rFonts w:ascii="Arial" w:cs="Arial" w:eastAsia="Arial" w:hAnsi="Arial"/>
          <w:sz w:val="18"/>
          <w:szCs w:val="18"/>
          <w:color w:val="auto"/>
        </w:rPr>
        <w:t>The Company entered into an agreement to form a joint venture company with Zhejiang Medicine Co., Ltd. and Beijing Medfron Medical Technologies Co., Ltd. (formerly Beijing Make-Friend Medicine Technology Co., Ltd.) effective September 27,</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8" w:name="page9"/>
    <w:bookmarkEnd w:id="8"/>
    <w:p>
      <w:pPr>
        <w:ind w:right="40"/>
        <w:spacing w:after="0" w:line="270" w:lineRule="auto"/>
        <w:rPr>
          <w:sz w:val="20"/>
          <w:szCs w:val="20"/>
          <w:color w:val="auto"/>
        </w:rPr>
      </w:pPr>
      <w:r>
        <w:rPr>
          <w:rFonts w:ascii="Arial" w:cs="Arial" w:eastAsia="Arial" w:hAnsi="Arial"/>
          <w:sz w:val="17"/>
          <w:szCs w:val="17"/>
          <w:color w:val="auto"/>
        </w:rPr>
        <w:t>2011. The joint venture agreement provides for the joint venture company, Zhejiang Sunmy Bio-Medical Co., Ltd. (Zhejiang Sunmy), to develop and commercialize MN-221 in China and pursue additional compounds to develop. A sublicense agreement would be required under which Zhejiang Sunmy would license MN-221 from the Company and, as of the date of this filing, no such sublicense agreement has been entered into. In accordance with the joint venture agreement, in March 2012 the Company paid $680,000 for a 30% interest in Zhejiang Sunmy. The other parties to the joint venture agreement provided funding for their combined 70% interest. In December 2013, the Board of Directors of Zhejiang Sunmy agreed to amend the joint venture agreement to allow for the departure of Zhejiang Medicine Co., Ltd. subject to the approval of the government of the People’s Republic of China. In August 2014, the Chinese government approved the amendment to the joint venture agreement to allow for the departure of Zhejiang Medicine Co., Ltd. and for Beijing Medfron Medical Technologies Co., Ltd. and MediciNova to each have a 50% interest in Zhejiang Sunmy. No additional capital was contributed by either remaining party and the Company has no future funding obligations.</w:t>
      </w:r>
    </w:p>
    <w:p>
      <w:pPr>
        <w:spacing w:after="0" w:line="182"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Zhejiang Sunmy is a variable interest entity for which the Company is not the primary beneficiary as the Company does not have a majority of the board seats and does not have power to direct or significantly influence the actions of the entity. The activities of Zhejiang Sunmy are accounted for under the equity method whereby the Company absorbs any loss or income generated by Zhejiang Sunmy according to the Company’s percentage ownership. At September 30, 2017 and December 31, 2016, the investment is reflected as a long-term asset on the Company’s consolidated balance sheet which represents the investment and maximum loss exposure in Zhejiang Sunmy, net of the Company’s portion of any generated loss or income. On July 24, 2017, the Company and Beijing Medfron Medical Technologies Co., Ltd. agreed to dissolve Zhejiang Sunmy, subject to approval by applicable Chinese regulatory authorities.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200" w:firstLine="518"/>
        <w:spacing w:after="0" w:line="269" w:lineRule="auto"/>
        <w:rPr>
          <w:sz w:val="20"/>
          <w:szCs w:val="20"/>
          <w:color w:val="auto"/>
        </w:rPr>
      </w:pPr>
      <w:r>
        <w:rPr>
          <w:rFonts w:ascii="Arial" w:cs="Arial" w:eastAsia="Arial" w:hAnsi="Arial"/>
          <w:sz w:val="17"/>
          <w:szCs w:val="17"/>
          <w:color w:val="auto"/>
        </w:rPr>
        <w:t>In June 2013, the Company adopted the 2013 Equity Incentive Plan, or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A total of 2,500,000 shares of common stock were initially reserved for issuance under the 2013 Plan. At the annual meeting of stockholders held in June 2017, the Company’s stockholders approved an amendment to the 2013 Plan to increase the number of shares of common stock reserved for issuance under the plan by 1,200,000 shares. In addition, “returning shares” that may become available from time to time are added back to the plan.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September 30, 2017, 1,250,592 shares remain available for future grant under the 2013 Plan.</w:t>
      </w:r>
    </w:p>
    <w:p>
      <w:pPr>
        <w:spacing w:after="0" w:line="183"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We occasionally issue employee performance-based stock options, the vesting of which is based on a determination made by our board of directors as to the achievement of certain corporate objectives at the end of the performance period. The grant date of such awards is the date on which our board of directors makes its determination. For periods preceding the grant date, the expense related to these awards is measured based on their fair value at each reporting date.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Options granted under the 2013 Plan and the 2004 Plan have terms of ten years from the date of grant and generally vest over a three or four year period. The exercise price of all options granted through September 30, 2017 and in 2016 was equal to the market value of the Company’s common stock on the date of grant.</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and related information as of September 30, 2017 is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14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Weighted Average</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Option Shares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Exercise Price</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3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2016</w:t>
            </w:r>
          </w:p>
        </w:tc>
        <w:tc>
          <w:tcPr>
            <w:tcW w:w="16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4,432,017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313"/>
              <w:spacing w:after="0"/>
              <w:rPr>
                <w:sz w:val="20"/>
                <w:szCs w:val="20"/>
                <w:color w:val="auto"/>
              </w:rPr>
            </w:pPr>
            <w:r>
              <w:rPr>
                <w:rFonts w:ascii="Arial" w:cs="Arial" w:eastAsia="Arial" w:hAnsi="Arial"/>
                <w:sz w:val="18"/>
                <w:szCs w:val="18"/>
                <w:color w:val="auto"/>
              </w:rPr>
              <w:t>3.47</w:t>
            </w:r>
          </w:p>
        </w:tc>
        <w:tc>
          <w:tcPr>
            <w:tcW w:w="200" w:type="dxa"/>
            <w:vAlign w:val="bottom"/>
            <w:tcBorders>
              <w:top w:val="single" w:sz="8" w:color="CFF0FC"/>
            </w:tcBorders>
            <w:shd w:val="clear" w:color="auto" w:fill="CFF0FC"/>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Granted</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1,160,000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313"/>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19"/>
                <w:szCs w:val="19"/>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29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(36,512)</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313"/>
              <w:spacing w:after="0"/>
              <w:rPr>
                <w:sz w:val="20"/>
                <w:szCs w:val="20"/>
                <w:color w:val="auto"/>
              </w:rPr>
            </w:pPr>
            <w:r>
              <w:rPr>
                <w:rFonts w:ascii="Arial" w:cs="Arial" w:eastAsia="Arial" w:hAnsi="Arial"/>
                <w:sz w:val="18"/>
                <w:szCs w:val="18"/>
                <w:color w:val="auto"/>
              </w:rPr>
              <w:t>3.31</w:t>
            </w:r>
          </w:p>
        </w:tc>
        <w:tc>
          <w:tcPr>
            <w:tcW w:w="200" w:type="dxa"/>
            <w:vAlign w:val="bottom"/>
            <w:shd w:val="clear" w:color="auto" w:fill="CFF0FC"/>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Cancelled</w:t>
            </w:r>
          </w:p>
        </w:tc>
        <w:tc>
          <w:tcPr>
            <w:tcW w:w="2980" w:type="dxa"/>
            <w:vAlign w:val="bottom"/>
            <w:gridSpan w:val="3"/>
          </w:tcPr>
          <w:p>
            <w:pPr>
              <w:jc w:val="right"/>
              <w:ind w:right="80"/>
              <w:spacing w:after="0"/>
              <w:rPr>
                <w:sz w:val="20"/>
                <w:szCs w:val="20"/>
                <w:color w:val="auto"/>
              </w:rPr>
            </w:pPr>
            <w:r>
              <w:rPr>
                <w:rFonts w:ascii="Arial" w:cs="Arial" w:eastAsia="Arial" w:hAnsi="Arial"/>
                <w:sz w:val="18"/>
                <w:szCs w:val="18"/>
                <w:color w:val="auto"/>
              </w:rPr>
              <w:t>(7,400)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313"/>
              <w:spacing w:after="0"/>
              <w:rPr>
                <w:sz w:val="20"/>
                <w:szCs w:val="20"/>
                <w:color w:val="auto"/>
              </w:rPr>
            </w:pPr>
            <w:r>
              <w:rPr>
                <w:rFonts w:ascii="Arial" w:cs="Arial" w:eastAsia="Arial" w:hAnsi="Arial"/>
                <w:sz w:val="18"/>
                <w:szCs w:val="18"/>
                <w:color w:val="auto"/>
              </w:rPr>
              <w:t>7.76</w:t>
            </w:r>
          </w:p>
        </w:tc>
        <w:tc>
          <w:tcPr>
            <w:tcW w:w="2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20" w:type="dxa"/>
            <w:vAlign w:val="bottom"/>
          </w:tcPr>
          <w:p>
            <w:pPr>
              <w:spacing w:after="0"/>
              <w:rPr>
                <w:sz w:val="19"/>
                <w:szCs w:val="19"/>
                <w:color w:val="auto"/>
              </w:rPr>
            </w:pPr>
          </w:p>
        </w:tc>
        <w:tc>
          <w:tcPr>
            <w:tcW w:w="31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2017</w:t>
            </w:r>
          </w:p>
        </w:tc>
        <w:tc>
          <w:tcPr>
            <w:tcW w:w="16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5,548,105</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ind w:right="313"/>
              <w:spacing w:after="0"/>
              <w:rPr>
                <w:sz w:val="20"/>
                <w:szCs w:val="20"/>
                <w:color w:val="auto"/>
              </w:rPr>
            </w:pPr>
            <w:r>
              <w:rPr>
                <w:rFonts w:ascii="Arial" w:cs="Arial" w:eastAsia="Arial" w:hAnsi="Arial"/>
                <w:sz w:val="18"/>
                <w:szCs w:val="18"/>
                <w:color w:val="auto"/>
              </w:rPr>
              <w:t>4.02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60" w:type="dxa"/>
            <w:vAlign w:val="bottom"/>
            <w:gridSpan w:val="2"/>
            <w:vMerge w:val="restart"/>
          </w:tcPr>
          <w:p>
            <w:pPr>
              <w:ind w:left="1900"/>
              <w:spacing w:after="0"/>
              <w:rPr>
                <w:sz w:val="20"/>
                <w:szCs w:val="20"/>
                <w:color w:val="auto"/>
              </w:rPr>
            </w:pPr>
            <w:r>
              <w:rPr>
                <w:rFonts w:ascii="Arial" w:cs="Arial" w:eastAsia="Arial" w:hAnsi="Arial"/>
                <w:sz w:val="18"/>
                <w:szCs w:val="18"/>
                <w:color w:val="auto"/>
              </w:rPr>
              <w:t>Exercisable at September 30, 2017</w:t>
            </w:r>
          </w:p>
        </w:tc>
        <w:tc>
          <w:tcPr>
            <w:tcW w:w="2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60" w:type="dxa"/>
            <w:vAlign w:val="bottom"/>
            <w:gridSpan w:val="2"/>
            <w:vMerge w:val="continue"/>
          </w:tcPr>
          <w:p>
            <w:pPr>
              <w:spacing w:after="0"/>
              <w:rPr>
                <w:sz w:val="18"/>
                <w:szCs w:val="18"/>
                <w:color w:val="auto"/>
              </w:rPr>
            </w:pPr>
          </w:p>
        </w:tc>
        <w:tc>
          <w:tcPr>
            <w:tcW w:w="168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4,245,595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ind w:right="313"/>
              <w:spacing w:after="0"/>
              <w:rPr>
                <w:sz w:val="20"/>
                <w:szCs w:val="20"/>
                <w:color w:val="auto"/>
              </w:rPr>
            </w:pPr>
            <w:r>
              <w:rPr>
                <w:rFonts w:ascii="Arial" w:cs="Arial" w:eastAsia="Arial" w:hAnsi="Arial"/>
                <w:sz w:val="18"/>
                <w:szCs w:val="18"/>
                <w:color w:val="auto"/>
              </w:rPr>
              <w:t>3.46</w:t>
            </w: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80" w:type="dxa"/>
            <w:vAlign w:val="bottom"/>
            <w:vMerge w:val="restart"/>
          </w:tcPr>
          <w:p>
            <w:pPr>
              <w:jc w:val="right"/>
              <w:ind w:right="890"/>
              <w:spacing w:after="0"/>
              <w:rPr>
                <w:sz w:val="20"/>
                <w:szCs w:val="20"/>
                <w:color w:val="auto"/>
              </w:rPr>
            </w:pPr>
            <w:r>
              <w:rPr>
                <w:rFonts w:ascii="Arial" w:cs="Arial" w:eastAsia="Arial" w:hAnsi="Arial"/>
                <w:sz w:val="18"/>
                <w:szCs w:val="18"/>
                <w:color w:val="auto"/>
              </w:rPr>
              <w:t>9</w:t>
            </w: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19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920" w:type="dxa"/>
            <w:vAlign w:val="bottom"/>
            <w:tcBorders>
              <w:bottom w:val="single" w:sz="8" w:color="9A9A9A"/>
            </w:tcBorders>
          </w:tcPr>
          <w:p>
            <w:pPr>
              <w:spacing w:after="0"/>
              <w:rPr>
                <w:sz w:val="10"/>
                <w:szCs w:val="10"/>
                <w:color w:val="auto"/>
              </w:rPr>
            </w:pPr>
          </w:p>
        </w:tc>
        <w:tc>
          <w:tcPr>
            <w:tcW w:w="31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9" w:name="page10"/>
    <w:bookmarkEnd w:id="9"/>
    <w:p>
      <w:pPr>
        <w:ind w:right="40" w:firstLine="518"/>
        <w:spacing w:after="0" w:line="277" w:lineRule="auto"/>
        <w:rPr>
          <w:sz w:val="20"/>
          <w:szCs w:val="20"/>
          <w:color w:val="auto"/>
        </w:rPr>
      </w:pPr>
      <w:r>
        <w:rPr>
          <w:rFonts w:ascii="Arial" w:cs="Arial" w:eastAsia="Arial" w:hAnsi="Arial"/>
          <w:sz w:val="18"/>
          <w:szCs w:val="18"/>
          <w:color w:val="auto"/>
        </w:rPr>
        <w:t>During the nine months ended September 30, 2017 and 2016, 36,512 and 172,585 options were exercised, from which gross proceeds of $120,738 and $829,525 were received,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200" w:firstLine="518"/>
        <w:spacing w:after="0" w:line="273" w:lineRule="auto"/>
        <w:rPr>
          <w:sz w:val="20"/>
          <w:szCs w:val="20"/>
          <w:color w:val="auto"/>
        </w:rPr>
      </w:pPr>
      <w:r>
        <w:rPr>
          <w:rFonts w:ascii="Arial" w:cs="Arial" w:eastAsia="Arial" w:hAnsi="Arial"/>
          <w:sz w:val="17"/>
          <w:szCs w:val="17"/>
          <w:color w:val="auto"/>
        </w:rPr>
        <w:t>Under the Company’s 2007 Employee Stock Purchase Plan, or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 The ESPP is considered a compensatory plan and the Company records compensation expense included in the Company’s statement of operations.</w:t>
      </w:r>
    </w:p>
    <w:p>
      <w:pPr>
        <w:spacing w:after="0" w:line="178"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For the nine months ended September 30, 2017, an aggregate of 15,153 shares were issued under the ESPP. As of September 30, 2017, there are 183,972 shares available for future issuance under the ESPP.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Stock-based compensation expense for stock option awards and ESPP shares are reflected in total operating expenses for each respective year. For the three months ended September 30, 2017 and 2016 stock-based compensation expense related to stock options and the ESPP was $1.5 million and $1.2 million, respectively. For the nine months ended September 30, 2017 and 2016 stock-based compensation expense related to stock options and the ESPP was $3.5 million and $4.0 million, respectively.</w:t>
      </w:r>
    </w:p>
    <w:p>
      <w:pPr>
        <w:spacing w:after="0" w:line="187" w:lineRule="exact"/>
        <w:rPr>
          <w:sz w:val="20"/>
          <w:szCs w:val="20"/>
          <w:color w:val="auto"/>
        </w:rPr>
      </w:pPr>
    </w:p>
    <w:p>
      <w:pPr>
        <w:ind w:right="60" w:firstLine="518"/>
        <w:spacing w:after="0" w:line="286" w:lineRule="auto"/>
        <w:rPr>
          <w:sz w:val="20"/>
          <w:szCs w:val="20"/>
          <w:color w:val="auto"/>
        </w:rPr>
      </w:pPr>
      <w:r>
        <w:rPr>
          <w:rFonts w:ascii="Arial" w:cs="Arial" w:eastAsia="Arial" w:hAnsi="Arial"/>
          <w:sz w:val="17"/>
          <w:szCs w:val="17"/>
          <w:color w:val="auto"/>
        </w:rPr>
        <w:t>The Company uses the Black-Scholes valuation model for determining the estimated fair value for stock-based awards granted to employees. The following table provides the assumptions used in the Black-Scholes valuation model used to estimate the fair value of options granted during the nine months ended September 30, 2017 and 2016 and to estimate the fair value of performance-based stock options as of September 30, 2017.</w:t>
      </w:r>
    </w:p>
    <w:p>
      <w:pPr>
        <w:sectPr>
          <w:pgSz w:w="11900" w:h="16838" w:orient="portrait"/>
          <w:cols w:equalWidth="0" w:num="1">
            <w:col w:w="11420"/>
          </w:cols>
          <w:pgMar w:left="240" w:top="598" w:right="239" w:bottom="1440" w:gutter="0" w:footer="0" w:header="0"/>
        </w:sectPr>
      </w:pPr>
    </w:p>
    <w:p>
      <w:pPr>
        <w:spacing w:after="0" w:line="252" w:lineRule="exact"/>
        <w:rPr>
          <w:sz w:val="20"/>
          <w:szCs w:val="20"/>
          <w:color w:val="auto"/>
        </w:rPr>
      </w:pPr>
    </w:p>
    <w:p>
      <w:pPr>
        <w:ind w:left="6400"/>
        <w:spacing w:after="0"/>
        <w:rPr>
          <w:sz w:val="20"/>
          <w:szCs w:val="20"/>
          <w:color w:val="auto"/>
        </w:rPr>
      </w:pPr>
      <w:r>
        <w:rPr>
          <w:rFonts w:ascii="Arial" w:cs="Arial" w:eastAsia="Arial" w:hAnsi="Arial"/>
          <w:sz w:val="12"/>
          <w:szCs w:val="12"/>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20955</wp:posOffset>
            </wp:positionV>
            <wp:extent cx="1663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8" w:lineRule="exact"/>
        <w:rPr>
          <w:sz w:val="20"/>
          <w:szCs w:val="20"/>
          <w:color w:val="auto"/>
        </w:rPr>
      </w:pPr>
    </w:p>
    <w:p>
      <w:pPr>
        <w:ind w:left="6380"/>
        <w:spacing w:after="0"/>
        <w:rPr>
          <w:sz w:val="20"/>
          <w:szCs w:val="20"/>
          <w:color w:val="auto"/>
        </w:rPr>
      </w:pPr>
      <w:r>
        <w:rPr>
          <w:rFonts w:ascii="Arial" w:cs="Arial" w:eastAsia="Arial" w:hAnsi="Arial"/>
          <w:sz w:val="12"/>
          <w:szCs w:val="12"/>
          <w:b w:val="1"/>
          <w:bCs w:val="1"/>
          <w:color w:val="auto"/>
        </w:rPr>
        <w:t>September 30, 2017</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20955</wp:posOffset>
            </wp:positionV>
            <wp:extent cx="16554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September 30, 2016</w:t>
      </w:r>
    </w:p>
    <w:p>
      <w:pPr>
        <w:spacing w:after="0" w:line="23" w:lineRule="exact"/>
        <w:rPr>
          <w:sz w:val="20"/>
          <w:szCs w:val="20"/>
          <w:color w:val="auto"/>
        </w:rPr>
      </w:pPr>
    </w:p>
    <w:p>
      <w:pPr>
        <w:sectPr>
          <w:pgSz w:w="11900" w:h="16838" w:orient="portrait"/>
          <w:cols w:equalWidth="0" w:num="2">
            <w:col w:w="8680" w:space="720"/>
            <w:col w:w="2020"/>
          </w:cols>
          <w:pgMar w:left="240" w:top="598"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Stock Option assumptions:</w:t>
            </w:r>
          </w:p>
        </w:tc>
        <w:tc>
          <w:tcPr>
            <w:tcW w:w="26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2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1.75 - 1.92%</w:t>
            </w:r>
          </w:p>
        </w:tc>
        <w:tc>
          <w:tcPr>
            <w:tcW w:w="40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1.14 - 1.61%</w:t>
            </w:r>
          </w:p>
        </w:tc>
        <w:tc>
          <w:tcPr>
            <w:tcW w:w="100" w:type="dxa"/>
            <w:vAlign w:val="bottom"/>
          </w:tcPr>
          <w:p>
            <w:pPr>
              <w:spacing w:after="0"/>
              <w:rPr>
                <w:sz w:val="19"/>
                <w:szCs w:val="19"/>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common stock</w:t>
            </w:r>
          </w:p>
        </w:tc>
        <w:tc>
          <w:tcPr>
            <w:tcW w:w="2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65.72 - 70.93%</w:t>
            </w:r>
          </w:p>
        </w:tc>
        <w:tc>
          <w:tcPr>
            <w:tcW w:w="400" w:type="dxa"/>
            <w:vAlign w:val="bottom"/>
            <w:shd w:val="clear" w:color="auto" w:fill="CFF0FC"/>
          </w:tcPr>
          <w:p>
            <w:pPr>
              <w:spacing w:after="0"/>
              <w:rPr>
                <w:sz w:val="19"/>
                <w:szCs w:val="19"/>
                <w:color w:val="auto"/>
              </w:rPr>
            </w:pPr>
          </w:p>
        </w:tc>
        <w:tc>
          <w:tcPr>
            <w:tcW w:w="2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75.1 - 78.46%</w:t>
            </w:r>
          </w:p>
        </w:tc>
        <w:tc>
          <w:tcPr>
            <w:tcW w:w="100" w:type="dxa"/>
            <w:vAlign w:val="bottom"/>
            <w:shd w:val="clear" w:color="auto" w:fill="CFF0FC"/>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Dividend yield</w:t>
            </w:r>
          </w:p>
        </w:tc>
        <w:tc>
          <w:tcPr>
            <w:tcW w:w="2620" w:type="dxa"/>
            <w:vAlign w:val="bottom"/>
          </w:tcPr>
          <w:p>
            <w:pPr>
              <w:jc w:val="center"/>
              <w:ind w:left="10"/>
              <w:spacing w:after="0"/>
              <w:rPr>
                <w:sz w:val="20"/>
                <w:szCs w:val="20"/>
                <w:color w:val="auto"/>
              </w:rPr>
            </w:pPr>
            <w:r>
              <w:rPr>
                <w:rFonts w:ascii="Arial" w:cs="Arial" w:eastAsia="Arial" w:hAnsi="Arial"/>
                <w:sz w:val="18"/>
                <w:szCs w:val="18"/>
                <w:color w:val="auto"/>
                <w:w w:val="92"/>
              </w:rPr>
              <w:t>0%</w:t>
            </w:r>
          </w:p>
        </w:tc>
        <w:tc>
          <w:tcPr>
            <w:tcW w:w="400" w:type="dxa"/>
            <w:vAlign w:val="bottom"/>
          </w:tcPr>
          <w:p>
            <w:pPr>
              <w:spacing w:after="0"/>
              <w:rPr>
                <w:sz w:val="19"/>
                <w:szCs w:val="19"/>
                <w:color w:val="auto"/>
              </w:rPr>
            </w:pPr>
          </w:p>
        </w:tc>
        <w:tc>
          <w:tcPr>
            <w:tcW w:w="2620" w:type="dxa"/>
            <w:vAlign w:val="bottom"/>
          </w:tcPr>
          <w:p>
            <w:pPr>
              <w:jc w:val="center"/>
              <w:ind w:left="10"/>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19"/>
                <w:szCs w:val="19"/>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2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4.8 - 5.3</w:t>
            </w:r>
          </w:p>
        </w:tc>
        <w:tc>
          <w:tcPr>
            <w:tcW w:w="400" w:type="dxa"/>
            <w:vAlign w:val="bottom"/>
            <w:shd w:val="clear" w:color="auto" w:fill="CFF0FC"/>
          </w:tcPr>
          <w:p>
            <w:pPr>
              <w:spacing w:after="0"/>
              <w:rPr>
                <w:sz w:val="19"/>
                <w:szCs w:val="19"/>
                <w:color w:val="auto"/>
              </w:rPr>
            </w:pPr>
          </w:p>
        </w:tc>
        <w:tc>
          <w:tcPr>
            <w:tcW w:w="2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4.8 - 5.7</w:t>
            </w:r>
          </w:p>
        </w:tc>
        <w:tc>
          <w:tcPr>
            <w:tcW w:w="100" w:type="dxa"/>
            <w:vAlign w:val="bottom"/>
            <w:shd w:val="clear" w:color="auto" w:fill="CFF0FC"/>
          </w:tcPr>
          <w:p>
            <w:pPr>
              <w:spacing w:after="0"/>
              <w:rPr>
                <w:sz w:val="19"/>
                <w:szCs w:val="19"/>
                <w:color w:val="auto"/>
              </w:rPr>
            </w:pPr>
          </w:p>
        </w:tc>
      </w:tr>
      <w:tr>
        <w:trPr>
          <w:trHeight w:val="243"/>
        </w:trPr>
        <w:tc>
          <w:tcPr>
            <w:tcW w:w="5680" w:type="dxa"/>
            <w:vAlign w:val="bottom"/>
          </w:tcPr>
          <w:p>
            <w:pPr>
              <w:spacing w:after="0"/>
              <w:rPr>
                <w:sz w:val="20"/>
                <w:szCs w:val="20"/>
                <w:color w:val="auto"/>
              </w:rPr>
            </w:pPr>
            <w:r>
              <w:rPr>
                <w:rFonts w:ascii="Arial" w:cs="Arial" w:eastAsia="Arial" w:hAnsi="Arial"/>
                <w:sz w:val="18"/>
                <w:szCs w:val="18"/>
                <w:b w:val="1"/>
                <w:bCs w:val="1"/>
                <w:color w:val="auto"/>
              </w:rPr>
              <w:t>ESPP assumptions:</w:t>
            </w:r>
          </w:p>
        </w:tc>
        <w:tc>
          <w:tcPr>
            <w:tcW w:w="2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620" w:type="dxa"/>
            <w:vAlign w:val="bottom"/>
            <w:shd w:val="clear" w:color="auto" w:fill="CFF0FC"/>
          </w:tcPr>
          <w:p>
            <w:pPr>
              <w:jc w:val="center"/>
              <w:ind w:left="30"/>
              <w:spacing w:after="0"/>
              <w:rPr>
                <w:sz w:val="20"/>
                <w:szCs w:val="20"/>
                <w:color w:val="auto"/>
              </w:rPr>
            </w:pPr>
            <w:r>
              <w:rPr>
                <w:rFonts w:ascii="Arial" w:cs="Arial" w:eastAsia="Arial" w:hAnsi="Arial"/>
                <w:sz w:val="18"/>
                <w:szCs w:val="18"/>
                <w:color w:val="auto"/>
                <w:w w:val="90"/>
              </w:rPr>
              <w:t>0.92%</w:t>
            </w:r>
          </w:p>
        </w:tc>
        <w:tc>
          <w:tcPr>
            <w:tcW w:w="400" w:type="dxa"/>
            <w:vAlign w:val="bottom"/>
            <w:shd w:val="clear" w:color="auto" w:fill="CFF0FC"/>
          </w:tcPr>
          <w:p>
            <w:pPr>
              <w:spacing w:after="0"/>
              <w:rPr>
                <w:sz w:val="19"/>
                <w:szCs w:val="19"/>
                <w:color w:val="auto"/>
              </w:rPr>
            </w:pPr>
          </w:p>
        </w:tc>
        <w:tc>
          <w:tcPr>
            <w:tcW w:w="2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0.45%</w:t>
            </w:r>
          </w:p>
        </w:tc>
        <w:tc>
          <w:tcPr>
            <w:tcW w:w="100" w:type="dxa"/>
            <w:vAlign w:val="bottom"/>
            <w:shd w:val="clear" w:color="auto" w:fill="CFF0FC"/>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2620" w:type="dxa"/>
            <w:vAlign w:val="bottom"/>
          </w:tcPr>
          <w:p>
            <w:pPr>
              <w:jc w:val="center"/>
              <w:ind w:left="30"/>
              <w:spacing w:after="0"/>
              <w:rPr>
                <w:sz w:val="20"/>
                <w:szCs w:val="20"/>
                <w:color w:val="auto"/>
              </w:rPr>
            </w:pPr>
            <w:r>
              <w:rPr>
                <w:rFonts w:ascii="Arial" w:cs="Arial" w:eastAsia="Arial" w:hAnsi="Arial"/>
                <w:sz w:val="18"/>
                <w:szCs w:val="18"/>
                <w:color w:val="auto"/>
                <w:w w:val="90"/>
              </w:rPr>
              <w:t>34.9%</w:t>
            </w:r>
          </w:p>
        </w:tc>
        <w:tc>
          <w:tcPr>
            <w:tcW w:w="40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50.6%</w:t>
            </w:r>
          </w:p>
        </w:tc>
        <w:tc>
          <w:tcPr>
            <w:tcW w:w="100" w:type="dxa"/>
            <w:vAlign w:val="bottom"/>
          </w:tcPr>
          <w:p>
            <w:pPr>
              <w:spacing w:after="0"/>
              <w:rPr>
                <w:sz w:val="19"/>
                <w:szCs w:val="19"/>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2620" w:type="dxa"/>
            <w:vAlign w:val="bottom"/>
            <w:shd w:val="clear" w:color="auto" w:fill="CFF0FC"/>
          </w:tcPr>
          <w:p>
            <w:pPr>
              <w:jc w:val="center"/>
              <w:ind w:left="30"/>
              <w:spacing w:after="0"/>
              <w:rPr>
                <w:sz w:val="20"/>
                <w:szCs w:val="20"/>
                <w:color w:val="auto"/>
              </w:rPr>
            </w:pPr>
            <w:r>
              <w:rPr>
                <w:rFonts w:ascii="Arial" w:cs="Arial" w:eastAsia="Arial" w:hAnsi="Arial"/>
                <w:sz w:val="18"/>
                <w:szCs w:val="18"/>
                <w:color w:val="auto"/>
                <w:w w:val="92"/>
              </w:rPr>
              <w:t>0.0%</w:t>
            </w:r>
          </w:p>
        </w:tc>
        <w:tc>
          <w:tcPr>
            <w:tcW w:w="400" w:type="dxa"/>
            <w:vAlign w:val="bottom"/>
            <w:shd w:val="clear" w:color="auto" w:fill="CFF0FC"/>
          </w:tcPr>
          <w:p>
            <w:pPr>
              <w:spacing w:after="0"/>
              <w:rPr>
                <w:sz w:val="19"/>
                <w:szCs w:val="19"/>
                <w:color w:val="auto"/>
              </w:rPr>
            </w:pPr>
          </w:p>
        </w:tc>
        <w:tc>
          <w:tcPr>
            <w:tcW w:w="2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0.0%</w:t>
            </w:r>
          </w:p>
        </w:tc>
        <w:tc>
          <w:tcPr>
            <w:tcW w:w="100" w:type="dxa"/>
            <w:vAlign w:val="bottom"/>
            <w:shd w:val="clear" w:color="auto" w:fill="CFF0FC"/>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620" w:type="dxa"/>
            <w:vAlign w:val="bottom"/>
          </w:tcPr>
          <w:p>
            <w:pPr>
              <w:jc w:val="center"/>
              <w:ind w:left="30"/>
              <w:spacing w:after="0"/>
              <w:rPr>
                <w:sz w:val="20"/>
                <w:szCs w:val="20"/>
                <w:color w:val="auto"/>
              </w:rPr>
            </w:pPr>
            <w:r>
              <w:rPr>
                <w:rFonts w:ascii="Arial" w:cs="Arial" w:eastAsia="Arial" w:hAnsi="Arial"/>
                <w:sz w:val="18"/>
                <w:szCs w:val="18"/>
                <w:color w:val="auto"/>
                <w:w w:val="87"/>
              </w:rPr>
              <w:t>0.5</w:t>
            </w:r>
          </w:p>
        </w:tc>
        <w:tc>
          <w:tcPr>
            <w:tcW w:w="40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100" w:type="dxa"/>
            <w:vAlign w:val="bottom"/>
          </w:tcPr>
          <w:p>
            <w:pPr>
              <w:spacing w:after="0"/>
              <w:rPr>
                <w:sz w:val="20"/>
                <w:szCs w:val="20"/>
                <w:color w:val="auto"/>
              </w:rPr>
            </w:pPr>
          </w:p>
        </w:tc>
      </w:tr>
    </w:tbl>
    <w:p>
      <w:pPr>
        <w:spacing w:after="0" w:line="228"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As of September 30, 2017, there was $0.6 million of unamortized compensation cost related to unvested stock option awards which is expected to be recognized over a remaining weighted-average vesting period of 0.75 years, on a straight-line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Agreements</w:t>
      </w:r>
    </w:p>
    <w:p>
      <w:pPr>
        <w:spacing w:after="0" w:line="117"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On May 22, 2015, the Company entered into an at-the-market issuance sales agreement with MLV &amp; Co. LLC, or MLV, pursuant to which the Company may sell common stock through MLV from time to time up to an aggregate offering price of $30.0 million. Sales of the Company’s common stock through MLV, if any, will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the Company’s prior approval. The Company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type w:val="continuous"/>
        </w:sectPr>
      </w:pPr>
    </w:p>
    <w:bookmarkStart w:id="10" w:name="page11"/>
    <w:bookmarkEnd w:id="10"/>
    <w:p>
      <w:pPr>
        <w:ind w:left="520"/>
        <w:spacing w:after="0"/>
        <w:rPr>
          <w:sz w:val="20"/>
          <w:szCs w:val="20"/>
          <w:color w:val="auto"/>
        </w:rPr>
      </w:pPr>
      <w:r>
        <w:rPr>
          <w:rFonts w:ascii="Arial" w:cs="Arial" w:eastAsia="Arial" w:hAnsi="Arial"/>
          <w:sz w:val="16"/>
          <w:szCs w:val="16"/>
          <w:color w:val="auto"/>
        </w:rPr>
        <w:t>On September 16, 2016, the Company entered into an amendment No.1 to the original sales agreement with MLV to also include FBR Capital Markets</w:t>
      </w:r>
    </w:p>
    <w:p>
      <w:pPr>
        <w:spacing w:after="0" w:line="46" w:lineRule="exact"/>
        <w:rPr>
          <w:sz w:val="20"/>
          <w:szCs w:val="20"/>
          <w:color w:val="auto"/>
        </w:rPr>
      </w:pPr>
    </w:p>
    <w:p>
      <w:pPr>
        <w:ind w:firstLine="8"/>
        <w:spacing w:after="0" w:line="261" w:lineRule="auto"/>
        <w:tabs>
          <w:tab w:leader="none" w:pos="18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 as a sales agent. The Company is not obligated to make any sales of common stock under the sales agreement and may terminate the sales agreement at any time upon written notice.</w:t>
      </w:r>
    </w:p>
    <w:p>
      <w:pPr>
        <w:spacing w:after="0" w:line="184" w:lineRule="exact"/>
        <w:rPr>
          <w:sz w:val="20"/>
          <w:szCs w:val="20"/>
          <w:color w:val="auto"/>
        </w:rPr>
      </w:pPr>
    </w:p>
    <w:p>
      <w:pPr>
        <w:ind w:right="220" w:firstLine="518"/>
        <w:spacing w:after="0" w:line="279" w:lineRule="auto"/>
        <w:rPr>
          <w:sz w:val="20"/>
          <w:szCs w:val="20"/>
          <w:color w:val="auto"/>
        </w:rPr>
      </w:pPr>
      <w:r>
        <w:rPr>
          <w:rFonts w:ascii="Arial" w:cs="Arial" w:eastAsia="Arial" w:hAnsi="Arial"/>
          <w:sz w:val="17"/>
          <w:szCs w:val="17"/>
          <w:color w:val="auto"/>
        </w:rPr>
        <w:t>For the nine months ended September 30, 2017, the Company generated gross proceeds of $6.4 million and incurred issuance costs of $0.3 million under this agreement on sales of 1,096,922 shares of the Company’s common stock at a weighted average price of $5.79 per share. No shares of common stock were sold under this agreement in the three and nine months ended September 30, 2016. Subsequent to September 30, 2017, we have generated gross proceeds of $2.8 million on sales of 428,468 of our common stock through October 20, 2017.</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jc w:val="both"/>
        <w:ind w:right="520" w:firstLine="518"/>
        <w:spacing w:after="0" w:line="264" w:lineRule="auto"/>
        <w:rPr>
          <w:sz w:val="20"/>
          <w:szCs w:val="20"/>
          <w:color w:val="auto"/>
        </w:rPr>
      </w:pPr>
      <w:r>
        <w:rPr>
          <w:rFonts w:ascii="Arial" w:cs="Arial" w:eastAsia="Arial" w:hAnsi="Arial"/>
          <w:sz w:val="18"/>
          <w:szCs w:val="18"/>
          <w:color w:val="auto"/>
        </w:rPr>
        <w:t>No warrants were exercised during the nine months ended September 30, 2017. During the nine months ended September 30, 2016, warrants to purchase 2,131,700 shares of the Company’s common stock were exercised for gross proceeds of $7.6 million. On May 10, 2017, warrants to purchase 198,020 shares expired unexercised.</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2017, the Company had the following warrants outstanding:</w:t>
      </w:r>
    </w:p>
    <w:p>
      <w:pPr>
        <w:spacing w:after="0" w:line="117" w:lineRule="exact"/>
        <w:rPr>
          <w:sz w:val="20"/>
          <w:szCs w:val="20"/>
          <w:color w:val="auto"/>
        </w:rPr>
      </w:pPr>
    </w:p>
    <w:p>
      <w:pPr>
        <w:ind w:left="980" w:hanging="459"/>
        <w:spacing w:after="0"/>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750,000 common stock warrants at an exercise price of $3.15 per share, which expire on May 9, 2018;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5"/>
        </w:numPr>
        <w:rPr>
          <w:rFonts w:ascii="Arial" w:cs="Arial" w:eastAsia="Arial" w:hAnsi="Arial"/>
          <w:sz w:val="18"/>
          <w:szCs w:val="18"/>
          <w:color w:val="auto"/>
        </w:rPr>
      </w:pPr>
      <w:r>
        <w:rPr>
          <w:rFonts w:ascii="Arial" w:cs="Arial" w:eastAsia="Arial" w:hAnsi="Arial"/>
          <w:sz w:val="18"/>
          <w:szCs w:val="18"/>
          <w:color w:val="auto"/>
        </w:rPr>
        <w:t>119,047 common stock warrants at an exercise price of $3.38 per share, which expire on May 9, 2018.</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and warrants. Common share equivalents are excluded from the diluted net loss per share calculation if their effect is anti-dilutive.</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potentially dilutive outstanding securities were excluded from diluted net loss per common share because of their anti-dilutive effect:</w:t>
      </w:r>
    </w:p>
    <w:p>
      <w:pPr>
        <w:spacing w:after="0" w:line="321" w:lineRule="exact"/>
        <w:rPr>
          <w:sz w:val="20"/>
          <w:szCs w:val="20"/>
          <w:color w:val="auto"/>
        </w:rPr>
      </w:pPr>
    </w:p>
    <w:tbl>
      <w:tblPr>
        <w:tblLayout w:type="fixed"/>
        <w:tblInd w:w="208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080" w:type="dxa"/>
            <w:vAlign w:val="bottom"/>
            <w:tcBorders>
              <w:bottom w:val="single" w:sz="8" w:color="auto"/>
            </w:tcBorders>
            <w:gridSpan w:val="3"/>
          </w:tcPr>
          <w:p>
            <w:pPr>
              <w:ind w:left="1100"/>
              <w:spacing w:after="0"/>
              <w:rPr>
                <w:sz w:val="20"/>
                <w:szCs w:val="20"/>
                <w:color w:val="auto"/>
              </w:rPr>
            </w:pPr>
            <w:r>
              <w:rPr>
                <w:rFonts w:ascii="Arial" w:cs="Arial" w:eastAsia="Arial" w:hAnsi="Arial"/>
                <w:sz w:val="14"/>
                <w:szCs w:val="14"/>
                <w:b w:val="1"/>
                <w:bCs w:val="1"/>
                <w:color w:val="auto"/>
              </w:rPr>
              <w:t>September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040" w:type="dxa"/>
            <w:vAlign w:val="bottom"/>
            <w:tcBorders>
              <w:bottom w:val="single" w:sz="8" w:color="CFF0FC"/>
            </w:tcBorders>
          </w:tcPr>
          <w:p>
            <w:pPr>
              <w:spacing w:after="0"/>
              <w:rPr>
                <w:sz w:val="13"/>
                <w:szCs w:val="13"/>
                <w:color w:val="auto"/>
              </w:rPr>
            </w:pPr>
          </w:p>
        </w:tc>
        <w:tc>
          <w:tcPr>
            <w:tcW w:w="1280" w:type="dxa"/>
            <w:vAlign w:val="bottom"/>
            <w:tcBorders>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74"/>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r>
      <w:tr>
        <w:trPr>
          <w:trHeight w:val="237"/>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5,548,105</w:t>
            </w:r>
          </w:p>
        </w:tc>
        <w:tc>
          <w:tcPr>
            <w:tcW w:w="26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4,980,584</w:t>
            </w:r>
          </w:p>
        </w:tc>
        <w:tc>
          <w:tcPr>
            <w:tcW w:w="120" w:type="dxa"/>
            <w:vAlign w:val="bottom"/>
            <w:shd w:val="clear" w:color="auto" w:fill="CFF0FC"/>
          </w:tcPr>
          <w:p>
            <w:pPr>
              <w:spacing w:after="0"/>
              <w:rPr>
                <w:sz w:val="20"/>
                <w:szCs w:val="20"/>
                <w:color w:val="auto"/>
              </w:rPr>
            </w:pPr>
          </w:p>
        </w:tc>
      </w:tr>
      <w:tr>
        <w:trPr>
          <w:trHeight w:val="257"/>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Warrants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869,047</w:t>
            </w:r>
          </w:p>
        </w:tc>
        <w:tc>
          <w:tcPr>
            <w:tcW w:w="260" w:type="dxa"/>
            <w:vAlign w:val="bottom"/>
            <w:tcBorders>
              <w:bottom w:val="single" w:sz="8" w:color="CFF0FC"/>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1,067,067</w:t>
            </w:r>
          </w:p>
        </w:tc>
        <w:tc>
          <w:tcPr>
            <w:tcW w:w="120" w:type="dxa"/>
            <w:vAlign w:val="bottom"/>
            <w:tcBorders>
              <w:bottom w:val="single" w:sz="8" w:color="CFF0FC"/>
            </w:tcBorders>
          </w:tcPr>
          <w:p>
            <w:pPr>
              <w:spacing w:after="0"/>
              <w:rPr>
                <w:sz w:val="22"/>
                <w:szCs w:val="22"/>
                <w:color w:val="auto"/>
              </w:rPr>
            </w:pPr>
          </w:p>
        </w:tc>
      </w:tr>
      <w:tr>
        <w:trPr>
          <w:trHeight w:val="223"/>
        </w:trPr>
        <w:tc>
          <w:tcPr>
            <w:tcW w:w="40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6,417,152</w:t>
            </w:r>
          </w:p>
        </w:tc>
        <w:tc>
          <w:tcPr>
            <w:tcW w:w="2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6,047,651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1" w:name="page12"/>
    <w:bookmarkEnd w:id="11"/>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2016 included in our Annual Report on Form 10-K filed with the Securities and Exchange Commission, or SEC, on February 14, 2017. Past operating results are not necessarily indicative of results that may occur in future periods.</w:t>
      </w:r>
    </w:p>
    <w:p>
      <w:pPr>
        <w:spacing w:after="0" w:line="171"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518"/>
        <w:spacing w:after="0" w:line="273" w:lineRule="auto"/>
        <w:rPr>
          <w:sz w:val="20"/>
          <w:szCs w:val="20"/>
          <w:color w:val="auto"/>
        </w:rPr>
      </w:pPr>
      <w:r>
        <w:rPr>
          <w:rFonts w:ascii="Arial" w:cs="Arial" w:eastAsia="Arial" w:hAnsi="Arial"/>
          <w:sz w:val="17"/>
          <w:szCs w:val="17"/>
          <w:color w:val="auto"/>
        </w:rPr>
        <w:t>We are a biopharmaceutical company focused on acquiring and developing novel, small molecule therapeutics for the treatment of serious diseases with unmet medical needs and a commercial focus on the U.S. market. Our current strategy is to focus our development activities on MN-166 (ibudilast) for neurological disorders such as progressive multiple sclerosis (MS), amyotrophic lateral sclerosis (ALS) and substance dependence and addiction (e.g., methamphetamine dependence, opioid dependence, and alcohol dependence), and MN-001 (tipelukast) for fibrotic diseases such as nonalcoholic steatohepatitis (NASH) and idiopathic pulmonary fibrosis (IPF). Our pipeline also includes MN-221 (bedoradrine) for the treatment of acute exacerbation of asthma and MN-029 (denibulin) for solid tumor cancers. We were incorporated in Delaware in September 2000.</w:t>
      </w:r>
    </w:p>
    <w:p>
      <w:pPr>
        <w:spacing w:after="0" w:line="178" w:lineRule="exact"/>
        <w:rPr>
          <w:sz w:val="20"/>
          <w:szCs w:val="20"/>
          <w:color w:val="auto"/>
        </w:rPr>
      </w:pPr>
    </w:p>
    <w:p>
      <w:pPr>
        <w:jc w:val="both"/>
        <w:ind w:right="60" w:firstLine="518"/>
        <w:spacing w:after="0" w:line="312" w:lineRule="auto"/>
        <w:rPr>
          <w:sz w:val="20"/>
          <w:szCs w:val="20"/>
          <w:color w:val="auto"/>
        </w:rPr>
      </w:pPr>
      <w:r>
        <w:rPr>
          <w:rFonts w:ascii="Arial" w:cs="Arial" w:eastAsia="Arial" w:hAnsi="Arial"/>
          <w:sz w:val="16"/>
          <w:szCs w:val="16"/>
          <w:color w:val="auto"/>
        </w:rPr>
        <w:t>We have incurred significant net losses since our inception. As of September 30, 2017, we had an accumulated deficit of $339.9 million and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14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62" w:lineRule="exact"/>
        <w:rPr>
          <w:sz w:val="20"/>
          <w:szCs w:val="20"/>
          <w:color w:val="auto"/>
        </w:rPr>
      </w:pPr>
    </w:p>
    <w:p>
      <w:pPr>
        <w:ind w:left="1040" w:hanging="519"/>
        <w:spacing w:after="0"/>
        <w:tabs>
          <w:tab w:leader="none" w:pos="104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Pursue the development of MN-166 (ibudilast) for multiple potential indications with the support of non-dilutive financings.</w:t>
      </w:r>
    </w:p>
    <w:p>
      <w:pPr>
        <w:spacing w:after="0" w:line="225" w:lineRule="exact"/>
        <w:rPr>
          <w:rFonts w:ascii="Arial" w:cs="Arial" w:eastAsia="Arial" w:hAnsi="Arial"/>
          <w:sz w:val="18"/>
          <w:szCs w:val="18"/>
          <w:color w:val="auto"/>
        </w:rPr>
      </w:pPr>
    </w:p>
    <w:p>
      <w:pPr>
        <w:ind w:left="1040" w:right="60"/>
        <w:spacing w:after="0" w:line="255" w:lineRule="auto"/>
        <w:rPr>
          <w:rFonts w:ascii="Arial" w:cs="Arial" w:eastAsia="Arial" w:hAnsi="Arial"/>
          <w:sz w:val="18"/>
          <w:szCs w:val="18"/>
          <w:color w:val="auto"/>
        </w:rPr>
      </w:pPr>
      <w:r>
        <w:rPr>
          <w:rFonts w:ascii="Arial" w:cs="Arial" w:eastAsia="Arial" w:hAnsi="Arial"/>
          <w:sz w:val="18"/>
          <w:szCs w:val="18"/>
          <w:color w:val="auto"/>
        </w:rPr>
        <w:t>We intend to advance our diverse MN-166 (ibudilast) program through a combination of investigator-sponsored clinical trials, trials funded through government grants or other grants, and trials funded by us. In addition to providing drug supply and regulatory support, we are funding portions of the consortium-sponsored trials. For example, we have contributed financially to the Secondary and Primary Progressive Ibudilast NeuroNEXT Trial in Multiple Sclerosis (SPRINT-MS) Phase 2 clinical trial of MN-166 (ibudilast) for the treatment of progressive MS, which is primarily funded by the NIH. In addition, we are contributing financially to the ongoing clinical trial of MN-166 (ibudilast) for the treatment of ALS as well as the ongoing ALS / Biomarker study. We intend to pursue additional strategic alliances to help support further clinical development of MN-166 (ibudilast).</w:t>
      </w:r>
    </w:p>
    <w:p>
      <w:pPr>
        <w:spacing w:after="0" w:line="81" w:lineRule="exact"/>
        <w:rPr>
          <w:rFonts w:ascii="Arial" w:cs="Arial" w:eastAsia="Arial" w:hAnsi="Arial"/>
          <w:sz w:val="18"/>
          <w:szCs w:val="18"/>
          <w:color w:val="auto"/>
        </w:rPr>
      </w:pPr>
    </w:p>
    <w:p>
      <w:pPr>
        <w:ind w:left="1040" w:hanging="55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Pursue the development of MN-001 (tipelukast) for fibrotic diseases such as NASH and IPF.</w:t>
      </w:r>
    </w:p>
    <w:p>
      <w:pPr>
        <w:spacing w:after="0" w:line="117" w:lineRule="exact"/>
        <w:rPr>
          <w:rFonts w:ascii="Arial" w:cs="Arial" w:eastAsia="Arial" w:hAnsi="Arial"/>
          <w:sz w:val="18"/>
          <w:szCs w:val="18"/>
          <w:color w:val="auto"/>
        </w:rPr>
      </w:pPr>
    </w:p>
    <w:p>
      <w:pPr>
        <w:ind w:left="1040" w:right="40"/>
        <w:spacing w:after="0" w:line="277" w:lineRule="auto"/>
        <w:rPr>
          <w:rFonts w:ascii="Arial" w:cs="Arial" w:eastAsia="Arial" w:hAnsi="Arial"/>
          <w:sz w:val="18"/>
          <w:szCs w:val="18"/>
          <w:color w:val="auto"/>
        </w:rPr>
      </w:pPr>
      <w:r>
        <w:rPr>
          <w:rFonts w:ascii="Arial" w:cs="Arial" w:eastAsia="Arial" w:hAnsi="Arial"/>
          <w:sz w:val="18"/>
          <w:szCs w:val="18"/>
          <w:color w:val="auto"/>
        </w:rPr>
        <w:t>We intend to advance development of MN-001 (tipelukast) through a variety of means, which may include investigator-sponsored trials with or without grant funding as well as trials funded by us.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ind w:left="1040" w:right="74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Consider strategic partnerships with one or more leading pharmaceutical companies to complete late-stage product development and successfully commercialize our products.</w:t>
      </w:r>
    </w:p>
    <w:p>
      <w:pPr>
        <w:spacing w:after="0" w:line="62" w:lineRule="exact"/>
        <w:rPr>
          <w:rFonts w:ascii="Arial" w:cs="Arial" w:eastAsia="Arial" w:hAnsi="Arial"/>
          <w:sz w:val="18"/>
          <w:szCs w:val="18"/>
          <w:color w:val="auto"/>
        </w:rPr>
      </w:pPr>
    </w:p>
    <w:p>
      <w:pPr>
        <w:ind w:left="1040" w:right="380"/>
        <w:spacing w:after="0" w:line="259" w:lineRule="auto"/>
        <w:rPr>
          <w:rFonts w:ascii="Arial" w:cs="Arial" w:eastAsia="Arial" w:hAnsi="Arial"/>
          <w:sz w:val="18"/>
          <w:szCs w:val="18"/>
          <w:color w:val="auto"/>
        </w:rPr>
      </w:pPr>
      <w:r>
        <w:rPr>
          <w:rFonts w:ascii="Arial" w:cs="Arial" w:eastAsia="Arial" w:hAnsi="Arial"/>
          <w:sz w:val="18"/>
          <w:szCs w:val="18"/>
          <w:color w:val="auto"/>
        </w:rPr>
        <w:t>We develop and maintain relationships with pharmaceutical companies that are therapeutic category leaders. Upon completion of proof-of-concept Phase 2 clinical trials, we intend to discuss strategic alliances with leading pharmaceutical companies who seek late-stage product candidates, such as MN-166, MN-001, MN-221 and MN-029, which could support further clinical development and product commercialization.</w:t>
      </w:r>
    </w:p>
    <w:p>
      <w:pPr>
        <w:spacing w:after="0" w:line="18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We entered into an agreement to form a joint venture company with Zhejiang Medicine Co., Ltd. and Beijing Medfron Medical Technologies Co., Ltd. (formerly Beijing Make-Friend Medicine Technology Co., Ltd.) effective September 27, 2011. The joint venture agreement provides for the joint venture company, Zhejiang Sunmy Bio-Medical Co., Ltd. (“Zhejiang Sunmy”), to develop and commercialize MN-221 in China and search for additional compounds to develop. A sublicense would be required under which Zhejiang Sunmy would license MN-221 from us. In accordance with the joint venture agreement, in March 2012 we paid $680,000 for our 30% interest in Zhejiang Sunmy. The other parties to the joint venture agreement provided funding for their combined 70% interest. In December 2013, the Board of Directors of Zhejiang Sunmy agreed to amend the joint venture agreement to allow for the departure of Zhejiang Medicine Co., Ltd. subject to the approval of the government of the People’s Republic of China. In August 2014, the Chinese government approved the amendment to the joint venture agreement to allow for the departure of Zhejiang Medicine Co., Ltd. and for Beijing Medfron Medical Technologies Co., Ltd. and MediciNova to each have a 50% interest in Zhejiang Sunmy. No additional capital was contributed by either remaining party. We have not entered into the sublicense of MN-221 with Zhejiang Sunmy as of the date of this report.</w:t>
      </w:r>
    </w:p>
    <w:p>
      <w:pPr>
        <w:spacing w:after="0" w:line="178"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Zhejiang Sunmy is a variable interest entity for which we are not the primary beneficiary as we do not have a majority of the board seats and we do not have power to direct or significantly influence the actions of the entity. We therefore account for the activities of Zhejiang Sunmy under the equity method whereby we absorb any loss or income generated by Zhejiang Sunmy according to our percentage ownership. At September 30, 2017, we reflect a long-term asset on our consolidated balance sheet which represents our investment in Zhejiang Sunmy, net of our portion of any generated loss or income. On July 24, 2017, the Company and Beijing Medfron Medical Technologies Co., Ltd. agreed to dissolve Zhejiang Sunmy, subject to approval by applicable Chinese regulatory authorities.</w:t>
      </w:r>
    </w:p>
    <w:p>
      <w:pPr>
        <w:spacing w:after="0" w:line="193" w:lineRule="exact"/>
        <w:rPr>
          <w:sz w:val="20"/>
          <w:szCs w:val="20"/>
          <w:color w:val="auto"/>
        </w:rPr>
      </w:pPr>
    </w:p>
    <w:p>
      <w:pPr>
        <w:ind w:right="380" w:firstLine="518"/>
        <w:spacing w:after="0" w:line="308" w:lineRule="auto"/>
        <w:rPr>
          <w:sz w:val="20"/>
          <w:szCs w:val="20"/>
          <w:color w:val="auto"/>
        </w:rPr>
      </w:pPr>
      <w:r>
        <w:rPr>
          <w:rFonts w:ascii="Arial" w:cs="Arial" w:eastAsia="Arial" w:hAnsi="Arial"/>
          <w:sz w:val="17"/>
          <w:szCs w:val="17"/>
          <w:color w:val="auto"/>
        </w:rPr>
        <w:t>Upon completion of proof-of-concept Phase 2 clinical trials, we intend to discuss strategic alliances with leading pharmaceutical or biotechnology companies who seek late stage product candidates which could support further clinical development and product commercialization.</w:t>
      </w:r>
    </w:p>
    <w:p>
      <w:pPr>
        <w:spacing w:after="0" w:line="147"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Depending on decisions we may make as to further clinical development, we may seek to raise additional capital. We may also pursue potential partnerships and potential acquirers of license rights to our programs in markets outside the United States.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117"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In October 2011, we entered into an agreement with Kissei to perform research and development services relating to MN-221 in exchange for a non-refundable upfront payment of $2.5 million. Under the terms of the agreement, we are responsible for all costs incurred and to be incurred in the performance of these services. Certain of the development services were completed in 2013 and 2012, and the remaining services are expected to be delivered and completed at a future date. We assessed the deliverables in accordance with the authoritative guidance and concluded the existence of one deliverable, which was research and development services. The $2.5 million was initially recorded as deferred revenue of which $0.8 million was recognized through 2013. No revenue associated with the Kissei agreement was recorded for the three and nine months ended September 30, 2017 and 2016.</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117" w:lineRule="exact"/>
        <w:rPr>
          <w:sz w:val="20"/>
          <w:szCs w:val="20"/>
          <w:color w:val="auto"/>
        </w:rPr>
      </w:pPr>
    </w:p>
    <w:p>
      <w:pPr>
        <w:ind w:right="80" w:firstLine="518"/>
        <w:spacing w:after="0" w:line="253" w:lineRule="auto"/>
        <w:rPr>
          <w:sz w:val="20"/>
          <w:szCs w:val="20"/>
          <w:color w:val="auto"/>
        </w:rPr>
      </w:pPr>
      <w:r>
        <w:rPr>
          <w:rFonts w:ascii="Arial" w:cs="Arial" w:eastAsia="Arial" w:hAnsi="Arial"/>
          <w:sz w:val="18"/>
          <w:szCs w:val="18"/>
          <w:color w:val="auto"/>
        </w:rPr>
        <w:t>Our research, development and patent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 costs are expensed as incurred and we expect to increase such costs throughout 2017 as our development programs progress.</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3" w:name="page14"/>
    <w:bookmarkEnd w:id="13"/>
    <w:p>
      <w:pPr>
        <w:ind w:right="20" w:firstLine="518"/>
        <w:spacing w:after="0" w:line="264" w:lineRule="auto"/>
        <w:rPr>
          <w:sz w:val="20"/>
          <w:szCs w:val="20"/>
          <w:color w:val="auto"/>
        </w:rPr>
      </w:pPr>
      <w:r>
        <w:rPr>
          <w:rFonts w:ascii="Arial" w:cs="Arial" w:eastAsia="Arial" w:hAnsi="Arial"/>
          <w:sz w:val="18"/>
          <w:szCs w:val="18"/>
          <w:color w:val="auto"/>
        </w:rPr>
        <w:t>The following table summarizes our research, development and patent expenses for the periods indicated for each of our product development programs. To the extent that costs, including personnel costs, are not tracked to a specific product development program, such costs are included in the “Other R&amp;D expense” category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340" w:type="dxa"/>
            <w:vAlign w:val="bottom"/>
            <w:gridSpan w:val="4"/>
          </w:tcPr>
          <w:p>
            <w:pPr>
              <w:jc w:val="right"/>
              <w:ind w:right="305"/>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56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485"/>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62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2017</w:t>
            </w:r>
          </w:p>
        </w:tc>
        <w:tc>
          <w:tcPr>
            <w:tcW w:w="400" w:type="dxa"/>
            <w:vAlign w:val="bottom"/>
          </w:tcPr>
          <w:p>
            <w:pPr>
              <w:spacing w:after="0"/>
              <w:rPr>
                <w:sz w:val="13"/>
                <w:szCs w:val="13"/>
                <w:color w:val="auto"/>
              </w:rPr>
            </w:pPr>
          </w:p>
        </w:tc>
        <w:tc>
          <w:tcPr>
            <w:tcW w:w="11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jc w:val="right"/>
              <w:ind w:right="332"/>
              <w:spacing w:after="0" w:line="155"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3"/>
                <w:szCs w:val="13"/>
                <w:color w:val="auto"/>
              </w:rPr>
            </w:pPr>
          </w:p>
        </w:tc>
      </w:tr>
      <w:tr>
        <w:trPr>
          <w:trHeight w:val="223"/>
        </w:trPr>
        <w:tc>
          <w:tcPr>
            <w:tcW w:w="5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External development expense:</w:t>
            </w:r>
          </w:p>
        </w:tc>
        <w:tc>
          <w:tcPr>
            <w:tcW w:w="80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620" w:type="dxa"/>
            <w:vAlign w:val="bottom"/>
          </w:tcPr>
          <w:p>
            <w:pPr>
              <w:ind w:left="380"/>
              <w:spacing w:after="0"/>
              <w:rPr>
                <w:sz w:val="20"/>
                <w:szCs w:val="20"/>
                <w:color w:val="auto"/>
              </w:rPr>
            </w:pPr>
            <w:r>
              <w:rPr>
                <w:rFonts w:ascii="Arial" w:cs="Arial" w:eastAsia="Arial" w:hAnsi="Arial"/>
                <w:sz w:val="18"/>
                <w:szCs w:val="18"/>
                <w:color w:val="auto"/>
              </w:rPr>
              <w:t>MN-221</w:t>
            </w:r>
          </w:p>
        </w:tc>
        <w:tc>
          <w:tcPr>
            <w:tcW w:w="800" w:type="dxa"/>
            <w:vAlign w:val="bottom"/>
          </w:tcPr>
          <w:p>
            <w:pPr>
              <w:jc w:val="right"/>
              <w:ind w:right="647"/>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140" w:type="dxa"/>
            <w:vAlign w:val="bottom"/>
            <w:gridSpan w:val="2"/>
          </w:tcPr>
          <w:p>
            <w:pPr>
              <w:jc w:val="right"/>
              <w:ind w:right="705"/>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5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w:t>
            </w:r>
          </w:p>
        </w:tc>
        <w:tc>
          <w:tcPr>
            <w:tcW w:w="76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r>
      <w:tr>
        <w:trPr>
          <w:trHeight w:val="230"/>
        </w:trPr>
        <w:tc>
          <w:tcPr>
            <w:tcW w:w="5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MN-166</w:t>
            </w:r>
          </w:p>
        </w:tc>
        <w:tc>
          <w:tcPr>
            <w:tcW w:w="8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714</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120" w:type="dxa"/>
            <w:vAlign w:val="bottom"/>
            <w:shd w:val="clear" w:color="auto" w:fill="CFF0FC"/>
          </w:tcPr>
          <w:p>
            <w:pPr>
              <w:spacing w:after="0"/>
              <w:rPr>
                <w:sz w:val="19"/>
                <w:szCs w:val="19"/>
                <w:color w:val="auto"/>
              </w:rPr>
            </w:pPr>
          </w:p>
        </w:tc>
      </w:tr>
      <w:tr>
        <w:trPr>
          <w:trHeight w:val="230"/>
        </w:trPr>
        <w:tc>
          <w:tcPr>
            <w:tcW w:w="5620" w:type="dxa"/>
            <w:vAlign w:val="bottom"/>
          </w:tcPr>
          <w:p>
            <w:pPr>
              <w:ind w:left="380"/>
              <w:spacing w:after="0"/>
              <w:rPr>
                <w:sz w:val="20"/>
                <w:szCs w:val="20"/>
                <w:color w:val="auto"/>
              </w:rPr>
            </w:pPr>
            <w:r>
              <w:rPr>
                <w:rFonts w:ascii="Arial" w:cs="Arial" w:eastAsia="Arial" w:hAnsi="Arial"/>
                <w:sz w:val="18"/>
                <w:szCs w:val="18"/>
                <w:color w:val="auto"/>
              </w:rPr>
              <w:t>MN-001</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175</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60</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19"/>
                <w:szCs w:val="19"/>
                <w:color w:val="auto"/>
              </w:rPr>
            </w:pPr>
          </w:p>
        </w:tc>
      </w:tr>
      <w:tr>
        <w:trPr>
          <w:trHeight w:val="230"/>
        </w:trPr>
        <w:tc>
          <w:tcPr>
            <w:tcW w:w="56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MN-029</w:t>
            </w:r>
          </w:p>
        </w:tc>
        <w:tc>
          <w:tcPr>
            <w:tcW w:w="80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Total external development expense</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468</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251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1,002</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19"/>
                <w:szCs w:val="19"/>
                <w:color w:val="auto"/>
              </w:rPr>
            </w:pP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R&amp;D personnel expense</w:t>
            </w:r>
          </w:p>
        </w:tc>
        <w:tc>
          <w:tcPr>
            <w:tcW w:w="8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682</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1,732</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1,729</w:t>
            </w:r>
          </w:p>
        </w:tc>
        <w:tc>
          <w:tcPr>
            <w:tcW w:w="120" w:type="dxa"/>
            <w:vAlign w:val="bottom"/>
            <w:shd w:val="clear" w:color="auto" w:fill="CFF0FC"/>
          </w:tcPr>
          <w:p>
            <w:pPr>
              <w:spacing w:after="0"/>
              <w:rPr>
                <w:sz w:val="19"/>
                <w:szCs w:val="19"/>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R&amp;D facility and depreciation expense</w:t>
            </w:r>
          </w:p>
        </w:tc>
        <w:tc>
          <w:tcPr>
            <w:tcW w:w="8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r>
      <w:tr>
        <w:trPr>
          <w:trHeight w:val="230"/>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Patent expenses</w:t>
            </w:r>
          </w:p>
        </w:tc>
        <w:tc>
          <w:tcPr>
            <w:tcW w:w="800" w:type="dxa"/>
            <w:vAlign w:val="bottom"/>
            <w:shd w:val="clear" w:color="auto" w:fill="CFF0FC"/>
          </w:tcPr>
          <w:p>
            <w:pPr>
              <w:spacing w:after="0"/>
              <w:rPr>
                <w:sz w:val="19"/>
                <w:szCs w:val="19"/>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FF0FC"/>
          </w:tcPr>
          <w:p>
            <w:pPr>
              <w:spacing w:after="0"/>
              <w:rPr>
                <w:sz w:val="19"/>
                <w:szCs w:val="19"/>
                <w:color w:val="auto"/>
              </w:rPr>
            </w:pPr>
          </w:p>
        </w:tc>
      </w:tr>
      <w:tr>
        <w:trPr>
          <w:trHeight w:val="230"/>
        </w:trPr>
        <w:tc>
          <w:tcPr>
            <w:tcW w:w="5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R&amp;D expense</w:t>
            </w:r>
          </w:p>
        </w:tc>
        <w:tc>
          <w:tcPr>
            <w:tcW w:w="8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8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FF0FC"/>
            </w:tcBorders>
          </w:tcPr>
          <w:p>
            <w:pPr>
              <w:spacing w:after="0"/>
              <w:rPr>
                <w:sz w:val="19"/>
                <w:szCs w:val="19"/>
                <w:color w:val="auto"/>
              </w:rPr>
            </w:pPr>
          </w:p>
        </w:tc>
      </w:tr>
      <w:tr>
        <w:trPr>
          <w:trHeight w:val="223"/>
        </w:trPr>
        <w:tc>
          <w:tcPr>
            <w:tcW w:w="56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development and patent expense</w:t>
            </w: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1,268</w:t>
            </w:r>
          </w:p>
        </w:tc>
        <w:tc>
          <w:tcPr>
            <w:tcW w:w="2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5"/>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3,066</w:t>
            </w:r>
          </w:p>
        </w:tc>
        <w:tc>
          <w:tcPr>
            <w:tcW w:w="2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2,928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Our general and administrative costs primarily consist of salaries, stock-based compensation,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81" w:lineRule="exact"/>
        <w:rPr>
          <w:sz w:val="20"/>
          <w:szCs w:val="20"/>
          <w:color w:val="auto"/>
        </w:rPr>
      </w:pPr>
    </w:p>
    <w:p>
      <w:pPr>
        <w:ind w:right="360" w:firstLine="518"/>
        <w:spacing w:after="0" w:line="264" w:lineRule="auto"/>
        <w:rPr>
          <w:sz w:val="20"/>
          <w:szCs w:val="20"/>
          <w:color w:val="auto"/>
        </w:rPr>
      </w:pPr>
      <w:r>
        <w:rPr>
          <w:rFonts w:ascii="Arial" w:cs="Arial" w:eastAsia="Arial" w:hAnsi="Arial"/>
          <w:sz w:val="18"/>
          <w:szCs w:val="18"/>
          <w:color w:val="auto"/>
        </w:rPr>
        <w:t>Our general and administrative expenses may increase in future periods if we are required to expand our infrastructure based on the success of our product development programs and in raising capital to support our product development programs or otherwise in connection with increased business development activities related to partnering, out-licensing or product disposition.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is based upon financial statements that have been prepared in accordance with accounting principles generally accepted in the United States (GAAP). The preparation of these financial statements requires management to make estimates and judgments that affect the reported amounts of assets, liabilities and expenses, and related disclosures. On an on-going basis, we evaluate these estimates, including those related to research and development and patent expense, stock-based compensation, goodwill and purchased intangibles, lease related activities, investments, and fixed assets. Estimates are based on historical experience, information received from third parties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items in our financial statements requiring significant estimates and judgments are as follows: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117"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color w:val="auto"/>
        </w:rPr>
        <w:t>Research, development and patent costs are expensed as incurred based on contractual factors such as estimates of work performed, milestones achieved, patient enrollment and experience with similar contracts. As actual costs become known, accruals are adjusted. To date, our accrued research, development and patent expenses have not differed significantly from the actual expenses incurred.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We grant options to purchase our common stock to our employees and directors under our 2013 Stock Incentive Plan. Additionally, we have outstanding stock options that were granted under our Amended and Restated 2004 Stock Incentive Plan. Under our 2007 Employee Stock Purchase Plan, full-time employees are permitted to purchase common stock through payroll deductions at the lower of 85% of fair market value at the beginning of the offering period or the end of each six-month offering period. The benefits provided under all of these plans require stock-based compensation for an award of equity instruments, including stock options and employee stock purchase rights issued to employees, to be recognized as a cost in the consolidated financial statements. The cost of these awards is measured according to the grant date fair value of the stock award and is recognized on a straight-line basis over the period during which an employee is required to provide service in exchange for the award, which is usually the vesting</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 w:name="page15"/>
    <w:bookmarkEnd w:id="14"/>
    <w:p>
      <w:pPr>
        <w:ind w:right="40"/>
        <w:spacing w:after="0" w:line="273" w:lineRule="auto"/>
        <w:rPr>
          <w:sz w:val="20"/>
          <w:szCs w:val="20"/>
          <w:color w:val="auto"/>
        </w:rPr>
      </w:pPr>
      <w:r>
        <w:rPr>
          <w:rFonts w:ascii="Arial" w:cs="Arial" w:eastAsia="Arial" w:hAnsi="Arial"/>
          <w:sz w:val="17"/>
          <w:szCs w:val="17"/>
          <w:color w:val="auto"/>
        </w:rPr>
        <w:t>period. We occasionally issue employee performance-based stock options, the vesting of which is based on a determination made by our board of directors as to the achievement of certain corporate objectives. The grant date of such awards is the date on which our board of directors makes its determination. For periods preceding the grant date, the expenses related to these awards is measured based on their fair value at each reporting date. In the absence of an observable market price for the stock award, the grant date fair value of the award would be based upon a valuation methodology that takes into consideration various factors, including the exercise price of the award, the expected term of the award, the current price of the underlying shares, the expected volatility of the underlying share price, the expected dividends on the underlying shares and the risk-free interest rate.</w:t>
      </w:r>
    </w:p>
    <w:p>
      <w:pPr>
        <w:spacing w:after="0" w:line="178"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Valuation of our stock option grants requires us to estimate certain variables, such as estimated volatility and expected life. If any of our estimations change, such changes could have a significant impact on the amount of stock-based compensation expense that we recognize.</w:t>
      </w:r>
    </w:p>
    <w:p>
      <w:pPr>
        <w:spacing w:after="0" w:line="147" w:lineRule="exact"/>
        <w:rPr>
          <w:sz w:val="20"/>
          <w:szCs w:val="20"/>
          <w:color w:val="auto"/>
        </w:rPr>
      </w:pPr>
    </w:p>
    <w:p>
      <w:pPr>
        <w:jc w:val="both"/>
        <w:ind w:right="220" w:firstLine="518"/>
        <w:spacing w:after="0" w:line="312" w:lineRule="auto"/>
        <w:rPr>
          <w:sz w:val="20"/>
          <w:szCs w:val="20"/>
          <w:color w:val="auto"/>
        </w:rPr>
      </w:pPr>
      <w:r>
        <w:rPr>
          <w:rFonts w:ascii="Arial" w:cs="Arial" w:eastAsia="Arial" w:hAnsi="Arial"/>
          <w:sz w:val="16"/>
          <w:szCs w:val="16"/>
          <w:color w:val="auto"/>
        </w:rPr>
        <w:t>A total of 2,500,000 shares of common stock were initially reserved for issuance under the 2013 Plan. At the annual meeting of stockholders held in June 2017, the Company’s stockholders approved an amendment to the 2013 Plan to increase the number of shares of common stock reserved for issuance under the plan by 1,200,000 shares. As of September 30, 2017, 1,250,592 shares remain available for future grant under the 2013 Plan.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Intangibles</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Goodwill is recorded when the consideration paid for an acquisition exceeds the fair value of the identified net tangible and intangible assets of an acquired business. The allocation of purchase price for acquisitions requires extensive use of accounting estimates and judgments to allocate the purchase price to the identifiable tangible and intangible assets acquired and liabilities assumed based on their respective fair values. Additionally, we must determine whether an acquired entity is considered to be a business or a set of net assets as a portion of the purchase price can only be allocated to goodwill in a business combination. Goodwill and intangible assets deemed to have indefinite lives, such as in-process research and development or IPR&amp;D are not amortized, but are subject to annual impairment tests. The amounts and useful lives assigned to intangible assets that have finite useful lives require the use of estimates and the exercise of judgment. These judgments can significantly affect our net operating results. As of September 30, 2017, goodwill and in-process research and development, or IPR&amp;D, were $9.6 million and $4.8 million, respectively.</w:t>
      </w:r>
    </w:p>
    <w:p>
      <w:pPr>
        <w:spacing w:after="0" w:line="179" w:lineRule="exact"/>
        <w:rPr>
          <w:sz w:val="20"/>
          <w:szCs w:val="20"/>
          <w:color w:val="auto"/>
        </w:rPr>
      </w:pPr>
    </w:p>
    <w:p>
      <w:pPr>
        <w:ind w:right="180" w:firstLine="518"/>
        <w:spacing w:after="0" w:line="302" w:lineRule="auto"/>
        <w:rPr>
          <w:sz w:val="20"/>
          <w:szCs w:val="20"/>
          <w:color w:val="auto"/>
        </w:rPr>
      </w:pPr>
      <w:r>
        <w:rPr>
          <w:rFonts w:ascii="Arial" w:cs="Arial" w:eastAsia="Arial" w:hAnsi="Arial"/>
          <w:sz w:val="16"/>
          <w:szCs w:val="16"/>
          <w:color w:val="auto"/>
        </w:rPr>
        <w:t>We periodically re-evaluate the original assumptions and rationale utilized in the establishment of the carrying value and estimated lives of our long-lived assets. The criteria used for these evaluations include management’s estimate of the asset’s continuing ability to generate income from operations and positive cash flows in future periods as well as the strategic significance of any intangible assets in our business objectives. If assets are considered to be impaired, the impairment recognized is the amount by which the carrying value of the assets exceeds the fair value of the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2017 and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 Expenses</w:t>
      </w:r>
    </w:p>
    <w:p>
      <w:pPr>
        <w:spacing w:after="0" w:line="117"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Research, development and patent expenses were $1.3 million and $0.9 million for the three months ended September 30, 2017 and 2016, respectively. This $0.4 million increase was due to an increase in clinical trial activities related to the MN-001 and MN-166 trials in the three months ended September 30, 2017, compared to the same period in 2016.</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jc w:val="both"/>
        <w:ind w:right="200" w:firstLine="518"/>
        <w:spacing w:after="0" w:line="312" w:lineRule="auto"/>
        <w:rPr>
          <w:sz w:val="20"/>
          <w:szCs w:val="20"/>
          <w:color w:val="auto"/>
        </w:rPr>
      </w:pPr>
      <w:r>
        <w:rPr>
          <w:rFonts w:ascii="Arial" w:cs="Arial" w:eastAsia="Arial" w:hAnsi="Arial"/>
          <w:sz w:val="16"/>
          <w:szCs w:val="16"/>
          <w:color w:val="auto"/>
        </w:rPr>
        <w:t>General and administrative expenses were $2.5 million and $2.0 million for the three months ended September 30, 2017 and 2016, respectively. The increase of $0.5 million was driven by primarily by higher stock compensation expense for performance-based stock options as well as an increase in legal fees related to the Company’s SEC filings and other legal matters for the three months ended September 30, 2017 relative to the same period in 2016.</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2017 and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 Expenses</w:t>
      </w:r>
    </w:p>
    <w:p>
      <w:pPr>
        <w:spacing w:after="0" w:line="117" w:lineRule="exact"/>
        <w:rPr>
          <w:sz w:val="20"/>
          <w:szCs w:val="20"/>
          <w:color w:val="auto"/>
        </w:rPr>
      </w:pPr>
    </w:p>
    <w:p>
      <w:pPr>
        <w:jc w:val="both"/>
        <w:ind w:right="60" w:firstLine="518"/>
        <w:spacing w:after="0" w:line="264" w:lineRule="auto"/>
        <w:rPr>
          <w:sz w:val="20"/>
          <w:szCs w:val="20"/>
          <w:color w:val="auto"/>
        </w:rPr>
      </w:pPr>
      <w:r>
        <w:rPr>
          <w:rFonts w:ascii="Arial" w:cs="Arial" w:eastAsia="Arial" w:hAnsi="Arial"/>
          <w:sz w:val="18"/>
          <w:szCs w:val="18"/>
          <w:color w:val="auto"/>
        </w:rPr>
        <w:t>Research, development and patent expenses were $3.1 million and $2.9 million for the nine months ended September 30, 2017 and 2016, respectively. This $0.2 million increase was due to an increase in clinical trial activities related to the MN-001 and MN-166 trials in the nine months ended September 30, 2017, compared to the same period in 2016.</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General and administrative expenses were $6.6 million and $6.5 million for the nine months ended September 30, 2017 and 2016, respectively. The increase of $0.1 million was driven by an increase in legal fees related to the Company’s SEC filings and other legal matters.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Net cash used in operating activities during the nine months ended September 30, 2017 was $5.9 million compared to $5.5 million during the same period in 2016. Net cash used in operating activities primarily reflects the net loss for those periods, which was partially offset by non-cash stock-based compensation expense and changes in operating assets and liabilities.</w:t>
      </w:r>
    </w:p>
    <w:p>
      <w:pPr>
        <w:spacing w:after="0" w:line="181" w:lineRule="exact"/>
        <w:rPr>
          <w:sz w:val="20"/>
          <w:szCs w:val="20"/>
          <w:color w:val="auto"/>
        </w:rPr>
      </w:pPr>
    </w:p>
    <w:p>
      <w:pPr>
        <w:ind w:right="360" w:firstLine="518"/>
        <w:spacing w:after="0" w:line="297" w:lineRule="auto"/>
        <w:rPr>
          <w:sz w:val="20"/>
          <w:szCs w:val="20"/>
          <w:color w:val="auto"/>
        </w:rPr>
      </w:pPr>
      <w:r>
        <w:rPr>
          <w:rFonts w:ascii="Arial" w:cs="Arial" w:eastAsia="Arial" w:hAnsi="Arial"/>
          <w:sz w:val="16"/>
          <w:szCs w:val="16"/>
          <w:color w:val="auto"/>
        </w:rPr>
        <w:t>Net cash provided by financing activities was $6.3 million during the nine months ended September 30, 2017 compared to $8.4 million during the same period in 2016. Net cash provided by financing activities during the nine months ended September 30, 2016 was primarily due to the exercise of 2,131,700 warrants and 172,585 stock options for gross proceeds of $7.6 million and $0.8 million, respectively. Net cash provided by financing activities during the nine months ended September 30, 2017 is primarily due to the issuance of 1,096,922 shares of common stock under the at-the-market sales agreement for net proceeds of $6.1 million. Cash proceeds from financing activities are used for working capital and general corporate purposes.</w:t>
      </w:r>
    </w:p>
    <w:p>
      <w:pPr>
        <w:spacing w:after="0" w:line="158"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On May 22, 2015, we entered into an at-the-market issuance sales agreement with MLV &amp; Co. LLC, or MLV, pursuant to which we may sell common stock through MLV from time to time up to an aggregate offering price of $30.0 million. Sales of our common stock through MLV, if any, will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our prior approval. We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 We are not obligated to make any sales of common stock under the sales agreement and may terminate the sales agreement at any time upon written notice. On September 16, 2016, we entered into an amendment No.1 to the original sales agreement with MLV to also include FBR Capital Markets &amp; Co. as a sales agent.</w:t>
      </w:r>
    </w:p>
    <w:p>
      <w:pPr>
        <w:spacing w:after="0" w:line="182"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 xml:space="preserve">For the nine months ended September 30, 2017, we generated gross proceeds of $6.4 million and incurred issuance costs of $0.3 million under this agreement on sales of 1,096,922 shares of our common stock at a weighted average price of $5.79 per share. Subsequent to September 30, 2017, we have generated gross proceeds of $2.8 million on sales of </w:t>
      </w:r>
      <w:r>
        <w:rPr>
          <w:rFonts w:ascii="Arial" w:cs="Arial" w:eastAsia="Arial" w:hAnsi="Arial"/>
          <w:sz w:val="18"/>
          <w:szCs w:val="18"/>
          <w:color w:val="1F497D"/>
        </w:rPr>
        <w:t>428,468</w:t>
      </w:r>
      <w:r>
        <w:rPr>
          <w:rFonts w:ascii="Arial" w:cs="Arial" w:eastAsia="Arial" w:hAnsi="Arial"/>
          <w:sz w:val="18"/>
          <w:szCs w:val="18"/>
          <w:color w:val="auto"/>
        </w:rPr>
        <w:t xml:space="preserve"> of our common stock through October 20, 2017. No shares of common stock were sold under this agreement in the nine months ended September 30, 2016.</w:t>
      </w:r>
    </w:p>
    <w:p>
      <w:pPr>
        <w:spacing w:after="0" w:line="187"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222222"/>
        </w:rPr>
        <w:t>Additionally, on September 22, 2017, we filed a shelf registration statement (the “Shelf Registration Statement”) on Form S-3 with the SEC that was declared effective by the SEC on October 2, 2017, which permits us to offer up to $200 million of common stock, preferred stock, debt securities and warrants in one or more offerings and in any combination, including in units from time to time. Our Shelf Registration Statement is intended to provide us with additional flexibility to access capital markets for general corporate purposes, which may include, among other purposes, working capital, capital expenditures, other corporate expenses and acquisitions of assets, licenses, products, technologies or businesses.</w:t>
      </w:r>
    </w:p>
    <w:p>
      <w:pPr>
        <w:spacing w:after="0" w:line="173" w:lineRule="exact"/>
        <w:rPr>
          <w:sz w:val="20"/>
          <w:szCs w:val="20"/>
          <w:color w:val="auto"/>
        </w:rPr>
      </w:pPr>
    </w:p>
    <w:p>
      <w:pPr>
        <w:jc w:val="both"/>
        <w:ind w:right="300" w:firstLine="518"/>
        <w:spacing w:after="0" w:line="286" w:lineRule="auto"/>
        <w:rPr>
          <w:sz w:val="20"/>
          <w:szCs w:val="20"/>
          <w:color w:val="auto"/>
        </w:rPr>
      </w:pPr>
      <w:r>
        <w:rPr>
          <w:rFonts w:ascii="Arial" w:cs="Arial" w:eastAsia="Arial" w:hAnsi="Arial"/>
          <w:sz w:val="17"/>
          <w:szCs w:val="17"/>
          <w:color w:val="auto"/>
        </w:rPr>
        <w:t>As of September 30, 2017, we had available cash and cash equivalents of $24.5 million and working capital of $23.3 million. As of the date of this report, we believe we have working capital sufficient to fund operations at least through December 31, 2019. However, we cannot provide assurance that these capital resources will be sufficient to conduct all of our research and development programs as planned.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At September 30, 2017,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773" w:right="259" w:bottom="1440" w:gutter="0" w:footer="0" w:header="0"/>
        </w:sectPr>
      </w:pPr>
    </w:p>
    <w:bookmarkStart w:id="16" w:name="page17"/>
    <w:bookmarkEnd w:id="16"/>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Our primary exposure to market risks due to changes in interest rates, which relates primarily to the increase or decrease in the amount of interest income we can earn on our investment portfolio. The primary objective of our investment activities is to preserve principal. Our risk associated with fluctuating interest rates is limited to our investments in interest rate sensitive financial instruments and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interest-rate sensitive financial instruments due to their relatively short term nature.</w:t>
      </w:r>
    </w:p>
    <w:p>
      <w:pPr>
        <w:spacing w:after="0" w:line="193" w:lineRule="exact"/>
        <w:rPr>
          <w:sz w:val="20"/>
          <w:szCs w:val="20"/>
          <w:color w:val="auto"/>
        </w:rPr>
      </w:pPr>
    </w:p>
    <w:p>
      <w:pPr>
        <w:jc w:val="both"/>
        <w:ind w:right="180" w:firstLine="518"/>
        <w:spacing w:after="0" w:line="264" w:lineRule="auto"/>
        <w:rPr>
          <w:sz w:val="20"/>
          <w:szCs w:val="20"/>
          <w:color w:val="auto"/>
        </w:rPr>
      </w:pPr>
      <w:r>
        <w:rPr>
          <w:rFonts w:ascii="Arial" w:cs="Arial" w:eastAsia="Arial" w:hAnsi="Arial"/>
          <w:sz w:val="18"/>
          <w:szCs w:val="18"/>
          <w:color w:val="auto"/>
        </w:rPr>
        <w:t>Cash and cash equivalents as of September 30, 2017 were $24.5 million and were primarily invested in money market interest bearing accounts and money market funds. A hypothetical 10% adverse change in the average interest rate on our cash and cash equivalents would have had no material effect on net loss for the three and nine months ended September 30, 2017.</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71"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We are not involved in any material legal proceedings as of September 30, 2017.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2016,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There have been no material changes from the risk factors previously disclosed in our Annual Report on Form 10-K for the year ended December 31, 2016.</w:t>
      </w:r>
    </w:p>
    <w:p>
      <w:pPr>
        <w:spacing w:after="0" w:line="29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600" w:type="dxa"/>
            <w:vAlign w:val="bottom"/>
            <w:gridSpan w:val="7"/>
          </w:tcPr>
          <w:p>
            <w:pPr>
              <w:ind w:left="3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Exhibit</w:t>
            </w:r>
          </w:p>
        </w:tc>
        <w:tc>
          <w:tcPr>
            <w:tcW w:w="10600" w:type="dxa"/>
            <w:vAlign w:val="bottom"/>
            <w:gridSpan w:val="7"/>
            <w:vMerge w:val="restart"/>
          </w:tcPr>
          <w:p>
            <w:pPr>
              <w:ind w:left="49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Number</w:t>
            </w:r>
          </w:p>
        </w:tc>
        <w:tc>
          <w:tcPr>
            <w:tcW w:w="1060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7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0280" w:type="dxa"/>
            <w:vAlign w:val="bottom"/>
            <w:tcBorders>
              <w:top w:val="single" w:sz="8" w:color="auto"/>
              <w:bottom w:val="single" w:sz="8" w:color="0000EE"/>
            </w:tcBorders>
            <w:gridSpan w:val="6"/>
          </w:tcPr>
          <w:p>
            <w:pPr>
              <w:spacing w:after="0"/>
              <w:rPr>
                <w:rFonts w:ascii="Arial" w:cs="Arial" w:eastAsia="Arial" w:hAnsi="Arial"/>
                <w:sz w:val="18"/>
                <w:szCs w:val="18"/>
                <w:color w:val="0000EE"/>
                <w:w w:val="90"/>
              </w:rPr>
            </w:pPr>
            <w:hyperlink r:id="rId35">
              <w:r>
                <w:rPr>
                  <w:rFonts w:ascii="Arial" w:cs="Arial" w:eastAsia="Arial" w:hAnsi="Arial"/>
                  <w:sz w:val="18"/>
                  <w:szCs w:val="18"/>
                  <w:color w:val="0000EE"/>
                  <w:w w:val="90"/>
                </w:rPr>
                <w:t>Sublease, by and between MediciNova, Inc. and Cardinal Health 127 Inc., dated August 31, 2017 (incorporated by reference to Exhibit 10.1 to</w:t>
              </w:r>
            </w:hyperlink>
          </w:p>
        </w:tc>
        <w:tc>
          <w:tcPr>
            <w:tcW w:w="3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180" w:type="dxa"/>
            <w:vAlign w:val="bottom"/>
            <w:vMerge w:val="restart"/>
          </w:tcPr>
          <w:p>
            <w:pPr>
              <w:spacing w:after="0" w:line="196" w:lineRule="exact"/>
              <w:rPr>
                <w:rFonts w:ascii="Arial" w:cs="Arial" w:eastAsia="Arial" w:hAnsi="Arial"/>
                <w:sz w:val="18"/>
                <w:szCs w:val="18"/>
                <w:color w:val="0000EE"/>
                <w:w w:val="91"/>
              </w:rPr>
            </w:pPr>
            <w:hyperlink r:id="rId35">
              <w:r>
                <w:rPr>
                  <w:rFonts w:ascii="Arial" w:cs="Arial" w:eastAsia="Arial" w:hAnsi="Arial"/>
                  <w:sz w:val="18"/>
                  <w:szCs w:val="18"/>
                  <w:color w:val="0000EE"/>
                  <w:w w:val="91"/>
                </w:rPr>
                <w:t>Current Report on Form 8-K filed with the SEC on September 7, 2017).</w:t>
              </w:r>
            </w:hyperlink>
          </w:p>
        </w:tc>
        <w:tc>
          <w:tcPr>
            <w:tcW w:w="5420" w:type="dxa"/>
            <w:vAlign w:val="bottom"/>
            <w:gridSpan w:val="6"/>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5180" w:type="dxa"/>
            <w:vAlign w:val="bottom"/>
            <w:tcBorders>
              <w:bottom w:val="single" w:sz="8" w:color="0000EE"/>
            </w:tcBorders>
            <w:vMerge w:val="continue"/>
          </w:tcPr>
          <w:p>
            <w:pPr>
              <w:spacing w:after="0"/>
              <w:rPr>
                <w:sz w:val="5"/>
                <w:szCs w:val="5"/>
                <w:color w:val="auto"/>
              </w:rPr>
            </w:pPr>
          </w:p>
        </w:tc>
        <w:tc>
          <w:tcPr>
            <w:tcW w:w="542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10600" w:type="dxa"/>
            <w:vAlign w:val="bottom"/>
            <w:gridSpan w:val="7"/>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Certification of the Principal Executive Officer pursuant to Section 302 of the Sarbanes-Oxley Act of 2002.</w:t>
              </w:r>
            </w:hyperlink>
          </w:p>
        </w:tc>
        <w:tc>
          <w:tcPr>
            <w:tcW w:w="0" w:type="dxa"/>
            <w:vAlign w:val="bottom"/>
          </w:tcPr>
          <w:p>
            <w:pPr>
              <w:spacing w:after="0"/>
              <w:rPr>
                <w:sz w:val="1"/>
                <w:szCs w:val="1"/>
                <w:color w:val="auto"/>
              </w:rPr>
            </w:pP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77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21">
              <w:r>
                <w:rPr>
                  <w:rFonts w:ascii="Arial" w:cs="Arial" w:eastAsia="Arial" w:hAnsi="Arial"/>
                  <w:sz w:val="18"/>
                  <w:szCs w:val="18"/>
                  <w:color w:val="0000EE"/>
                  <w:w w:val="92"/>
                </w:rPr>
                <w:t>Certification of the Principal Financial Officer pursuant to Section 302 of the Sarbanes-Oxley Act of 2002.</w:t>
              </w:r>
            </w:hyperlink>
          </w:p>
        </w:tc>
        <w:tc>
          <w:tcPr>
            <w:tcW w:w="40" w:type="dxa"/>
            <w:vAlign w:val="bottom"/>
            <w:tcBorders>
              <w:top w:val="single" w:sz="8" w:color="0000EE"/>
            </w:tcBorders>
          </w:tcPr>
          <w:p>
            <w:pPr>
              <w:spacing w:after="0"/>
              <w:rPr>
                <w:sz w:val="24"/>
                <w:szCs w:val="24"/>
                <w:color w:val="auto"/>
              </w:rPr>
            </w:pPr>
          </w:p>
        </w:tc>
        <w:tc>
          <w:tcPr>
            <w:tcW w:w="28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10600" w:type="dxa"/>
            <w:vAlign w:val="bottom"/>
            <w:gridSpan w:val="7"/>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Certification of Principal Executive Officer pursuant to 18 U.S.C. Section 1350 (Section 906 of the Sarbanes-Oxley Act of 2002).</w:t>
              </w:r>
            </w:hyperlink>
          </w:p>
        </w:tc>
        <w:tc>
          <w:tcPr>
            <w:tcW w:w="0" w:type="dxa"/>
            <w:vAlign w:val="bottom"/>
          </w:tcPr>
          <w:p>
            <w:pPr>
              <w:spacing w:after="0"/>
              <w:rPr>
                <w:sz w:val="1"/>
                <w:szCs w:val="1"/>
                <w:color w:val="auto"/>
              </w:rPr>
            </w:pP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3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Certification of Principal Financial Officer pursuant to 18 U.S.C. Section 1350 (Section 906 of the Sarbanes-Oxley Act of 2002).</w:t>
              </w:r>
            </w:hyperlink>
          </w:p>
        </w:tc>
        <w:tc>
          <w:tcPr>
            <w:tcW w:w="40" w:type="dxa"/>
            <w:vAlign w:val="bottom"/>
            <w:tcBorders>
              <w:top w:val="single" w:sz="8" w:color="0000EE"/>
            </w:tcBorders>
          </w:tcPr>
          <w:p>
            <w:pPr>
              <w:spacing w:after="0"/>
              <w:rPr>
                <w:sz w:val="24"/>
                <w:szCs w:val="24"/>
                <w:color w:val="auto"/>
              </w:rPr>
            </w:pPr>
          </w:p>
        </w:tc>
        <w:tc>
          <w:tcPr>
            <w:tcW w:w="12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820" w:hanging="812"/>
        <w:spacing w:after="0" w:line="286"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following financial statements from the MediciNova, Inc. Quarterly Report on Form 10-Q for the quarter ended September 30, 2017 formatted in Extensible Business Reporting Language (XBRL): (i) Consolidated Balance Sheets; (ii) Consolidated Statements of Operations and Comprehensive Loss; (iii) Consolidated Statements of Cash Flows; and (iv)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8" w:name="page19"/>
    <w:bookmarkEnd w:id="18"/>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MEDICINOVA, INC.</w:t>
      </w:r>
    </w:p>
    <w:p>
      <w:pPr>
        <w:spacing w:after="0" w:line="256" w:lineRule="exact"/>
        <w:rPr>
          <w:sz w:val="20"/>
          <w:szCs w:val="20"/>
          <w:color w:val="auto"/>
        </w:rPr>
      </w:pPr>
    </w:p>
    <w:p>
      <w:pPr>
        <w:spacing w:after="0"/>
        <w:tabs>
          <w:tab w:leader="none" w:pos="6520" w:val="left"/>
          <w:tab w:leader="none" w:pos="8480" w:val="left"/>
          <w:tab w:leader="none" w:pos="8820" w:val="left"/>
        </w:tabs>
        <w:rPr>
          <w:sz w:val="20"/>
          <w:szCs w:val="20"/>
          <w:color w:val="auto"/>
        </w:rPr>
      </w:pPr>
      <w:r>
        <w:rPr>
          <w:rFonts w:ascii="Arial" w:cs="Arial" w:eastAsia="Arial" w:hAnsi="Arial"/>
          <w:sz w:val="18"/>
          <w:szCs w:val="18"/>
          <w:color w:val="auto"/>
        </w:rPr>
        <w:t>Date: October 23,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18"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-97790</wp:posOffset>
            </wp:positionV>
            <wp:extent cx="28898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jc w:val="center"/>
        <w:ind w:left="686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8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223" w:lineRule="exact"/>
        <w:rPr>
          <w:sz w:val="20"/>
          <w:szCs w:val="20"/>
          <w:color w:val="auto"/>
        </w:rPr>
      </w:pPr>
    </w:p>
    <w:p>
      <w:pPr>
        <w:ind w:left="6540"/>
        <w:spacing w:after="0"/>
        <w:tabs>
          <w:tab w:leader="none" w:pos="846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Ryan Selhorn</w:t>
      </w:r>
    </w:p>
    <w:p>
      <w:pPr>
        <w:spacing w:after="0" w:line="18"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Ryan Selhorn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-97790</wp:posOffset>
            </wp:positionV>
            <wp:extent cx="28898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jc w:val="center"/>
        <w:ind w:left="686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68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800"/>
          </w:cols>
          <w:pgMar w:left="240" w:top="337" w:right="85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September 30,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17" w:lineRule="exact"/>
        <w:rPr>
          <w:sz w:val="20"/>
          <w:szCs w:val="20"/>
          <w:color w:val="auto"/>
        </w:rPr>
      </w:pPr>
    </w:p>
    <w:p>
      <w:pPr>
        <w:ind w:left="700" w:hanging="174"/>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2017 of MediciNova, Inc.;</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80" w:firstLine="526"/>
        <w:spacing w:after="0" w:line="264" w:lineRule="auto"/>
        <w:tabs>
          <w:tab w:leader="none" w:pos="69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20" w:right="40" w:firstLine="501"/>
        <w:spacing w:after="0" w:line="264" w:lineRule="auto"/>
        <w:tabs>
          <w:tab w:leader="none" w:pos="1199"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501"/>
        <w:spacing w:after="0" w:line="264" w:lineRule="auto"/>
        <w:tabs>
          <w:tab w:leader="none" w:pos="1209"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80" w:firstLine="501"/>
        <w:spacing w:after="0" w:line="342" w:lineRule="auto"/>
        <w:tabs>
          <w:tab w:leader="none" w:pos="1199"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00" w:firstLine="501"/>
        <w:spacing w:after="0" w:line="264" w:lineRule="auto"/>
        <w:tabs>
          <w:tab w:leader="none" w:pos="1209"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140" w:firstLine="526"/>
        <w:spacing w:after="0" w:line="308" w:lineRule="auto"/>
        <w:tabs>
          <w:tab w:leader="none" w:pos="698"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80" w:firstLine="501"/>
        <w:spacing w:after="0" w:line="308" w:lineRule="auto"/>
        <w:tabs>
          <w:tab w:leader="none" w:pos="1199"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501"/>
        <w:spacing w:after="0" w:line="277" w:lineRule="auto"/>
        <w:tabs>
          <w:tab w:leader="none" w:pos="1209"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October 23, 2017</w:t>
      </w:r>
    </w:p>
    <w:p>
      <w:pPr>
        <w:spacing w:after="0" w:line="252" w:lineRule="exact"/>
        <w:rPr>
          <w:sz w:val="20"/>
          <w:szCs w:val="20"/>
          <w:color w:val="auto"/>
        </w:rPr>
      </w:pPr>
    </w:p>
    <w:p>
      <w:pPr>
        <w:ind w:left="6860"/>
        <w:spacing w:after="0"/>
        <w:tabs>
          <w:tab w:leader="none" w:pos="7400" w:val="left"/>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74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ind w:left="74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September 30,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Ryan Selhorn, certify that:</w:t>
      </w:r>
    </w:p>
    <w:p>
      <w:pPr>
        <w:spacing w:after="0" w:line="117" w:lineRule="exact"/>
        <w:rPr>
          <w:sz w:val="20"/>
          <w:szCs w:val="20"/>
          <w:color w:val="auto"/>
        </w:rPr>
      </w:pPr>
    </w:p>
    <w:p>
      <w:pPr>
        <w:ind w:left="700" w:hanging="174"/>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September 30, 2017 of MediciNova, Inc.;</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80" w:firstLine="526"/>
        <w:spacing w:after="0" w:line="264" w:lineRule="auto"/>
        <w:tabs>
          <w:tab w:leader="none" w:pos="6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20" w:right="40" w:firstLine="501"/>
        <w:spacing w:after="0" w:line="264" w:lineRule="auto"/>
        <w:tabs>
          <w:tab w:leader="none" w:pos="119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501"/>
        <w:spacing w:after="0" w:line="264" w:lineRule="auto"/>
        <w:tabs>
          <w:tab w:leader="none" w:pos="120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80" w:firstLine="501"/>
        <w:spacing w:after="0" w:line="342" w:lineRule="auto"/>
        <w:tabs>
          <w:tab w:leader="none" w:pos="1199"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00" w:firstLine="501"/>
        <w:spacing w:after="0" w:line="264" w:lineRule="auto"/>
        <w:tabs>
          <w:tab w:leader="none" w:pos="120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140" w:firstLine="526"/>
        <w:spacing w:after="0" w:line="308" w:lineRule="auto"/>
        <w:tabs>
          <w:tab w:leader="none" w:pos="69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80" w:firstLine="501"/>
        <w:spacing w:after="0" w:line="308" w:lineRule="auto"/>
        <w:tabs>
          <w:tab w:leader="none" w:pos="1199"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501"/>
        <w:spacing w:after="0" w:line="277" w:lineRule="auto"/>
        <w:tabs>
          <w:tab w:leader="none" w:pos="1209"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October 23, 2017</w:t>
      </w:r>
    </w:p>
    <w:p>
      <w:pPr>
        <w:spacing w:after="0" w:line="252" w:lineRule="exact"/>
        <w:rPr>
          <w:sz w:val="20"/>
          <w:szCs w:val="20"/>
          <w:color w:val="auto"/>
        </w:rPr>
      </w:pPr>
    </w:p>
    <w:p>
      <w:pPr>
        <w:ind w:left="6860"/>
        <w:spacing w:after="0"/>
        <w:tabs>
          <w:tab w:leader="none" w:pos="7400" w:val="left"/>
          <w:tab w:leader="none" w:pos="7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Ryan Selhorn</w:t>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Ryan Selhorn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7420"/>
        <w:spacing w:after="0" w:line="221" w:lineRule="auto"/>
        <w:rPr>
          <w:sz w:val="20"/>
          <w:szCs w:val="20"/>
          <w:color w:val="auto"/>
        </w:rPr>
      </w:pPr>
      <w:r>
        <w:rPr>
          <w:rFonts w:ascii="Arial" w:cs="Arial" w:eastAsia="Arial" w:hAnsi="Arial"/>
          <w:sz w:val="14"/>
          <w:szCs w:val="14"/>
          <w:b w:val="1"/>
          <w:bCs w:val="1"/>
          <w:color w:val="auto"/>
        </w:rPr>
        <w:t>Chief Financial Officer</w:t>
      </w:r>
    </w:p>
    <w:p>
      <w:pPr>
        <w:ind w:left="74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September 30, 2017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39" w:lineRule="exact"/>
        <w:rPr>
          <w:sz w:val="20"/>
          <w:szCs w:val="20"/>
          <w:color w:val="auto"/>
        </w:rPr>
      </w:pPr>
    </w:p>
    <w:p>
      <w:pPr>
        <w:ind w:left="1200" w:hanging="179"/>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560" w:firstLine="501"/>
        <w:spacing w:after="0" w:line="277" w:lineRule="auto"/>
        <w:tabs>
          <w:tab w:leader="none" w:pos="11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October 23, 2017</w:t>
      </w:r>
    </w:p>
    <w:p>
      <w:pPr>
        <w:spacing w:after="0" w:line="252" w:lineRule="exact"/>
        <w:rPr>
          <w:sz w:val="20"/>
          <w:szCs w:val="20"/>
          <w:color w:val="auto"/>
        </w:rPr>
      </w:pPr>
    </w:p>
    <w:p>
      <w:pPr>
        <w:ind w:left="6860"/>
        <w:spacing w:after="0"/>
        <w:tabs>
          <w:tab w:leader="none" w:pos="8780" w:val="left"/>
          <w:tab w:leader="none" w:pos="9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2"/>
          <w:szCs w:val="12"/>
          <w:color w:val="auto"/>
        </w:rPr>
        <w:t>UICHI</w:t>
      </w:r>
      <w:r>
        <w:rPr>
          <w:rFonts w:ascii="Arial" w:cs="Arial" w:eastAsia="Arial" w:hAnsi="Arial"/>
          <w:sz w:val="18"/>
          <w:szCs w:val="18"/>
          <w:color w:val="auto"/>
        </w:rPr>
        <w:t xml:space="preserve"> I</w:t>
      </w:r>
      <w:r>
        <w:rPr>
          <w:rFonts w:ascii="Arial" w:cs="Arial" w:eastAsia="Arial" w:hAnsi="Arial"/>
          <w:sz w:val="12"/>
          <w:szCs w:val="12"/>
          <w:color w:val="auto"/>
        </w:rPr>
        <w:t>WAKI</w:t>
      </w:r>
    </w:p>
    <w:p>
      <w:pPr>
        <w:spacing w:after="0" w:line="18"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jc w:val="center"/>
        <w:ind w:left="74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420"/>
        <w:spacing w:after="0"/>
        <w:rPr>
          <w:sz w:val="20"/>
          <w:szCs w:val="20"/>
          <w:color w:val="auto"/>
        </w:rPr>
      </w:pPr>
      <w:r>
        <w:rPr>
          <w:rFonts w:ascii="Arial" w:cs="Arial" w:eastAsia="Arial" w:hAnsi="Arial"/>
          <w:sz w:val="14"/>
          <w:szCs w:val="14"/>
          <w:b w:val="1"/>
          <w:bCs w:val="1"/>
          <w:color w:val="auto"/>
        </w:rPr>
        <w:t>(Principal Executive Officer)</w:t>
      </w:r>
    </w:p>
    <w:p>
      <w:pPr>
        <w:spacing w:after="0" w:line="196"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337"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518"/>
        <w:spacing w:after="0" w:line="312"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September 30, 2017, as filed with the Securities and Exchange Commission on the date hereof (the “Report”), I, Ryan Selhorn, as Chief Financial Officer of the Company, hereby certify, pursuant to 18 U.S.C. Section 1350, as adopted pursuant to Section 906 of the Sarbanes-Oxley Act of 2002, that to my knowledge:</w:t>
      </w:r>
    </w:p>
    <w:p>
      <w:pPr>
        <w:spacing w:after="0" w:line="39" w:lineRule="exact"/>
        <w:rPr>
          <w:sz w:val="20"/>
          <w:szCs w:val="20"/>
          <w:color w:val="auto"/>
        </w:rPr>
      </w:pPr>
    </w:p>
    <w:p>
      <w:pPr>
        <w:ind w:left="1200" w:hanging="179"/>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560" w:firstLine="501"/>
        <w:spacing w:after="0" w:line="277" w:lineRule="auto"/>
        <w:tabs>
          <w:tab w:leader="none" w:pos="11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October 23, 2017</w:t>
      </w:r>
    </w:p>
    <w:p>
      <w:pPr>
        <w:spacing w:after="0" w:line="252" w:lineRule="exact"/>
        <w:rPr>
          <w:sz w:val="20"/>
          <w:szCs w:val="20"/>
          <w:color w:val="auto"/>
        </w:rPr>
      </w:pPr>
    </w:p>
    <w:p>
      <w:pPr>
        <w:ind w:left="6860"/>
        <w:spacing w:after="0"/>
        <w:tabs>
          <w:tab w:leader="none" w:pos="8680" w:val="left"/>
          <w:tab w:leader="none" w:pos="9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Ryan Selhorn</w:t>
      </w:r>
    </w:p>
    <w:p>
      <w:pPr>
        <w:spacing w:after="0" w:line="18"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Ryan Selhorn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-97790</wp:posOffset>
            </wp:positionV>
            <wp:extent cx="26073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jc w:val="center"/>
        <w:ind w:left="732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7320"/>
        <w:spacing w:after="0"/>
        <w:rPr>
          <w:sz w:val="20"/>
          <w:szCs w:val="20"/>
          <w:color w:val="auto"/>
        </w:rPr>
      </w:pPr>
      <w:r>
        <w:rPr>
          <w:rFonts w:ascii="Arial" w:cs="Arial" w:eastAsia="Arial" w:hAnsi="Arial"/>
          <w:sz w:val="14"/>
          <w:szCs w:val="14"/>
          <w:b w:val="1"/>
          <w:bCs w:val="1"/>
          <w:color w:val="auto"/>
        </w:rPr>
        <w:t>(Principal Financial Officer)</w:t>
      </w:r>
    </w:p>
    <w:p>
      <w:pPr>
        <w:spacing w:after="0" w:line="196"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amp;"/>
      <w:numFmt w:val="bullet"/>
      <w:start w:val="1"/>
    </w:lvl>
  </w:abstractNum>
  <w:abstractNum w:abstractNumId="4">
    <w:nsid w:val="515F007C"/>
    <w:multiLevelType w:val="hybridMultilevel"/>
    <w:lvl w:ilvl="0">
      <w:lvlJc w:val="left"/>
      <w:lvlText w:val="%1."/>
      <w:numFmt w:val="decimal"/>
      <w:start w:val="6"/>
    </w:lvl>
    <w:lvl w:ilvl="1">
      <w:lvlJc w:val="left"/>
      <w:lvlText w:val="•"/>
      <w:numFmt w:val="bullet"/>
      <w:start w:val="1"/>
    </w:lvl>
  </w:abstractNum>
  <w:abstractNum w:abstractNumId="5">
    <w:nsid w:val="5BD062C2"/>
    <w:multiLevelType w:val="hybridMultilevel"/>
    <w:lvl w:ilvl="0">
      <w:lvlJc w:val="left"/>
      <w:lvlText w:val="•"/>
      <w:numFmt w:val="bullet"/>
      <w:start w:val="1"/>
    </w:lvl>
    <w:lvl w:ilvl="1">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1"/>
      <w:numFmt w:val="decimal"/>
      <w:start w:val="10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35" Type="http://schemas.openxmlformats.org/officeDocument/2006/relationships/hyperlink" Target="http://www.sec.gov/Archives/edgar/data/1226616/000119312517279377/d414779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2019-12-29T04:14:31Z</dcterms:created>
  <dcterms:modified xsi:type="dcterms:W3CDTF">2019-12-29T04:14:31Z</dcterms:modified>
</cp:coreProperties>
</file>