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00" w:right="240" w:hanging="492"/>
        <w:spacing w:after="0" w:line="237"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-291465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48" w:lineRule="exact"/>
        <w:rPr>
          <w:sz w:val="24"/>
          <w:szCs w:val="24"/>
          <w:color w:val="auto"/>
        </w:rPr>
      </w:pPr>
    </w:p>
    <w:p>
      <w:pPr>
        <w:ind w:left="500" w:right="22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p>
      <w:pPr>
        <w:spacing w:after="0" w:line="9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69" w:lineRule="exact"/>
        <w:rPr>
          <w:sz w:val="24"/>
          <w:szCs w:val="24"/>
          <w:color w:val="auto"/>
        </w:rPr>
      </w:pPr>
    </w:p>
    <w:p>
      <w:pPr>
        <w:sectPr>
          <w:pgSz w:w="11900" w:h="16838" w:orient="portrait"/>
          <w:cols w:equalWidth="0" w:num="2">
            <w:col w:w="6460" w:space="720"/>
            <w:col w:w="4060"/>
          </w:cols>
          <w:pgMar w:left="320" w:top="41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MEDICINOVA,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879"/>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8"/>
        </w:trPr>
        <w:tc>
          <w:tcPr>
            <w:tcW w:w="380" w:type="dxa"/>
            <w:vAlign w:val="bottom"/>
          </w:tcPr>
          <w:p>
            <w:pPr>
              <w:spacing w:after="0"/>
              <w:rPr>
                <w:sz w:val="12"/>
                <w:szCs w:val="12"/>
                <w:color w:val="auto"/>
              </w:rPr>
            </w:pPr>
          </w:p>
        </w:tc>
        <w:tc>
          <w:tcPr>
            <w:tcW w:w="4140" w:type="dxa"/>
            <w:vAlign w:val="bottom"/>
            <w:gridSpan w:val="3"/>
          </w:tcPr>
          <w:p>
            <w:pPr>
              <w:jc w:val="center"/>
              <w:ind w:left="5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 w:type="dxa"/>
            <w:vAlign w:val="bottom"/>
          </w:tcPr>
          <w:p>
            <w:pPr>
              <w:spacing w:after="0"/>
              <w:rPr>
                <w:sz w:val="16"/>
                <w:szCs w:val="16"/>
                <w:color w:val="auto"/>
              </w:rPr>
            </w:pPr>
          </w:p>
        </w:tc>
        <w:tc>
          <w:tcPr>
            <w:tcW w:w="414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80" w:type="dxa"/>
            <w:vAlign w:val="bottom"/>
          </w:tcPr>
          <w:p>
            <w:pPr>
              <w:spacing w:after="0"/>
              <w:rPr>
                <w:sz w:val="24"/>
                <w:szCs w:val="24"/>
                <w:color w:val="auto"/>
              </w:rPr>
            </w:pPr>
          </w:p>
        </w:tc>
        <w:tc>
          <w:tcPr>
            <w:tcW w:w="414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4"/>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8"/>
              </w:rPr>
              <w:t>La Jolla, CA</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2079"/>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380" w:type="dxa"/>
            <w:vAlign w:val="bottom"/>
          </w:tcPr>
          <w:p>
            <w:pPr>
              <w:spacing w:after="0"/>
              <w:rPr>
                <w:sz w:val="16"/>
                <w:szCs w:val="16"/>
                <w:color w:val="auto"/>
              </w:rPr>
            </w:pPr>
          </w:p>
        </w:tc>
        <w:tc>
          <w:tcPr>
            <w:tcW w:w="414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2"/>
        </w:trPr>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(858) 373-1500</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60" w:type="dxa"/>
            <w:vAlign w:val="bottom"/>
          </w:tcPr>
          <w:p>
            <w:pPr>
              <w:spacing w:after="0"/>
              <w:rPr>
                <w:sz w:val="18"/>
                <w:szCs w:val="18"/>
                <w:color w:val="auto"/>
              </w:rPr>
            </w:pPr>
          </w:p>
        </w:tc>
      </w:tr>
      <w:tr>
        <w:trPr>
          <w:trHeight w:val="425"/>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1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MNOV</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1"/>
        </w:trPr>
        <w:tc>
          <w:tcPr>
            <w:tcW w:w="38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739"/>
              <w:spacing w:after="0" w:line="191" w:lineRule="exact"/>
              <w:rPr>
                <w:sz w:val="20"/>
                <w:szCs w:val="20"/>
                <w:color w:val="auto"/>
              </w:rPr>
            </w:pPr>
            <w:r>
              <w:rPr>
                <w:rFonts w:ascii="Times New Roman" w:cs="Times New Roman" w:eastAsia="Times New Roman" w:hAnsi="Times New Roman"/>
                <w:sz w:val="18"/>
                <w:szCs w:val="18"/>
                <w:color w:val="auto"/>
                <w:w w:val="98"/>
              </w:rPr>
              <w:t>(Trading symbol(s))</w:t>
            </w:r>
          </w:p>
        </w:tc>
        <w:tc>
          <w:tcPr>
            <w:tcW w:w="1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0" w:lineRule="exact"/>
        <w:rPr>
          <w:sz w:val="24"/>
          <w:szCs w:val="24"/>
          <w:color w:val="auto"/>
        </w:rPr>
      </w:pPr>
    </w:p>
    <w:p>
      <w:pPr>
        <w:ind w:right="120"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w:t>
      </w:r>
    </w:p>
    <w:p>
      <w:pPr>
        <w:spacing w:after="0" w:line="26" w:lineRule="exact"/>
        <w:rPr>
          <w:sz w:val="24"/>
          <w:szCs w:val="24"/>
          <w:color w:val="auto"/>
        </w:rPr>
      </w:pPr>
    </w:p>
    <w:p>
      <w:pPr>
        <w:spacing w:after="0" w:line="184" w:lineRule="exact"/>
        <w:tabs>
          <w:tab w:leader="none" w:pos="10140" w:val="left"/>
          <w:tab w:leader="none" w:pos="10780" w:val="left"/>
        </w:tabs>
        <w:rPr>
          <w:sz w:val="20"/>
          <w:szCs w:val="20"/>
          <w:color w:val="auto"/>
        </w:rPr>
      </w:pPr>
      <w:r>
        <w:rPr>
          <w:rFonts w:ascii="Times New Roman" w:cs="Times New Roman" w:eastAsia="Times New Roman" w:hAnsi="Times New Roman"/>
          <w:sz w:val="16"/>
          <w:szCs w:val="16"/>
          <w:color w:val="auto"/>
        </w:rPr>
        <w:t>Regulation S-T (§232.405 of this chapter) during the preceding 12 months (or for such shorter period that the registrant was required to submit such 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jc w:val="both"/>
        <w:ind w:right="28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1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r>
      <w:tr>
        <w:trPr>
          <w:trHeight w:val="103"/>
        </w:trPr>
        <w:tc>
          <w:tcPr>
            <w:tcW w:w="196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26" w:lineRule="exact"/>
        <w:rPr>
          <w:sz w:val="20"/>
          <w:szCs w:val="20"/>
          <w:color w:val="auto"/>
        </w:rPr>
      </w:pPr>
    </w:p>
    <w:p>
      <w:pPr>
        <w:spacing w:after="0" w:line="184" w:lineRule="exact"/>
        <w:tabs>
          <w:tab w:leader="none" w:pos="9020" w:val="left"/>
        </w:tabs>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0660"/>
          </w:cols>
          <w:pgMar w:left="320" w:top="342" w:right="919" w:bottom="1440" w:gutter="0" w:footer="0" w:header="0"/>
        </w:sectPr>
      </w:pP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92" w:lineRule="exact"/>
        <w:rPr>
          <w:sz w:val="20"/>
          <w:szCs w:val="20"/>
          <w:color w:val="auto"/>
        </w:rPr>
      </w:pPr>
    </w:p>
    <w:p>
      <w:pPr>
        <w:sectPr>
          <w:pgSz w:w="11900" w:h="16838" w:orient="portrait"/>
          <w:cols w:equalWidth="0" w:num="4">
            <w:col w:w="7880" w:space="160"/>
            <w:col w:w="220" w:space="80"/>
            <w:col w:w="160" w:space="160"/>
            <w:col w:w="2000"/>
          </w:cols>
          <w:pgMar w:left="320" w:top="342" w:right="9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As of October 22, 2020, the registrant had 44,927,560 shares of Common Stock ($0.001 par value) outstanding.</w:t>
      </w:r>
    </w:p>
    <w:p>
      <w:pPr>
        <w:sectPr>
          <w:pgSz w:w="11900" w:h="16838" w:orient="portrait"/>
          <w:cols w:equalWidth="0" w:num="1">
            <w:col w:w="10660"/>
          </w:cols>
          <w:pgMar w:left="320" w:top="34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342" w:right="919" w:bottom="1440" w:gutter="0" w:footer="0" w:header="0"/>
          <w:type w:val="continuous"/>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right="180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any other communicable disease, such as COVID-19, or any other public health crisis,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100" w:right="148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80" w:lineRule="exact"/>
        <w:rPr>
          <w:rFonts w:ascii="Times New Roman" w:cs="Times New Roman" w:eastAsia="Times New Roman" w:hAnsi="Times New Roman"/>
          <w:sz w:val="18"/>
          <w:szCs w:val="18"/>
          <w:color w:val="auto"/>
        </w:rPr>
      </w:pPr>
    </w:p>
    <w:p>
      <w:pPr>
        <w:ind w:left="1100" w:right="196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30" w:lineRule="exact"/>
        <w:rPr>
          <w:rFonts w:ascii="Times New Roman" w:cs="Times New Roman" w:eastAsia="Times New Roman" w:hAnsi="Times New Roman"/>
          <w:sz w:val="18"/>
          <w:szCs w:val="18"/>
          <w:color w:val="auto"/>
        </w:rPr>
      </w:pPr>
    </w:p>
    <w:p>
      <w:pPr>
        <w:ind w:left="1100" w:right="190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30" w:lineRule="exact"/>
        <w:rPr>
          <w:rFonts w:ascii="Times New Roman" w:cs="Times New Roman" w:eastAsia="Times New Roman" w:hAnsi="Times New Roman"/>
          <w:sz w:val="18"/>
          <w:szCs w:val="18"/>
          <w:color w:val="auto"/>
        </w:rPr>
      </w:pPr>
    </w:p>
    <w:p>
      <w:pPr>
        <w:ind w:left="1100" w:right="1920" w:hanging="606"/>
        <w:spacing w:after="0" w:line="282"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8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30" w:lineRule="exact"/>
        <w:rPr>
          <w:rFonts w:ascii="Times New Roman" w:cs="Times New Roman" w:eastAsia="Times New Roman" w:hAnsi="Times New Roman"/>
          <w:sz w:val="18"/>
          <w:szCs w:val="18"/>
          <w:color w:val="auto"/>
        </w:rPr>
      </w:pPr>
    </w:p>
    <w:p>
      <w:pPr>
        <w:ind w:left="1100" w:hanging="606"/>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3" w:name="page4"/>
    <w:bookmarkEnd w:id="3"/>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30" w:lineRule="exact"/>
        <w:rPr>
          <w:rFonts w:ascii="Times New Roman" w:cs="Times New Roman" w:eastAsia="Times New Roman" w:hAnsi="Times New Roman"/>
          <w:sz w:val="18"/>
          <w:szCs w:val="18"/>
          <w:color w:val="auto"/>
        </w:rPr>
      </w:pPr>
    </w:p>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130" w:lineRule="exact"/>
        <w:rPr>
          <w:rFonts w:ascii="Times New Roman" w:cs="Times New Roman" w:eastAsia="Times New Roman" w:hAnsi="Times New Roman"/>
          <w:sz w:val="18"/>
          <w:szCs w:val="18"/>
          <w:color w:val="auto"/>
        </w:rPr>
      </w:pPr>
    </w:p>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130" w:lineRule="exact"/>
        <w:rPr>
          <w:rFonts w:ascii="Times New Roman" w:cs="Times New Roman" w:eastAsia="Times New Roman" w:hAnsi="Times New Roman"/>
          <w:sz w:val="18"/>
          <w:szCs w:val="18"/>
          <w:color w:val="auto"/>
        </w:rPr>
      </w:pPr>
    </w:p>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8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5"/>
          </w:cols>
          <w:pgMar w:left="814" w:top="44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4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MEDICINOVA, INC.</w:t>
            </w:r>
          </w:p>
        </w:tc>
        <w:tc>
          <w:tcPr>
            <w:tcW w:w="6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94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r>
      <w:tr>
        <w:trPr>
          <w:trHeight w:val="446"/>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PART I. FINANCIAL INFORMATION</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60"/>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FINANCIAL STATEMENTS (unaudited)</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10580" w:type="dxa"/>
            <w:vAlign w:val="bottom"/>
            <w:gridSpan w:val="2"/>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PART II. OTHER INFORMATION</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0"/>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DEFAULTS UPON SENIOR SECURITIES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420" w:type="dxa"/>
            <w:vAlign w:val="bottom"/>
          </w:tcPr>
          <w:p>
            <w:pPr>
              <w:ind w:left="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EXHIBITS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65"/>
        </w:trPr>
        <w:tc>
          <w:tcPr>
            <w:tcW w:w="1160" w:type="dxa"/>
            <w:vAlign w:val="bottom"/>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SIGNATURES</w:t>
              </w:r>
            </w:hyperlink>
          </w:p>
        </w:tc>
        <w:tc>
          <w:tcPr>
            <w:tcW w:w="9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3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3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32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11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11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61,661,341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63,792,657</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893,843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511,916</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62,555,184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64,304,573</w:t>
            </w: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309,112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459,811</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77,293,393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79,205,174</w:t>
            </w:r>
          </w:p>
        </w:tc>
        <w:tc>
          <w:tcPr>
            <w:tcW w:w="80" w:type="dxa"/>
            <w:vAlign w:val="bottom"/>
            <w:tcBorders>
              <w:bottom w:val="single" w:sz="8" w:color="CFF0FC"/>
            </w:tcBorders>
          </w:tcPr>
          <w:p>
            <w:pPr>
              <w:spacing w:after="0"/>
              <w:rPr>
                <w:sz w:val="22"/>
                <w:szCs w:val="22"/>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451,326</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1,428,003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1,776,912</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1,804,274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2,228,238</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1,694,163</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186,358</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3,740,120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4,310,551</w:t>
            </w:r>
          </w:p>
        </w:tc>
        <w:tc>
          <w:tcPr>
            <w:tcW w:w="80" w:type="dxa"/>
            <w:vAlign w:val="bottom"/>
            <w:shd w:val="clear" w:color="auto" w:fill="CFF0FC"/>
          </w:tcPr>
          <w:p>
            <w:pPr>
              <w:spacing w:after="0"/>
              <w:rPr>
                <w:sz w:val="19"/>
                <w:szCs w:val="19"/>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 September 30, 2020 and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December 31, 2019; 44,927,560 and 43,908,065 shares issued and outstanding at September 30,</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80" w:type="dxa"/>
            <w:vAlign w:val="bottom"/>
          </w:tcPr>
          <w:p>
            <w:pPr>
              <w:spacing w:after="0"/>
              <w:rPr>
                <w:sz w:val="20"/>
                <w:szCs w:val="20"/>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453,539,933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444,016,341</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(92,681)</w:t>
            </w:r>
          </w:p>
        </w:tc>
      </w:tr>
      <w:tr>
        <w:trPr>
          <w:trHeight w:val="230"/>
        </w:trPr>
        <w:tc>
          <w:tcPr>
            <w:tcW w:w="74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(379,941,553)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(369,072,945)</w:t>
            </w:r>
          </w:p>
        </w:tc>
      </w:tr>
      <w:tr>
        <w:trPr>
          <w:trHeight w:val="223"/>
        </w:trPr>
        <w:tc>
          <w:tcPr>
            <w:tcW w:w="7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73,553,273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74,894,623</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77,293,393</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79,205,174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2,237,877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1,150,815</w:t>
            </w:r>
          </w:p>
        </w:tc>
        <w:tc>
          <w:tcPr>
            <w:tcW w:w="160" w:type="dxa"/>
            <w:vAlign w:val="bottom"/>
          </w:tcPr>
          <w:p>
            <w:pPr>
              <w:spacing w:after="0"/>
              <w:rPr>
                <w:sz w:val="19"/>
                <w:szCs w:val="19"/>
                <w:color w:val="auto"/>
              </w:rPr>
            </w:pP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5,687,658</w:t>
            </w:r>
          </w:p>
        </w:tc>
        <w:tc>
          <w:tcPr>
            <w:tcW w:w="24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4,250,205</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1,492,139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5,477,223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7,556,740</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3,730,016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11,164,881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11,806,945</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(3,730,016)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(11,164,881)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(11,806,945)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900,462</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(11,008)</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(27,902)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(51,087)</w:t>
            </w:r>
          </w:p>
        </w:tc>
      </w:tr>
      <w:tr>
        <w:trPr>
          <w:trHeight w:val="263"/>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2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(3,703,820</w:t>
            </w:r>
          </w:p>
        </w:tc>
        <w:tc>
          <w:tcPr>
            <w:tcW w:w="220" w:type="dxa"/>
            <w:vAlign w:val="bottom"/>
            <w:tcBorders>
              <w:bottom w:val="single" w:sz="8" w:color="CFF0FC"/>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(2,378,504</w:t>
            </w: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(10,868,608</w:t>
            </w:r>
          </w:p>
        </w:tc>
        <w:tc>
          <w:tcPr>
            <w:tcW w:w="240" w:type="dxa"/>
            <w:vAlign w:val="bottom"/>
            <w:tcBorders>
              <w:bottom w:val="single" w:sz="8" w:color="CFF0FC"/>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(10,957,570</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18"/>
                <w:szCs w:val="18"/>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per common share</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44,643,736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43,343,329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44,229,715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42,963,287</w:t>
            </w:r>
          </w:p>
        </w:tc>
        <w:tc>
          <w:tcPr>
            <w:tcW w:w="100" w:type="dxa"/>
            <w:vAlign w:val="bottom"/>
          </w:tcPr>
          <w:p>
            <w:pPr>
              <w:spacing w:after="0"/>
              <w:rPr>
                <w:sz w:val="20"/>
                <w:szCs w:val="20"/>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(3,703,820)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(2,378,504)</w:t>
            </w: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(10,868,608)</w:t>
            </w: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(10,957,570)</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(3,701,059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(10,865,962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(10,956,778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December 31, 2019</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43,908,065</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43,908</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444,016,341</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(92,681)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(369,072,945)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at-the-market</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68,952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412,623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412,692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sales agreements, net of offering costs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(2,713,559)</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March 31,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43,978,996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43,979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445,031,594</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(92,801)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(371,786,504)</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73,196,268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1,147,154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1,147,154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143,863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438,118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438,262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at-the-market</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140,719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762,342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762,483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sales agreements, net of offering costs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(4,451,229)</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(4,451,229)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June 30, 2020</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44,263,578</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44,264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447,379,208</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(92,796)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(376,237,733)</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71,092,943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1,033,971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1,033,971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187,990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188,050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at-the-market</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602,127</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4,933,312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4,933,914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sales agreements, net of offering costs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(3,703,820)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(3,703,820)</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September 30, 2020</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44,927,560</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44,928</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453,539,933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(90,035)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(379,941,553)</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73,553,273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December 31, 2018</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42,081,306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42,081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429,289,968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(93,150)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(356,131,287)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73,107,612</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at-the-market</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(8,532)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171"/>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sales agreements, net of offering costs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977,454</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3,919,757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3,920,735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(4,697,190)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(4,697,190)</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CFF0FC"/>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March 31, 2019</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43,061,161</w:t>
            </w:r>
          </w:p>
        </w:tc>
        <w:tc>
          <w:tcPr>
            <w:tcW w:w="2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43,061</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435,917,594</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(94,931)</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(360,828,477)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75,037,247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1,842,514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1,842,514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(3,881,876)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(3,881,876)</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June 30, 2019</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43,099,161</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43,099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437,940,440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(91,576)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(364,710,353)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73,181,610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373,844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373,844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an employee stock purchase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plan (ESPP)</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347,902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3,164,107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3,164,455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(2,378,504)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(2,378,504)</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Balance at September 30, 2019</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43,448,604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43,449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441,488,806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(92,358)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(367,088,857)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74,351,040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(10,868,608)</w:t>
            </w: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(10,957,570)</w:t>
            </w:r>
          </w:p>
        </w:tc>
        <w:tc>
          <w:tcPr>
            <w:tcW w:w="0" w:type="dxa"/>
            <w:vAlign w:val="bottom"/>
          </w:tcPr>
          <w:p>
            <w:pPr>
              <w:spacing w:after="0"/>
              <w:rPr>
                <w:sz w:val="1"/>
                <w:szCs w:val="1"/>
                <w:color w:val="auto"/>
              </w:rPr>
            </w:pPr>
          </w:p>
        </w:tc>
      </w:tr>
      <w:tr>
        <w:trPr>
          <w:trHeight w:val="211"/>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2,777,503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(225,543)</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(452,515)</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(576,116)</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(244,725)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(8,877,277)</w:t>
            </w:r>
          </w:p>
        </w:tc>
        <w:tc>
          <w:tcPr>
            <w:tcW w:w="1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(6,720,605)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(3,794)</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exercise of common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 and warrants, net of issuance costs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6,735,401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7,257,028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issuance of equity awards under ESPP</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6,747,109</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(2,131,316)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63,792,657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62,313,418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61,661,341</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62,872,907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developing novel therapeutics for the treatment of serious diseases with unmet medical needs with a commercial focus on the United States market. The Company’s current strategy is to focus its development activities on BC-PIV vaccine for COVID-19 (Coronavirus Disease 2019), MN-166 (ibudilast) for neurological and other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87"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2019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2019 has been derived from the audited financial statements at that date but does not include all the information and footnotes required by GAAP for complete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00" w:firstLine="457"/>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All intercompany transactions and balances are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00" w:firstLine="457"/>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therapeutics for the treatment of serious diseases with unmet medical needs.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accounts.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100" w:firstLine="595"/>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$2.1 million and $1.1 million for the three months ended September 30, 2020 and 2019, respectively and $5.4 million and $4.0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right="60" w:firstLine="595"/>
        <w:spacing w:after="0" w:line="261"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September 30, 2020 and 2019, respectively and $0.3 million for each of the nine months ended September 30, 2020 and 2019,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right="80" w:firstLine="578"/>
        <w:spacing w:after="0" w:line="254"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the Company’s Business</w:t>
      </w:r>
    </w:p>
    <w:p>
      <w:pPr>
        <w:spacing w:after="0" w:line="22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was effective for fiscal years beginning after December 15, 2019 and interim periods within that fiscal year with early adoption permitted. The Company adopted ASU 2018-13 on January 1, 2020 with no material impact on its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firstLine="667"/>
        <w:spacing w:after="0" w:line="258" w:lineRule="auto"/>
        <w:rPr>
          <w:sz w:val="20"/>
          <w:szCs w:val="20"/>
          <w:color w:val="auto"/>
        </w:rPr>
      </w:pPr>
      <w:r>
        <w:rPr>
          <w:rFonts w:ascii="Times New Roman" w:cs="Times New Roman" w:eastAsia="Times New Roman" w:hAnsi="Times New Roman"/>
          <w:sz w:val="18"/>
          <w:szCs w:val="18"/>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the customer (3) the vendor’s performance does not create an asset for which the vendor has an alternative use, and the vendor has an enforceable right to payment for performance completed to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ind w:firstLine="667"/>
        <w:spacing w:after="0" w:line="253" w:lineRule="auto"/>
        <w:rPr>
          <w:sz w:val="20"/>
          <w:szCs w:val="20"/>
          <w:color w:val="auto"/>
        </w:rPr>
      </w:pPr>
      <w:r>
        <w:rPr>
          <w:rFonts w:ascii="Times New Roman" w:cs="Times New Roman" w:eastAsia="Times New Roman" w:hAnsi="Times New Roman"/>
          <w:sz w:val="18"/>
          <w:szCs w:val="18"/>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September 30, 2020. The amount received from Kissei and allocated, net of the amount recorded as revenue, is included on the balance sheet as long-term deferred revenue and will be recognized as revenue as the remaining performance obligation is satisfied. No revenue was recognized for the three and nine months ended September 30, 2020 and 2019 in connection with the collaboration agreement with Kissei.</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31" w:lineRule="exact"/>
        <w:rPr>
          <w:sz w:val="20"/>
          <w:szCs w:val="20"/>
          <w:color w:val="auto"/>
        </w:rPr>
      </w:pPr>
    </w:p>
    <w:p>
      <w:pPr>
        <w:ind w:left="1220" w:right="820" w:hanging="647"/>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items in active markets or quoted prices for identical or similar items in markets that are not active near the measurement date; and</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Cash equivalents, including money market accounts of $694,109 and $691,649 measured at fair value as of September 30, 2020 and December 31, 2019, respectively, are classified within Level 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2020, 2,872,135 shares remain available for future grants under the 2013 Plan.</w:t>
      </w:r>
    </w:p>
    <w:p>
      <w:pPr>
        <w:spacing w:after="0" w:line="188"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Options granted under the 2013 Plan and the 2004 Plan have terms of ten years from the date of grant unless earlier terminated and generally vest over a three or four year period. The exercise price of all options granted through September 30, 2020 and in 2019, was equal to the market value of the Company’s common stock on the date of grant.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September 30, 2020 is as follows:</w:t>
      </w:r>
    </w:p>
    <w:p>
      <w:pPr>
        <w:spacing w:after="0" w:line="22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6,802,093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(203,863)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7,510,387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6,174,387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87"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an aggregate of 3,834 shares were issued under the ESPP. As of September 30, 2020, there were 214,102 shares available for future issuance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stock option awards and ESPP shares are reflected in total operating expenses for each respective year.</w:t>
      </w:r>
    </w:p>
    <w:p>
      <w:pPr>
        <w:spacing w:after="0" w:line="117" w:lineRule="exact"/>
        <w:rPr>
          <w:sz w:val="20"/>
          <w:szCs w:val="20"/>
          <w:color w:val="auto"/>
        </w:rPr>
      </w:pPr>
    </w:p>
    <w:p>
      <w:pPr>
        <w:ind w:right="8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expenses for the three and nine months ended September 30, 2020 and 2019, respectively: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38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331,126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843,117</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1,424,737</w:t>
            </w:r>
          </w:p>
        </w:tc>
        <w:tc>
          <w:tcPr>
            <w:tcW w:w="6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702,845</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282,755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1,934,386</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3,491,121</w:t>
            </w:r>
          </w:p>
        </w:tc>
        <w:tc>
          <w:tcPr>
            <w:tcW w:w="6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1,033,971</w:t>
            </w: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373,844</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2,777,503</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4,915,858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nine months ended September 30, 2020 and 2019, and to estimate the fair value of performance-based stock options as of September 30, 2020 and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 assumptions:</w:t>
            </w:r>
          </w:p>
        </w:tc>
        <w:tc>
          <w:tcPr>
            <w:tcW w:w="148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4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auto"/>
                <w:w w:val="98"/>
              </w:rPr>
              <w:t>0.16 - 1.68%</w:t>
            </w:r>
          </w:p>
        </w:tc>
        <w:tc>
          <w:tcPr>
            <w:tcW w:w="35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1.55 - 2.19%</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3540" w:type="dxa"/>
            <w:vAlign w:val="bottom"/>
            <w:gridSpan w:val="2"/>
            <w:shd w:val="clear" w:color="auto" w:fill="CFF0FC"/>
          </w:tcPr>
          <w:p>
            <w:pPr>
              <w:jc w:val="center"/>
              <w:ind w:left="2010"/>
              <w:spacing w:after="0"/>
              <w:rPr>
                <w:sz w:val="20"/>
                <w:szCs w:val="20"/>
                <w:color w:val="auto"/>
              </w:rPr>
            </w:pPr>
            <w:r>
              <w:rPr>
                <w:rFonts w:ascii="Times New Roman" w:cs="Times New Roman" w:eastAsia="Times New Roman" w:hAnsi="Times New Roman"/>
                <w:sz w:val="18"/>
                <w:szCs w:val="18"/>
                <w:color w:val="auto"/>
              </w:rPr>
              <w:t>57.44 - 75.82%</w:t>
            </w:r>
          </w:p>
        </w:tc>
        <w:tc>
          <w:tcPr>
            <w:tcW w:w="3500" w:type="dxa"/>
            <w:vAlign w:val="bottom"/>
            <w:gridSpan w:val="3"/>
            <w:shd w:val="clear" w:color="auto" w:fill="CFF0FC"/>
          </w:tcPr>
          <w:p>
            <w:pPr>
              <w:jc w:val="center"/>
              <w:ind w:left="752"/>
              <w:spacing w:after="0"/>
              <w:rPr>
                <w:sz w:val="20"/>
                <w:szCs w:val="20"/>
                <w:color w:val="auto"/>
              </w:rPr>
            </w:pPr>
            <w:r>
              <w:rPr>
                <w:rFonts w:ascii="Times New Roman" w:cs="Times New Roman" w:eastAsia="Times New Roman" w:hAnsi="Times New Roman"/>
                <w:sz w:val="18"/>
                <w:szCs w:val="18"/>
                <w:color w:val="auto"/>
                <w:w w:val="99"/>
              </w:rPr>
              <w:t>60.64 - 61.9%</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4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auto"/>
                <w:w w:val="99"/>
              </w:rPr>
              <w:t>0%</w:t>
            </w:r>
          </w:p>
        </w:tc>
        <w:tc>
          <w:tcPr>
            <w:tcW w:w="3500" w:type="dxa"/>
            <w:vAlign w:val="bottom"/>
            <w:gridSpan w:val="3"/>
          </w:tcPr>
          <w:p>
            <w:pPr>
              <w:jc w:val="center"/>
              <w:ind w:left="732"/>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540" w:type="dxa"/>
            <w:vAlign w:val="bottom"/>
            <w:gridSpan w:val="2"/>
            <w:shd w:val="clear" w:color="auto" w:fill="CFF0FC"/>
          </w:tcPr>
          <w:p>
            <w:pPr>
              <w:jc w:val="center"/>
              <w:ind w:left="2010"/>
              <w:spacing w:after="0"/>
              <w:rPr>
                <w:sz w:val="20"/>
                <w:szCs w:val="20"/>
                <w:color w:val="auto"/>
              </w:rPr>
            </w:pPr>
            <w:r>
              <w:rPr>
                <w:rFonts w:ascii="Times New Roman" w:cs="Times New Roman" w:eastAsia="Times New Roman" w:hAnsi="Times New Roman"/>
                <w:sz w:val="18"/>
                <w:szCs w:val="18"/>
                <w:color w:val="auto"/>
                <w:w w:val="99"/>
              </w:rPr>
              <w:t>4.5 - 5.8</w:t>
            </w:r>
          </w:p>
        </w:tc>
        <w:tc>
          <w:tcPr>
            <w:tcW w:w="3500" w:type="dxa"/>
            <w:vAlign w:val="bottom"/>
            <w:gridSpan w:val="3"/>
            <w:shd w:val="clear" w:color="auto" w:fill="CFF0FC"/>
          </w:tcPr>
          <w:p>
            <w:pPr>
              <w:jc w:val="center"/>
              <w:ind w:left="732"/>
              <w:spacing w:after="0"/>
              <w:rPr>
                <w:sz w:val="20"/>
                <w:szCs w:val="20"/>
                <w:color w:val="auto"/>
              </w:rPr>
            </w:pPr>
            <w:r>
              <w:rPr>
                <w:rFonts w:ascii="Times New Roman" w:cs="Times New Roman" w:eastAsia="Times New Roman" w:hAnsi="Times New Roman"/>
                <w:sz w:val="18"/>
                <w:szCs w:val="18"/>
                <w:color w:val="auto"/>
                <w:w w:val="99"/>
              </w:rPr>
              <w:t>4.8 - 5.3</w:t>
            </w:r>
          </w:p>
        </w:tc>
        <w:tc>
          <w:tcPr>
            <w:tcW w:w="100" w:type="dxa"/>
            <w:vAlign w:val="bottom"/>
            <w:shd w:val="clear" w:color="auto" w:fill="CFF0FC"/>
          </w:tcPr>
          <w:p>
            <w:pPr>
              <w:spacing w:after="0"/>
              <w:rPr>
                <w:sz w:val="19"/>
                <w:szCs w:val="19"/>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ESPP assumptions:</w:t>
            </w:r>
          </w:p>
        </w:tc>
        <w:tc>
          <w:tcPr>
            <w:tcW w:w="14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40" w:type="dxa"/>
            <w:vAlign w:val="bottom"/>
            <w:gridSpan w:val="2"/>
            <w:shd w:val="clear" w:color="auto" w:fill="CFF0FC"/>
          </w:tcPr>
          <w:p>
            <w:pPr>
              <w:jc w:val="center"/>
              <w:ind w:left="2010"/>
              <w:spacing w:after="0"/>
              <w:rPr>
                <w:sz w:val="20"/>
                <w:szCs w:val="20"/>
                <w:color w:val="auto"/>
              </w:rPr>
            </w:pPr>
            <w:r>
              <w:rPr>
                <w:rFonts w:ascii="Times New Roman" w:cs="Times New Roman" w:eastAsia="Times New Roman" w:hAnsi="Times New Roman"/>
                <w:sz w:val="18"/>
                <w:szCs w:val="18"/>
                <w:color w:val="auto"/>
              </w:rPr>
              <w:t>0.14%</w:t>
            </w:r>
          </w:p>
        </w:tc>
        <w:tc>
          <w:tcPr>
            <w:tcW w:w="3500" w:type="dxa"/>
            <w:vAlign w:val="bottom"/>
            <w:gridSpan w:val="3"/>
            <w:shd w:val="clear" w:color="auto" w:fill="CFF0FC"/>
          </w:tcPr>
          <w:p>
            <w:pPr>
              <w:jc w:val="center"/>
              <w:ind w:left="752"/>
              <w:spacing w:after="0"/>
              <w:rPr>
                <w:sz w:val="20"/>
                <w:szCs w:val="20"/>
                <w:color w:val="auto"/>
              </w:rPr>
            </w:pPr>
            <w:r>
              <w:rPr>
                <w:rFonts w:ascii="Times New Roman" w:cs="Times New Roman" w:eastAsia="Times New Roman" w:hAnsi="Times New Roman"/>
                <w:sz w:val="18"/>
                <w:szCs w:val="18"/>
                <w:color w:val="auto"/>
                <w:w w:val="98"/>
              </w:rPr>
              <w:t>1.83%</w:t>
            </w:r>
          </w:p>
        </w:tc>
        <w:tc>
          <w:tcPr>
            <w:tcW w:w="100" w:type="dxa"/>
            <w:vAlign w:val="bottom"/>
            <w:shd w:val="clear" w:color="auto" w:fill="CFF0FC"/>
          </w:tcPr>
          <w:p>
            <w:pPr>
              <w:spacing w:after="0"/>
              <w:rPr>
                <w:sz w:val="19"/>
                <w:szCs w:val="19"/>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354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auto"/>
              </w:rPr>
              <w:t>81.70%</w:t>
            </w:r>
          </w:p>
        </w:tc>
        <w:tc>
          <w:tcPr>
            <w:tcW w:w="35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w w:val="98"/>
              </w:rPr>
              <w:t>59.7%</w:t>
            </w:r>
          </w:p>
        </w:tc>
        <w:tc>
          <w:tcPr>
            <w:tcW w:w="100" w:type="dxa"/>
            <w:vAlign w:val="bottom"/>
          </w:tcPr>
          <w:p>
            <w:pPr>
              <w:spacing w:after="0"/>
              <w:rPr>
                <w:sz w:val="21"/>
                <w:szCs w:val="2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40" w:type="dxa"/>
            <w:vAlign w:val="bottom"/>
            <w:gridSpan w:val="2"/>
            <w:shd w:val="clear" w:color="auto" w:fill="CFF0FC"/>
          </w:tcPr>
          <w:p>
            <w:pPr>
              <w:jc w:val="center"/>
              <w:ind w:left="2010"/>
              <w:spacing w:after="0"/>
              <w:rPr>
                <w:sz w:val="20"/>
                <w:szCs w:val="20"/>
                <w:color w:val="auto"/>
              </w:rPr>
            </w:pPr>
            <w:r>
              <w:rPr>
                <w:rFonts w:ascii="Times New Roman" w:cs="Times New Roman" w:eastAsia="Times New Roman" w:hAnsi="Times New Roman"/>
                <w:sz w:val="18"/>
                <w:szCs w:val="18"/>
                <w:color w:val="auto"/>
                <w:w w:val="95"/>
              </w:rPr>
              <w:t>0.0%</w:t>
            </w:r>
          </w:p>
        </w:tc>
        <w:tc>
          <w:tcPr>
            <w:tcW w:w="3500" w:type="dxa"/>
            <w:vAlign w:val="bottom"/>
            <w:gridSpan w:val="3"/>
            <w:shd w:val="clear" w:color="auto" w:fill="CFF0FC"/>
          </w:tcPr>
          <w:p>
            <w:pPr>
              <w:jc w:val="center"/>
              <w:ind w:left="7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9"/>
                <w:szCs w:val="19"/>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54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auto"/>
              </w:rPr>
              <w:t>0.5</w:t>
            </w:r>
          </w:p>
        </w:tc>
        <w:tc>
          <w:tcPr>
            <w:tcW w:w="35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21"/>
                <w:szCs w:val="21"/>
                <w:color w:val="auto"/>
              </w:rPr>
            </w:pPr>
          </w:p>
        </w:tc>
      </w:tr>
      <w:tr>
        <w:trPr>
          <w:trHeight w:val="891"/>
        </w:trPr>
        <w:tc>
          <w:tcPr>
            <w:tcW w:w="4100" w:type="dxa"/>
            <w:vAlign w:val="bottom"/>
          </w:tcPr>
          <w:p>
            <w:pPr>
              <w:spacing w:after="0"/>
              <w:rPr>
                <w:sz w:val="24"/>
                <w:szCs w:val="24"/>
                <w:color w:val="auto"/>
              </w:rPr>
            </w:pPr>
          </w:p>
        </w:tc>
        <w:tc>
          <w:tcPr>
            <w:tcW w:w="3540" w:type="dxa"/>
            <w:vAlign w:val="bottom"/>
            <w:gridSpan w:val="2"/>
          </w:tcPr>
          <w:p>
            <w:pPr>
              <w:jc w:val="right"/>
              <w:ind w:right="1848"/>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2020, there was $1.4 million of unamortized compensation cost related to unvested stock option awards which is expected to be recognized over a remaining weighted-average vesting period of 0.43 years, on a straight-line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May 22, 2015, the Company entered into an at-the-market issuance sales agreement (the “2015 ATM Agreement”) with MLV &amp; Co. LLC (MLV), pursuant to which the Company could sell common stock through MLV from time to time up to an aggregate offering price of $30.0 million. Sales of the Company’s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the Company’s prior approval. The Company agreed to pay MLV an aggregate commission rate of up to 4.0% of the gross proceeds of any common stock sold under this agreement. Proceeds from sales of common stock depended on the number of shares of common stock sold to MLV and the per share purchase price of each transaction.</w:t>
      </w:r>
    </w:p>
    <w:p>
      <w:pPr>
        <w:spacing w:after="0" w:line="192"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was not obligated to make any sales of common stock under the sales agreement and could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176"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the Company generated net proceeds of $6.1 million under the 2019 ATM Agreement, on sales of 811,798 shares of the Company’s common stock at a weighted average price of $7.77 per share.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75"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stock options excluded from diluted net loss per common share due to their anti-dilutive effect totaled 7,510,387 shares and 6,804,493 shares for the three and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2019 included in our Annual Report on Form 10-K filed with the Securities and Exchange Commission, or SEC, on February 13, 2020. Past operating results are not necessarily indicative of results that may occur in future periods.</w:t>
      </w:r>
    </w:p>
    <w:p>
      <w:pPr>
        <w:spacing w:after="0" w:line="180"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BC-PIV vaccine for COVID-19, MN-166 (ibudilast) for neurological and other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September 30, 2020, from inception, our accumulated deficit was $379.9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2" w:lineRule="exact"/>
        <w:rPr>
          <w:sz w:val="20"/>
          <w:szCs w:val="20"/>
          <w:color w:val="auto"/>
        </w:rPr>
      </w:pPr>
    </w:p>
    <w:p>
      <w:pPr>
        <w:ind w:right="440" w:firstLine="457"/>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00" w:hanging="493"/>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BC-PIV vaccine for the prevention of COVID-19.</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19" w:lineRule="exact"/>
        <w:rPr>
          <w:rFonts w:ascii="Times New Roman" w:cs="Times New Roman" w:eastAsia="Times New Roman" w:hAnsi="Times New Roman"/>
          <w:sz w:val="18"/>
          <w:szCs w:val="18"/>
          <w:color w:val="auto"/>
        </w:rPr>
      </w:pPr>
    </w:p>
    <w:p>
      <w:pPr>
        <w:ind w:left="10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7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1000" w:right="420" w:hanging="493"/>
        <w:spacing w:after="0" w:line="28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ind w:left="102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BC-PIV vaccine, MN-166 (ibudilast), MN-001 (tipelukast), MN-221 (bedoradrine) and MN-029 (denibulin), which could further support our clinical development and product commercialization.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22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recently published study of MN-166 (ibudilast) in an animal model of ARDS. During the pandemic, we have been able to continue with routine regulatory activities. For example, we successfully submitted an Investigational New Drug Application (IND) for MN-166 (ibudilast) for prevention of Acute Respiratory Distress Syndrome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September 30, 2020.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in the three months ended September 30, 2020 and 2019, in connection with the collaboration agreement with Kissei.</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2020 as our development programs progress.</w:t>
      </w:r>
    </w:p>
    <w:p>
      <w:pPr>
        <w:spacing w:after="0" w:line="188" w:lineRule="exact"/>
        <w:rPr>
          <w:sz w:val="20"/>
          <w:szCs w:val="20"/>
          <w:color w:val="auto"/>
        </w:rPr>
      </w:pPr>
    </w:p>
    <w:p>
      <w:pPr>
        <w:jc w:val="both"/>
        <w:ind w:right="360" w:firstLine="51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MN-221</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MN-166</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CFF0FC"/>
          </w:tcPr>
          <w:p>
            <w:pPr>
              <w:spacing w:after="0"/>
              <w:rPr>
                <w:sz w:val="19"/>
                <w:szCs w:val="19"/>
                <w:color w:val="auto"/>
              </w:rPr>
            </w:pPr>
          </w:p>
        </w:tc>
      </w:tr>
      <w:tr>
        <w:trPr>
          <w:trHeight w:val="229"/>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MN-001</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r>
      <w:tr>
        <w:trPr>
          <w:trHeight w:val="22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MN-029</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BC-PIV vaccine for COVID-19</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10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8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and Significant Judgments and Estimates” contained in our Annual Report on Form 10-K for the year ended December 31, 2019. There have not been any material changes to the critical accounting policies discussed therein during the three and nine months ended September 30,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160" w:firstLine="749"/>
        <w:spacing w:after="0" w:line="312" w:lineRule="auto"/>
        <w:rPr>
          <w:sz w:val="20"/>
          <w:szCs w:val="20"/>
          <w:color w:val="auto"/>
        </w:rPr>
      </w:pPr>
      <w:r>
        <w:rPr>
          <w:rFonts w:ascii="Times New Roman" w:cs="Times New Roman" w:eastAsia="Times New Roman" w:hAnsi="Times New Roman"/>
          <w:sz w:val="17"/>
          <w:szCs w:val="17"/>
          <w:color w:val="auto"/>
        </w:rPr>
        <w:t>Research, development and patents expenses were $2.2 million and $1.2 million for the three months ended September 30, 2020 and 2019, respectively. The increase of $1.0 million was primarily due to higher clinical trial expenses from the ongoing clinical trial of MN-166 (ibudilast) in ALS.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 and administrative expenses were $1.5 million for each of the three months ended September 30, 2020 and 2019, respectively.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119" w:lineRule="exact"/>
        <w:rPr>
          <w:sz w:val="20"/>
          <w:szCs w:val="20"/>
          <w:color w:val="auto"/>
        </w:rPr>
      </w:pPr>
    </w:p>
    <w:p>
      <w:pPr>
        <w:ind w:firstLine="595"/>
        <w:spacing w:after="0" w:line="266" w:lineRule="auto"/>
        <w:rPr>
          <w:sz w:val="20"/>
          <w:szCs w:val="20"/>
          <w:color w:val="auto"/>
        </w:rPr>
      </w:pPr>
      <w:r>
        <w:rPr>
          <w:rFonts w:ascii="Times New Roman" w:cs="Times New Roman" w:eastAsia="Times New Roman" w:hAnsi="Times New Roman"/>
          <w:sz w:val="18"/>
          <w:szCs w:val="18"/>
          <w:color w:val="auto"/>
        </w:rPr>
        <w:t>Research, development and patents expenses were $5.7 million and $4.3 million for the nine months ended September 30, 2020 and 2019, respectively. The increase of $1.4 million was due to higher clinical trial expenses offset by lower stock compensation expense for performance-based stock options resulting from a decrease in our stock price.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$5.5 million and $7.6 million for the nine months ended September 30, 2020 and 2019, respectively. The decrease of $2.1 million was primarily due to lower stock compensation expense for performance-based stock options resulting from a decrease in our stock price and a decrease in legal expenses.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2020 was $8.9 million compared to $6.7 million during the same period in 2019. Net cash used in operating activities primarily reflects the net loss and changes in operating assets and liabilities for those periods, which was partially offset by non-cash stock-based compensation expense.</w:t>
      </w:r>
    </w:p>
    <w:p>
      <w:pPr>
        <w:spacing w:after="0" w:line="6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$6.7 million during the nine months ended September 30, 2020 compared to $7.3 million during the same period in 2019. Net cash provided by financing activities during the nine months ended September 30, 2020 is primarily due to the sale of 811,798 shares of common stock under the 2019 ATM Agreement for net proceeds of $6.1 million and cash proceeds of $0.6 million from the exercise of options to purchase 203,863 shares of common stock. Net cash provided by financing activities during the nine months ended September 30, 2019 is primarily due to the exercise of 1,015,454 options to purchase common stock for cash proceeds of $4.1 million as well as the sale of 347,902 shares of common stock under the 2015 ATM Agreement and 2019 ATM Agreement for net proceeds of $3.2 million. Cash proceeds from financing activities are used for working capital and general corporate purposes.</w:t>
      </w:r>
    </w:p>
    <w:p>
      <w:pPr>
        <w:spacing w:after="0" w:line="18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On May 22, 2015, we entered into an at-the-market issuance sales agreement (the “2015 ATM Agreement”) with MLV &amp; Co. LLC (MLV), pursuant to which we could sell common stock through MLV from time to time up to an aggregate offering price of $30.0 million. Sales of our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our prior approval. We agreed to pay MLV an aggregate commission rate of up to 4.0% of the gross proceeds of any common stock sold under this agreement. Proceeds from sales of common stock depended on the number of shares of common stock sold to MLV and the per share purchase price of each transaction. We were not obligated to make any sales of common stock under the sales agreement and could terminate the sales agreement at any time upon written notice. On September 16, 2016, we amended the 2015 ATM agreement to also include FBR Capital Markets &amp; Co. as a sales agent. The 2015 ATM Agreement was terminated on August 23, 2019.</w:t>
      </w:r>
    </w:p>
    <w:p>
      <w:pPr>
        <w:spacing w:after="0" w:line="194"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219" w:lineRule="exact"/>
        <w:rPr>
          <w:sz w:val="20"/>
          <w:szCs w:val="20"/>
          <w:color w:val="auto"/>
        </w:rPr>
      </w:pPr>
    </w:p>
    <w:p>
      <w:pPr>
        <w:ind w:right="340" w:firstLine="5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we generated net proceeds of $6.1 million under the 2019 ATM agreement, on sales of 811,798 shares of our common stock at a weighted average price of $7.77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we generated net proceeds of $2.8 million and $0.4 million under the 2015 ATM Agreement and 2019 ATM Agreement respectively, on sales of 347,902 shares of our common stock at a weighted average price of $9.51 per share.</w:t>
      </w:r>
    </w:p>
    <w:p>
      <w:pPr>
        <w:spacing w:after="0" w:line="162"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we had available cash and cash equivalents of $61.7 million and working capital of $60.8 million. As of the date of this report, we believe we have working capital sufficient to fund operations at least through the end of 2021. However, we cannot provide assurance that these capital resources will be sufficient to conduct all our research and development programs as planned.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At September 30, 2020,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8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Cash and cash equivalents as of September 30, 2020 were $61.7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2020.</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September 30, 2020.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2019,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Other than the risk factor set forth below, we do not believe that there have been any material changes from the risk factors previously disclosed in our Annual Report on Form 10-K for the year ended December 31, 2019.</w:t>
      </w:r>
    </w:p>
    <w:p>
      <w:pPr>
        <w:spacing w:after="0" w:line="11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widespread outbreak of an illness or any other communicable disease, such as COVID-19, or any other public health crisis, could adversely affect our business, results of operations and financial condition.</w:t>
      </w:r>
    </w:p>
    <w:p>
      <w:pPr>
        <w:spacing w:after="0" w:line="78" w:lineRule="exact"/>
        <w:rPr>
          <w:sz w:val="20"/>
          <w:szCs w:val="20"/>
          <w:color w:val="auto"/>
        </w:rPr>
      </w:pPr>
    </w:p>
    <w:p>
      <w:pPr>
        <w:ind w:firstLine="468"/>
        <w:spacing w:after="0" w:line="254" w:lineRule="auto"/>
        <w:rPr>
          <w:sz w:val="20"/>
          <w:szCs w:val="20"/>
          <w:color w:val="auto"/>
        </w:rPr>
      </w:pPr>
      <w:r>
        <w:rPr>
          <w:rFonts w:ascii="Times New Roman" w:cs="Times New Roman" w:eastAsia="Times New Roman" w:hAnsi="Times New Roman"/>
          <w:sz w:val="18"/>
          <w:szCs w:val="18"/>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Wuhan, Hubei Province, China. In March 2020, the World Health Organization declared COVID-19 a pandemic. The COVID-19 pandemic has negatively impacted the global economy, disrupted global supply chains and created significant volatility and disruption of financial markets.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 w:name="page22"/>
    <w:bookmarkEnd w:id="2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ectPr>
          <w:pgSz w:w="11900" w:h="16838" w:orient="portrait"/>
          <w:cols w:equalWidth="0" w:num="1">
            <w:col w:w="11140"/>
          </w:cols>
          <w:pgMar w:left="320" w:top="657" w:right="439" w:bottom="1440" w:gutter="0" w:footer="0" w:header="0"/>
        </w:sect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5"/>
          <w:szCs w:val="15"/>
          <w:color w:val="auto"/>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5"/>
          <w:szCs w:val="15"/>
          <w:color w:val="auto"/>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5"/>
          <w:szCs w:val="15"/>
          <w:color w:val="auto"/>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5"/>
          <w:szCs w:val="15"/>
          <w:color w:val="auto"/>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626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9" w:lineRule="exact"/>
        <w:rPr>
          <w:sz w:val="20"/>
          <w:szCs w:val="20"/>
          <w:color w:val="auto"/>
        </w:rPr>
      </w:pPr>
    </w:p>
    <w:p>
      <w:pPr>
        <w:ind w:right="440"/>
        <w:spacing w:after="0" w:line="282" w:lineRule="auto"/>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Restated Certificate of Incorporation of the Registrant, as amended (incorporated by reference to Exhibit 3.1 of the Registrant’s Quarterly</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Report on Form 10-Q filed August 9, 2012).</w:t>
        </w:r>
      </w:hyperlink>
    </w:p>
    <w:p>
      <w:pPr>
        <w:spacing w:after="0" w:line="67"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Amended and Restated Bylaws of the Registrant (incorporated by reference to Exhibit 3.1 of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April 25, 2019).</w:t>
        </w:r>
      </w:hyperlink>
    </w:p>
    <w:p>
      <w:pPr>
        <w:spacing w:after="0" w:line="6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Certification of Principal Executive Officer pursuant to Section 302 of the Sarbanes-Oxley Act of 2002.</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Certification of Principal Financial Officer pursuant to Section 302 of the Sarbanes-Oxley Act of 2002.</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Certification of Principal Executive Officer pursuant to 18 U.S.C. Section 1350 (Section 906 of the Sarbanes-Oxley Act of 2002).</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September 30, 2020 formatted in Inline Extensible Business Reporting Language (iXBRL):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0" w:lineRule="exact"/>
        <w:rPr>
          <w:sz w:val="20"/>
          <w:szCs w:val="20"/>
          <w:color w:val="auto"/>
        </w:rPr>
      </w:pPr>
    </w:p>
    <w:p>
      <w:pPr>
        <w:sectPr>
          <w:pgSz w:w="11900" w:h="16838" w:orient="portrait"/>
          <w:cols w:equalWidth="0" w:num="2">
            <w:col w:w="600" w:space="200"/>
            <w:col w:w="10340"/>
          </w:cols>
          <w:pgMar w:left="320" w:top="657" w:right="439" w:bottom="1440" w:gutter="0" w:footer="0" w:header="0"/>
          <w:type w:val="continuous"/>
        </w:sect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32" w:lineRule="exact"/>
        <w:rPr>
          <w:sz w:val="20"/>
          <w:szCs w:val="20"/>
          <w:color w:val="auto"/>
        </w:rPr>
      </w:pPr>
    </w:p>
    <w:p>
      <w:pPr>
        <w:ind w:left="740" w:hanging="368"/>
        <w:spacing w:after="0"/>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type w:val="continuous"/>
        </w:sectPr>
      </w:pPr>
    </w:p>
    <w:bookmarkStart w:id="22" w:name="page23"/>
    <w:bookmarkEnd w:id="2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Times New Roman" w:cs="Times New Roman" w:eastAsia="Times New Roman" w:hAnsi="Times New Roman"/>
          <w:sz w:val="18"/>
          <w:szCs w:val="18"/>
          <w:color w:val="auto"/>
        </w:rPr>
        <w:t>Date: October 26,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676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76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19" w:lineRule="exact"/>
        <w:rPr>
          <w:sz w:val="20"/>
          <w:szCs w:val="20"/>
          <w:color w:val="auto"/>
        </w:rPr>
      </w:pPr>
    </w:p>
    <w:p>
      <w:pPr>
        <w:ind w:left="6460"/>
        <w:spacing w:after="0"/>
        <w:tabs>
          <w:tab w:leader="none" w:pos="812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w:t>
      </w:r>
      <w:r>
        <w:rPr>
          <w:rFonts w:ascii="Times New Roman" w:cs="Times New Roman" w:eastAsia="Times New Roman" w:hAnsi="Times New Roman"/>
          <w:sz w:val="13"/>
          <w:szCs w:val="13"/>
          <w:color w:val="auto"/>
        </w:rPr>
        <w:t>DWARD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Edward Stepanow</w:t>
      </w:r>
    </w:p>
    <w:p>
      <w:pPr>
        <w:jc w:val="center"/>
        <w:ind w:left="676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76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00"/>
          </w:cols>
          <w:pgMar w:left="320" w:top="333" w:right="77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September 30,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2020 of MediciNova,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518"/>
        <w:spacing w:after="0" w:line="266"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484"/>
        <w:spacing w:after="0" w:line="266"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4"/>
        <w:spacing w:after="0" w:line="266" w:lineRule="auto"/>
        <w:tabs>
          <w:tab w:leader="none" w:pos="12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484"/>
        <w:spacing w:after="0" w:line="282"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66" w:lineRule="auto"/>
        <w:tabs>
          <w:tab w:leader="none" w:pos="12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60" w:firstLine="518"/>
        <w:spacing w:after="0" w:line="282"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20" w:firstLine="484"/>
        <w:spacing w:after="0" w:line="282"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82" w:lineRule="auto"/>
        <w:tabs>
          <w:tab w:leader="none" w:pos="12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October 26, 2020</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ind w:left="73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7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September 30,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Stepanow,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2020 of MediciNova,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518"/>
        <w:spacing w:after="0" w:line="266"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484"/>
        <w:spacing w:after="0" w:line="266"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4"/>
        <w:spacing w:after="0" w:line="266" w:lineRule="auto"/>
        <w:tabs>
          <w:tab w:leader="none" w:pos="120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484"/>
        <w:spacing w:after="0" w:line="282"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66" w:lineRule="auto"/>
        <w:tabs>
          <w:tab w:leader="none" w:pos="120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60" w:firstLine="518"/>
        <w:spacing w:after="0" w:line="282"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20" w:firstLine="484"/>
        <w:spacing w:after="0" w:line="282"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82" w:lineRule="auto"/>
        <w:tabs>
          <w:tab w:leader="none" w:pos="120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October 26, 2020</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Times New Roman" w:cs="Times New Roman" w:eastAsia="Times New Roman" w:hAnsi="Times New Roman"/>
          <w:sz w:val="18"/>
          <w:szCs w:val="18"/>
          <w:color w:val="auto"/>
        </w:rPr>
        <w:t>By:</w:t>
        <w:tab/>
        <w:t>/s/</w:t>
        <w:tab/>
        <w:t>E</w:t>
      </w:r>
      <w:r>
        <w:rPr>
          <w:rFonts w:ascii="Times New Roman" w:cs="Times New Roman" w:eastAsia="Times New Roman" w:hAnsi="Times New Roman"/>
          <w:sz w:val="13"/>
          <w:szCs w:val="13"/>
          <w:color w:val="auto"/>
        </w:rPr>
        <w:t>DWARD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Edward Stepanow</w:t>
      </w:r>
    </w:p>
    <w:p>
      <w:pPr>
        <w:ind w:left="722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September 30, 2020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180" w:hanging="176"/>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400" w:firstLine="484"/>
        <w:spacing w:after="0" w:line="282" w:lineRule="auto"/>
        <w:tabs>
          <w:tab w:leader="none" w:pos="11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October 26, 2020</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1"/>
          <w:szCs w:val="11"/>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September 30, 2020, as filed with the Securities and Exchange Commission on the date hereof (the “Report”), I, Edward Stepanow, as Chief Financial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180" w:hanging="176"/>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400" w:firstLine="484"/>
        <w:spacing w:after="0" w:line="282" w:lineRule="auto"/>
        <w:tabs>
          <w:tab w:leader="none" w:pos="11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October 26, 2020</w:t>
      </w:r>
    </w:p>
    <w:p>
      <w:pPr>
        <w:spacing w:after="0" w:line="252" w:lineRule="exact"/>
        <w:rPr>
          <w:sz w:val="20"/>
          <w:szCs w:val="20"/>
          <w:color w:val="auto"/>
        </w:rPr>
      </w:pPr>
    </w:p>
    <w:p>
      <w:pPr>
        <w:ind w:left="6760"/>
        <w:spacing w:after="0"/>
        <w:tabs>
          <w:tab w:leader="none" w:pos="8340" w:val="left"/>
          <w:tab w:leader="none" w:pos="8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w:t>
      </w:r>
      <w:r>
        <w:rPr>
          <w:rFonts w:ascii="Times New Roman" w:cs="Times New Roman" w:eastAsia="Times New Roman" w:hAnsi="Times New Roman"/>
          <w:sz w:val="13"/>
          <w:szCs w:val="13"/>
          <w:color w:val="auto"/>
        </w:rPr>
        <w:t>DWARD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Edward Stepanow</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2" Type="http://schemas.openxmlformats.org/officeDocument/2006/relationships/hyperlink" Target="http://www.sec.gov/Archives/edgar/data/1226616/000119312512347932/d344794dex31.htm" TargetMode="External"/><Relationship Id="rId43"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2020-10-26T15:31:33Z</dcterms:created>
  <dcterms:modified xsi:type="dcterms:W3CDTF">2020-10-26T15:31:33Z</dcterms:modified>
</cp:coreProperties>
</file>