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34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77"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41"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90" w:lineRule="exact"/>
        <w:rPr>
          <w:sz w:val="24"/>
          <w:szCs w:val="24"/>
          <w:color w:val="auto"/>
        </w:rPr>
      </w:pPr>
    </w:p>
    <w:p>
      <w:pPr>
        <w:sectPr>
          <w:pgSz w:w="11900" w:h="16838" w:orient="portrait"/>
          <w:cols w:equalWidth="0" w:num="2">
            <w:col w:w="3820" w:space="620"/>
            <w:col w:w="698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tbl>
      <w:tblPr>
        <w:tblLayout w:type="fixed"/>
        <w:tblInd w:w="1400" w:type="dxa"/>
        <w:tblCellMar>
          <w:top w:w="0" w:type="dxa"/>
          <w:left w:w="0" w:type="dxa"/>
          <w:bottom w:w="0" w:type="dxa"/>
          <w:right w:w="0" w:type="dxa"/>
        </w:tblCellMar>
      </w:tblPr>
      <w:tr>
        <w:trPr>
          <w:trHeight w:val="544"/>
        </w:trPr>
        <w:tc>
          <w:tcPr>
            <w:tcW w:w="6560" w:type="dxa"/>
            <w:vAlign w:val="bottom"/>
            <w:gridSpan w:val="3"/>
          </w:tcPr>
          <w:p>
            <w:pPr>
              <w:jc w:val="center"/>
              <w:ind w:left="1970"/>
              <w:spacing w:after="0"/>
              <w:rPr>
                <w:sz w:val="20"/>
                <w:szCs w:val="20"/>
                <w:color w:val="auto"/>
              </w:rPr>
            </w:pPr>
            <w:r>
              <w:rPr>
                <w:rFonts w:ascii="Arial" w:cs="Arial" w:eastAsia="Arial" w:hAnsi="Arial"/>
                <w:sz w:val="43"/>
                <w:szCs w:val="43"/>
                <w:b w:val="1"/>
                <w:bCs w:val="1"/>
                <w:color w:val="auto"/>
              </w:rPr>
              <w:t>MEDICINOVA, INC.</w:t>
            </w: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00" w:type="dxa"/>
            <w:vAlign w:val="bottom"/>
          </w:tcPr>
          <w:p>
            <w:pPr>
              <w:spacing w:after="0"/>
              <w:rPr>
                <w:sz w:val="15"/>
                <w:szCs w:val="15"/>
                <w:color w:val="auto"/>
              </w:rPr>
            </w:pPr>
          </w:p>
        </w:tc>
      </w:tr>
      <w:tr>
        <w:trPr>
          <w:trHeight w:val="163"/>
        </w:trPr>
        <w:tc>
          <w:tcPr>
            <w:tcW w:w="31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05"/>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Delaware</w:t>
            </w:r>
          </w:p>
        </w:tc>
        <w:tc>
          <w:tcPr>
            <w:tcW w:w="130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56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0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9"/>
              </w:rPr>
              <w:t>Incorporation or Organization)</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87"/>
              </w:rPr>
              <w:t>Identification No.)</w:t>
            </w:r>
          </w:p>
        </w:tc>
      </w:tr>
      <w:tr>
        <w:trPr>
          <w:trHeight w:val="310"/>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4350 La Jolla Village Drive, Suite 950</w:t>
            </w:r>
          </w:p>
        </w:tc>
        <w:tc>
          <w:tcPr>
            <w:tcW w:w="1300" w:type="dxa"/>
            <w:vAlign w:val="bottom"/>
          </w:tcPr>
          <w:p>
            <w:pPr>
              <w:spacing w:after="0"/>
              <w:rPr>
                <w:sz w:val="24"/>
                <w:szCs w:val="24"/>
                <w:color w:val="auto"/>
              </w:rPr>
            </w:pPr>
          </w:p>
        </w:tc>
      </w:tr>
      <w:tr>
        <w:trPr>
          <w:trHeight w:val="231"/>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San Diego, CA</w:t>
            </w:r>
          </w:p>
        </w:tc>
        <w:tc>
          <w:tcPr>
            <w:tcW w:w="130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(Zip Code)</w:t>
            </w:r>
          </w:p>
        </w:tc>
      </w:tr>
      <w:tr>
        <w:trPr>
          <w:trHeight w:val="271"/>
        </w:trPr>
        <w:tc>
          <w:tcPr>
            <w:tcW w:w="550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89"/>
              </w:rPr>
              <w:t>(858) 373-1500</w:t>
            </w:r>
          </w:p>
        </w:tc>
        <w:tc>
          <w:tcPr>
            <w:tcW w:w="10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640" w:type="dxa"/>
            <w:vAlign w:val="bottom"/>
          </w:tcPr>
          <w:p>
            <w:pPr>
              <w:ind w:left="1420"/>
              <w:spacing w:after="0"/>
              <w:rPr>
                <w:sz w:val="20"/>
                <w:szCs w:val="20"/>
                <w:color w:val="auto"/>
              </w:rPr>
            </w:pPr>
            <w:r>
              <w:rPr>
                <w:rFonts w:ascii="Arial" w:cs="Arial" w:eastAsia="Arial" w:hAnsi="Arial"/>
                <w:sz w:val="18"/>
                <w:szCs w:val="18"/>
                <w:color w:val="auto"/>
                <w:w w:val="92"/>
              </w:rPr>
              <w:t>Accelerated filer</w:t>
            </w:r>
          </w:p>
        </w:tc>
        <w:tc>
          <w:tcPr>
            <w:tcW w:w="2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75"/>
        </w:trPr>
        <w:tc>
          <w:tcPr>
            <w:tcW w:w="65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4840" w:type="dxa"/>
            <w:vAlign w:val="bottom"/>
            <w:gridSpan w:val="2"/>
          </w:tcPr>
          <w:p>
            <w:pPr>
              <w:ind w:left="142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97"/>
        </w:trPr>
        <w:tc>
          <w:tcPr>
            <w:tcW w:w="9220" w:type="dxa"/>
            <w:vAlign w:val="bottom"/>
            <w:gridSpan w:val="2"/>
          </w:tcPr>
          <w:p>
            <w:pPr>
              <w:ind w:left="460"/>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77"/>
        </w:trPr>
        <w:tc>
          <w:tcPr>
            <w:tcW w:w="9220" w:type="dxa"/>
            <w:vAlign w:val="bottom"/>
            <w:gridSpan w:val="2"/>
          </w:tcPr>
          <w:p>
            <w:pPr>
              <w:ind w:left="460"/>
              <w:spacing w:after="0"/>
              <w:rPr>
                <w:sz w:val="20"/>
                <w:szCs w:val="20"/>
                <w:color w:val="auto"/>
              </w:rPr>
            </w:pPr>
            <w:r>
              <w:rPr>
                <w:rFonts w:ascii="Arial" w:cs="Arial" w:eastAsia="Arial" w:hAnsi="Arial"/>
                <w:sz w:val="18"/>
                <w:szCs w:val="18"/>
                <w:color w:val="auto"/>
              </w:rPr>
              <w:t>As of May 11, 2009, the registrant had 12,005,792 shares of Common Stock ($0.001 par value) outstanding.</w:t>
            </w:r>
          </w:p>
        </w:tc>
        <w:tc>
          <w:tcPr>
            <w:tcW w:w="2200" w:type="dxa"/>
            <w:vAlign w:val="bottom"/>
          </w:tcPr>
          <w:p>
            <w:pPr>
              <w:spacing w:after="0"/>
              <w:rPr>
                <w:sz w:val="24"/>
                <w:szCs w:val="24"/>
                <w:color w:val="auto"/>
              </w:rPr>
            </w:pPr>
          </w:p>
        </w:tc>
      </w:tr>
      <w:tr>
        <w:trPr>
          <w:trHeight w:val="83"/>
        </w:trPr>
        <w:tc>
          <w:tcPr>
            <w:tcW w:w="6580" w:type="dxa"/>
            <w:vAlign w:val="bottom"/>
            <w:tcBorders>
              <w:bottom w:val="single" w:sz="8" w:color="auto"/>
            </w:tcBorders>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r>
      <w:tr>
        <w:trPr>
          <w:trHeight w:val="21"/>
        </w:trPr>
        <w:tc>
          <w:tcPr>
            <w:tcW w:w="65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240" w:type="dxa"/>
            <w:vAlign w:val="bottom"/>
            <w:gridSpan w:val="9"/>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6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3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CONSOLIDATED FINANCIAL STATEMENTS</w:t>
              </w:r>
            </w:hyperlink>
          </w:p>
        </w:tc>
        <w:tc>
          <w:tcPr>
            <w:tcW w:w="522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87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MANAGEMENT’S DISCUSSION AND ANALYSIS OF FINANCIAL CONDITION AND RESULTS OF OPERATIONS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CONTROLS AND PROCEDURES</w:t>
              </w:r>
            </w:hyperlink>
          </w:p>
        </w:tc>
        <w:tc>
          <w:tcPr>
            <w:tcW w:w="3440" w:type="dxa"/>
            <w:vAlign w:val="bottom"/>
            <w:tcBorders>
              <w:top w:val="single" w:sz="8" w:color="0000EE"/>
            </w:tcBorders>
            <w:gridSpan w:val="5"/>
          </w:tcPr>
          <w:p>
            <w:pPr>
              <w:spacing w:after="0"/>
              <w:rPr>
                <w:sz w:val="17"/>
                <w:szCs w:val="17"/>
                <w:color w:val="auto"/>
              </w:rPr>
            </w:pPr>
          </w:p>
        </w:tc>
        <w:tc>
          <w:tcPr>
            <w:tcW w:w="27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PART II. OTHER INFORMATION</w:t>
              </w:r>
            </w:hyperlink>
          </w:p>
        </w:tc>
        <w:tc>
          <w:tcPr>
            <w:tcW w:w="7540" w:type="dxa"/>
            <w:vAlign w:val="bottom"/>
            <w:gridSpan w:val="11"/>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36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8700" w:type="dxa"/>
            <w:vAlign w:val="bottom"/>
            <w:gridSpan w:val="1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1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RISK FACTORS</w:t>
              </w:r>
            </w:hyperlink>
          </w:p>
        </w:tc>
        <w:tc>
          <w:tcPr>
            <w:tcW w:w="600" w:type="dxa"/>
            <w:vAlign w:val="bottom"/>
            <w:tcBorders>
              <w:top w:val="single" w:sz="8" w:color="0000EE"/>
            </w:tcBorders>
            <w:gridSpan w:val="2"/>
          </w:tcPr>
          <w:p>
            <w:pPr>
              <w:spacing w:after="0"/>
              <w:rPr>
                <w:sz w:val="17"/>
                <w:szCs w:val="17"/>
                <w:color w:val="auto"/>
              </w:rPr>
            </w:pPr>
          </w:p>
        </w:tc>
        <w:tc>
          <w:tcPr>
            <w:tcW w:w="6880" w:type="dxa"/>
            <w:vAlign w:val="bottom"/>
            <w:gridSpan w:val="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59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UNREGISTERED SALES OF EQUITY SECURITIES AND USE OF PROCEEDS</w:t>
              </w:r>
            </w:hyperlink>
          </w:p>
        </w:tc>
        <w:tc>
          <w:tcPr>
            <w:tcW w:w="278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5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SUBMISSION OF MATTERS TO A VOTE OF SECURITY HOLDERS</w:t>
              </w:r>
            </w:hyperlink>
          </w:p>
        </w:tc>
        <w:tc>
          <w:tcPr>
            <w:tcW w:w="354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5.</w:t>
            </w:r>
          </w:p>
        </w:tc>
        <w:tc>
          <w:tcPr>
            <w:tcW w:w="18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OTHER INFORMATION</w:t>
              </w:r>
            </w:hyperlink>
          </w:p>
        </w:tc>
        <w:tc>
          <w:tcPr>
            <w:tcW w:w="6860" w:type="dxa"/>
            <w:vAlign w:val="bottom"/>
            <w:gridSpan w:val="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8700" w:type="dxa"/>
            <w:vAlign w:val="bottom"/>
            <w:gridSpan w:val="1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304"/>
        </w:trPr>
        <w:tc>
          <w:tcPr>
            <w:tcW w:w="1360" w:type="dxa"/>
            <w:vAlign w:val="bottom"/>
            <w:gridSpan w:val="2"/>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SIGNATURES</w:t>
              </w:r>
            </w:hyperlink>
          </w:p>
        </w:tc>
        <w:tc>
          <w:tcPr>
            <w:tcW w:w="8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83"/>
        </w:trPr>
        <w:tc>
          <w:tcPr>
            <w:tcW w:w="11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160" w:type="dxa"/>
            <w:vAlign w:val="bottom"/>
            <w:gridSpan w:val="10"/>
          </w:tcPr>
          <w:p>
            <w:pPr>
              <w:ind w:left="432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80" w:type="dxa"/>
            <w:vAlign w:val="bottom"/>
          </w:tcPr>
          <w:p>
            <w:pPr>
              <w:jc w:val="center"/>
              <w:ind w:left="2332"/>
              <w:spacing w:after="0"/>
              <w:rPr>
                <w:sz w:val="20"/>
                <w:szCs w:val="20"/>
                <w:color w:val="auto"/>
              </w:rPr>
            </w:pPr>
            <w:r>
              <w:rPr>
                <w:rFonts w:ascii="Arial" w:cs="Arial" w:eastAsia="Arial" w:hAnsi="Arial"/>
                <w:sz w:val="18"/>
                <w:szCs w:val="18"/>
                <w:b w:val="1"/>
                <w:bCs w:val="1"/>
                <w:color w:val="auto"/>
                <w:w w:val="99"/>
              </w:rPr>
              <w:t>PART I. FINANCIAL INFORMATION</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80" w:type="dxa"/>
            <w:vAlign w:val="bottom"/>
          </w:tcPr>
          <w:p>
            <w:pPr>
              <w:ind w:left="380"/>
              <w:spacing w:after="0"/>
              <w:rPr>
                <w:sz w:val="20"/>
                <w:szCs w:val="20"/>
                <w:color w:val="auto"/>
              </w:rPr>
            </w:pPr>
            <w:r>
              <w:rPr>
                <w:rFonts w:ascii="Arial" w:cs="Arial" w:eastAsia="Arial" w:hAnsi="Arial"/>
                <w:sz w:val="18"/>
                <w:szCs w:val="18"/>
                <w:b w:val="1"/>
                <w:bCs w:val="1"/>
                <w:color w:val="auto"/>
              </w:rPr>
              <w:t>CONSOLIDATED FINANCIAL STATEMENTS.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80" w:type="dxa"/>
            <w:vAlign w:val="bottom"/>
          </w:tcPr>
          <w:p>
            <w:pPr>
              <w:jc w:val="center"/>
              <w:ind w:left="2332"/>
              <w:spacing w:after="0"/>
              <w:rPr>
                <w:sz w:val="20"/>
                <w:szCs w:val="20"/>
                <w:color w:val="auto"/>
              </w:rPr>
            </w:pPr>
            <w:r>
              <w:rPr>
                <w:rFonts w:ascii="Arial" w:cs="Arial" w:eastAsia="Arial" w:hAnsi="Arial"/>
                <w:sz w:val="18"/>
                <w:szCs w:val="18"/>
                <w:b w:val="1"/>
                <w:bCs w:val="1"/>
                <w:color w:val="auto"/>
              </w:rPr>
              <w:t>MEDICINOVA, INC.</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80" w:type="dxa"/>
            <w:vAlign w:val="bottom"/>
          </w:tcPr>
          <w:p>
            <w:pPr>
              <w:jc w:val="center"/>
              <w:ind w:left="2352"/>
              <w:spacing w:after="0"/>
              <w:rPr>
                <w:sz w:val="20"/>
                <w:szCs w:val="20"/>
                <w:color w:val="auto"/>
              </w:rPr>
            </w:pPr>
            <w:r>
              <w:rPr>
                <w:rFonts w:ascii="Arial" w:cs="Arial" w:eastAsia="Arial" w:hAnsi="Arial"/>
                <w:sz w:val="18"/>
                <w:szCs w:val="18"/>
                <w:b w:val="1"/>
                <w:bCs w:val="1"/>
                <w:color w:val="auto"/>
                <w:w w:val="86"/>
              </w:rPr>
              <w:t>(a development stage company)</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80" w:type="dxa"/>
            <w:vAlign w:val="bottom"/>
          </w:tcPr>
          <w:p>
            <w:pPr>
              <w:jc w:val="center"/>
              <w:ind w:left="2352"/>
              <w:spacing w:after="0"/>
              <w:rPr>
                <w:sz w:val="20"/>
                <w:szCs w:val="20"/>
                <w:color w:val="auto"/>
              </w:rPr>
            </w:pPr>
            <w:r>
              <w:rPr>
                <w:rFonts w:ascii="Arial" w:cs="Arial" w:eastAsia="Arial" w:hAnsi="Arial"/>
                <w:sz w:val="18"/>
                <w:szCs w:val="18"/>
                <w:b w:val="1"/>
                <w:bCs w:val="1"/>
                <w:color w:val="auto"/>
                <w:w w:val="96"/>
              </w:rPr>
              <w:t>CONSOLIDATED BALANCE SHEETS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2009</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(Unaudited)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32,789,952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19,297,284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1,224,477</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34,014,429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20,015,601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305,692</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investments (Note 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23,111,115</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24,047,314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Long-term asset (Note 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6,755,571</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5,792,701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64,186,807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50,223,915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948,611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392,572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ARS loan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18,058,366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1,211,121</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1,011,916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227,416</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765,147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20,445,514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Common stock, $0.001 par value; 30,000,000 shares authorized at March 31, 2009 and December 31, 2008;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12,072,027 shares issued at March 31, 2009 and December 31, 2008</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12,072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w w:val="91"/>
              </w:rPr>
              <w:t>277,050,130</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276,361,775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(69,262)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w w:val="99"/>
              </w:rPr>
              <w:t>Treasury stock, at cost; 66,235 shares at March 31, 2009 and 87,314 shares at December 31, 2008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(1,276,047)</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(1,317,362)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(231,975,600)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(226,982,209)</w:t>
            </w:r>
          </w:p>
        </w:tc>
        <w:tc>
          <w:tcPr>
            <w:tcW w:w="0" w:type="dxa"/>
            <w:vAlign w:val="bottom"/>
          </w:tcPr>
          <w:p>
            <w:pPr>
              <w:spacing w:after="0"/>
              <w:rPr>
                <w:sz w:val="1"/>
                <w:szCs w:val="1"/>
                <w:color w:val="auto"/>
              </w:rPr>
            </w:pPr>
          </w:p>
        </w:tc>
      </w:tr>
      <w:tr>
        <w:trPr>
          <w:trHeight w:val="230"/>
        </w:trPr>
        <w:tc>
          <w:tcPr>
            <w:tcW w:w="834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43,741,293</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48,044,532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64,186,807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50,223,915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restart"/>
          </w:tcPr>
          <w:p>
            <w:pPr>
              <w:jc w:val="center"/>
              <w:ind w:right="180"/>
              <w:spacing w:after="0" w:line="136"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3,100,901</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6,078,411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136,773,599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2,164,194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2,581,262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80,824,901</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5,265,095</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8,659,673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218,856,921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(5,265,095)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(8,659,673)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(217,298,694)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w w:val="93"/>
              </w:rPr>
              <w:t>Gain/(Impairment charge) on long-term investments, long-term asset and marketable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26,671</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(2,359,201)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(1,233,313)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27,088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(617,931)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217,950</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834,351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18,014,164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(33,564)</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(4,993,391)</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(10,802,601)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(200,612,478)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w w:val="90"/>
              </w:rPr>
              <w:t>Deemed dividend resulting from beneficial conversion feature on Series C redeemable convertible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(4,993,391)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(10,802,601)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(231,975,600)</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gridSpan w:val="2"/>
            <w:vMerge w:val="continue"/>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(0.41)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common share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12,072,027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12,072,027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w w:val="92"/>
              </w:rPr>
              <w:t>Three months ended March 31,</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80" w:type="dxa"/>
            <w:vAlign w:val="bottom"/>
            <w:gridSpan w:val="6"/>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(4,993,391)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(10,802,601)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(200,612,478)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688,355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794,161</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44,624,317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107,496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1,638,703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860"/>
              <w:spacing w:after="0"/>
              <w:rPr>
                <w:sz w:val="20"/>
                <w:szCs w:val="20"/>
                <w:color w:val="auto"/>
              </w:rPr>
            </w:pPr>
            <w:r>
              <w:rPr>
                <w:rFonts w:ascii="Arial" w:cs="Arial" w:eastAsia="Arial" w:hAnsi="Arial"/>
                <w:sz w:val="18"/>
                <w:szCs w:val="18"/>
                <w:color w:val="auto"/>
              </w:rPr>
              <w:t>Amortization of premium/discount on marketable securities</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(694,797)</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(2,476,420)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charge on long-term investments and marketable securities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967,856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2,359,201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8,020,541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860"/>
              <w:spacing w:after="0"/>
              <w:rPr>
                <w:sz w:val="20"/>
                <w:szCs w:val="20"/>
                <w:color w:val="auto"/>
              </w:rPr>
            </w:pPr>
            <w:r>
              <w:rPr>
                <w:rFonts w:ascii="Arial" w:cs="Arial" w:eastAsia="Arial" w:hAnsi="Arial"/>
                <w:sz w:val="18"/>
                <w:szCs w:val="18"/>
                <w:color w:val="auto"/>
              </w:rPr>
              <w:t>Gain on long-term investments and long-term asset</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(994,527)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(6,787,228)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property and equipment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(506,160)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878,073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(1,224,477)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280"/>
              <w:spacing w:after="0"/>
              <w:rPr>
                <w:sz w:val="20"/>
                <w:szCs w:val="20"/>
                <w:color w:val="auto"/>
              </w:rPr>
            </w:pPr>
            <w:r>
              <w:rPr>
                <w:rFonts w:ascii="Arial" w:cs="Arial" w:eastAsia="Arial" w:hAnsi="Arial"/>
                <w:sz w:val="18"/>
                <w:szCs w:val="18"/>
                <w:color w:val="auto"/>
                <w:w w:val="99"/>
              </w:rPr>
              <w:t>Accounts payable, accrued expenses, income taxes payable and deferred rent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705,978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161,887</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2,120,214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compensation and related expenses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(537,731)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(247,786)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227,416</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(4,607,013)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(7,444,366)</w:t>
            </w:r>
          </w:p>
        </w:tc>
        <w:tc>
          <w:tcPr>
            <w:tcW w:w="1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(154,434,153)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Purchases of marketable securities available-for-sale</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(377,205,766)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or sales of marketable securities available-for-sale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18,750,000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348,553,451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Acquisition of property and equipment</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(2,236,499)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16,750,000</w:t>
            </w:r>
          </w:p>
        </w:tc>
        <w:tc>
          <w:tcPr>
            <w:tcW w:w="1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(30,631,969)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Net proceeds from the sale of common stock</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120,890,566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preferred stock, net of issuance costs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80,216,971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Proceeds from ARS loan, net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18,058,366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18,058,366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 net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(1,309,829)</w:t>
            </w: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18,099,681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43,368</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217,856,074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13,492,668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9,349,002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32,789,952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19,297,284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18,778,938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32,789,952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28,127,940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32,789,952</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preferred stock into common stock upon IPO</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43,515,677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Unrealized loss on marketable securities available-for-sale</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2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(88,318)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(89,018)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operating and investment activities: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Reclassification of current marketable securities available-for-sale to long-term investments</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(24,047,314)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ind w:right="89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were incorporated in the state of Delaware in September 2000. We are a development stage biopharmaceutical company focused on acquiring and developing novel, small molecule therapeutics for the treatment of diseases with unmet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prepared the accompanying unaudited consolidated financial statements in accordance with accounting principles generally accepted in the United States of America for interim financial information. Accordingly, they do not include all of the information and disclosures required by generally accepted accounting principles for complete financial statements. In the opinion of management, all adjustments (consisting of normal recurring adjustments) considered necessary for a fair presentation of the financial position, results of operations and cash flow for the interim period presented have been included. Operating results for the three months ended March 31, 2009 are not necessarily indicative of the results that may be expected for the year ending December 31, 2009 or for any other period. For further information, see the financial statements and disclosures thereto for the year ended December 31, 2008 in our Annual Report on Form 10-K as filed with the Securities and Exchange Commission on March 31, 2009.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the Company’s compounds for the European marketplace. MediciNova (Europe) Limited’s functional currency is the U.S. dollar, the reporting currency of its parent.</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U.S. dollar, the reporting currency of its parent.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prepared the accompanying unaudited consolidated financial statements in conformity with accounting principles generally accepted in the United States of America, which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Recently Adopted</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September 2006, the Financial Accounting Standards Board (“FASB”) issued Statement of Financial Accounting Standards (“SFAS”) No. 157, “Fair-Value Measurements” (“SFAS 157”), which defines fair value, establishes a framework for measuring fair value in generally accepted accounting principles and expands disclosures about fair-value measurements. We adopted SFAS 157 effective January 1, 2008 for all financial assets and liabilities. For nonfinancial assets and liabilities measured at fair value on a non-recurring basis, SFAS 157 is effective for financial statements issued for fiscal years beginning after November 15, 2008. The adoption of SFAS 157 for nonfinancial assets and liabilities measured at fair value on a non-recurring basis on January 1, 2009 did not have a material impact on our consolidated financial statements.</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November 2007, the FASB issued Emerging Issues Task Force (“EITF”) No. 07-1, “Accounting for Collaborative Arrangements Related to the Development and Commercialization of Intellectual Property”(“EITF 07-1”), which is focused on how the parties to a collaborative agreement should disclose costs incurred and revenue generated on sales to third parties, how sharing payments pursuant to a collaboration agreement should be presented in the income statement and certain related disclosure questions. We have not entered into any collaborative arrangements since the issuance of EITF 07-1; therefore, implementation of this accounting standard in the first quarter of 2009 had no impact on our consolidated financial statements.</w:t>
      </w:r>
    </w:p>
    <w:p>
      <w:pPr>
        <w:spacing w:after="0" w:line="11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In December 2007, the FASB issued SFAS No. 141 (revised 2007), “Business Combinations” (“SFAS 141R”). For calendar year companies, SFAS 141R is applicable to new business combinations occurring on or after January 1, 2009. SFAS 141R requires an acquiring entity to recognize all the assets acquired and liabilities assumed in a transaction at the acquisition-date fair value with limited exceptions. Most significantly, SFAS 141R requires that acquisition costs generally be expensed as incurred, certain acquired contingent liabilities be recorded at fair value and acquired in-process research and development be recorded at fair value as an indefinite-lived intangible asset at the acquisition date. We have not entered into any business combinations as of the date of issuance of SFAS 141R; therefore, implementation of this accounting standard in the first quarter of 2009 had no impact on our consolidated financial statements.</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Statements—An Amendment of ARB No. 51” (“SFAS 160”), which is effective for calendar year companies beginning January 1, 2009. SFAS 160 establishes new accounting and reporting standards for the noncontrolling interest in a subsidiary and for the deconsolidation of a subsidiary. We do not have any minority interests; therefore, implementation of SFAS 160 in the first quarter of 2009 had no impact on our consolidated financial statements.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Activities—An Amendment of FASB Statement No. 133” (“SFAS 161”), which is effective for calendar year companies beginning January 1, 2009. SFAS 161 enhances required disclosures regarding derivatives and hedging activities. We do not have any derivative instruments nor do we engage in any hedging activities; therefore, implementation of SFAS 161 in the first quarter of 2009 had no impact on our consolidated financial statements.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April 2008, the FASB issued FASB Staff Position (“FSP”) No. FAS 142-3, “Determination of the Useful Life of Intangible Assets”(“FSP 142-3”). FSP 142-3 amends the factors that should be considered in developing renewal or extension assumptions used to determine the useful life of a recognized intangible asset under SFAS No. 142, “Goodwill and Other Intangible Assets” (“SFAS 142”). FSP 142-3 is effective for calendar year companies beginning January 1, 2009. The requirement for determining useful lives must be applied prospectively to intangible assets acquired after the effective date and the disclosure requirements must be applied prospectively to all intangible assets recognized as of, and subsequent to, the effective date. We do not have any goodwill recorded on our financial statements nor have we acquired any intangible assets during the three months ended March 31, 2009; therefore, implementation of FSP 142-3 in the first quarter of 2009 had no impact on our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June 2008, the FASB issued EITF Issue No. 07-5, “Determining Whether an Instrument (or Embedded Feature) Is Indexed to an Entity’s Own Stock” (EITF 07-5). EITF 07-5 mandates a two-step process for evaluating whether an equity-linked financial instrument or embedded feature is indexed to the entity’s own stock. EITF 07-5 is effective for fiscal years beginning after December 15, 2008 (beginning with the Company’s fiscal year 2009). The adoption of EITF 07-5 did not have a material impact on our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Recently Issued</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April 2009, the FASB issued FSP No. FAS 141(R)-1, “Accounting for Assets Acquired and Liabilities Assumed in a Business Combination That Arise from Contingencies” (“FSP FAS 141(R)-1”). FSP FAS 141(R)-1 amends the provisions in Statement 141R for the initial recognition and measurement, subsequent measurement and accounting, and disclosures for assets and liabilities arising from contingencies in business combinations. FSP FAS 141(R)-1 is effective for contingent assets or contingent liabilities acquired in business combinations for which the acquisition date is on or after the beginning of the first annual reporting period beginning on or after December 15, 2008. We have adopted FSP FAS 141(R)-1 and will apply the guidance of this accounting standard to assets and liabilities assumed in any business combinations completed after January 1, 2009.</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April 2009, the FASB issued FSP No. FAS 107-1 and APB 28-1, “Interim Disclosures about Fair Value of Financial Instruments” (“FSP FAS 107-1 and APB 28-1”). FSP FAS 107-1 and APB 28-1 amends FASB Statement No. 107, Disclosures about Fair Value of Financial Instruments, to require disclosures about fair value of financial instruments in interim as well as in annual financial statements. FSP FAS 107-1 and APB 28-1 also amends APB Opinion No. 28, Interim Financial Reporting, to require those disclosures in all interim financial statements. This accounting standard is effective for periods ending after June 15, 2009. We plan to adopt FSP FAS 107-1 and APB28-1 in the second quarter of 2009; however, we do not anticipate that the adoption of this accounting standard will affect our financial position or results of operations since only additional disclosures of fair values of financial instruments in interim financial statements are required.</w:t>
      </w:r>
    </w:p>
    <w:p>
      <w:pPr>
        <w:spacing w:after="0" w:line="14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April 2009, the FASB issued FSP No. FAS 157-4, “Determining Fair Value When the Volume and Level of Activity for the Asset or Liability Have Significantly Decreased and Identifying Transactions That Are Not Orderly”(“FSP FAS 157-4”). Under FSP FAS 157-4, if an entity determines that there has been a significant decrease in the volume and level of activity for an asset or liability in relation to the normal market activity for the asset or liability (or similar assets or liabilities), then transactions or quoted prices may not accurately reflect fair value. In addition, if there is evidence that the transaction for the asset or liability is not orderly, the entity must place little, if any, weight on that transaction price as an indicator of fair value. We plan to adopt FSP FAS 157-4 during the second quarter of 2009; however, we do not anticipate that the adoption of this accounting standard will materially impact our financial position and results of operations.</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April 2009, the FASB issued FSP Nos. FAS 115-2 and FAS 124-2, “Recognition and Presentation of Other-Than-Temporary Impairments”(“FSP FAS 115-2/124-2”). FSP FAS 115-2/124-2 changes existing guidance for determining whether debt securities are other-than-temporarily impaired and replaces the existing requirement that the entity’s management assert it has both the intent and ability to hold an impaired security until recovery with a requirement that management assert: (a) it does not have the intent to sell the security; and (b) it is more likely than not it will not have to sell the security before recovery of its cost basis. FSP FAS 115-2/124-2 requires entities to separate an other-than-temporary impairment of a debt security into two components when there are credit related losses associated with the impaired debt security for which management asserts that it does not have the intent to sell the security and it is more likely than not that it will not be required to sell the security before recovery of its cost basis. The amount of the other-than-temporary impairment related to a credit loss is recognized in earnings and the amount of the other-than-temporary impairment related to other factors is recorded in other comprehensive loss. We plan to adopt FSP FAS 115-2/124-2 during the second quarter of 2009; however, we do not anticipate that the adoption of this accounting standard will materially impact our financial position and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defined in SFAS No. 157, “Fair Value Measurements” (“SFAS 157”), fair value is based on the price that would be received to sell an asset or would be paid to transfer a liability in an orderly transaction between market participants at the measurement date. To increase the comparability and consistency of fair value measurements, SFAS 157 prescribes a fair value hierarchy that prioritizes observable and unobservable inputs used to measure fair value into three broad levels which are described below:</w:t>
      </w:r>
    </w:p>
    <w:p>
      <w:pPr>
        <w:spacing w:after="0" w:line="184"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ind w:left="1620" w:right="620" w:hanging="1160"/>
        <w:spacing w:after="0" w:line="268"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620" w:right="540" w:hanging="1160"/>
        <w:spacing w:after="0" w:line="370"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 March 31, 2009, cash and cash equivalents (instruments with maturities of three months or less at the date of purchase) were $32.8 million and primarily invested in money market accounts. We measure our cash equivalents on a recurring basis. The fair value of our cash equivalents, which are current assets, is based on Level 1 criteria in which their carrying amount is a reasonable estimate of their fair value based on daily quoted market prices.</w:t>
      </w:r>
    </w:p>
    <w:p>
      <w:pPr>
        <w:spacing w:after="0" w:line="10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At March 31, 2009, our long-term investments consisted of Auction Rate Securities (“ARS”), all of which had AAA ratings at the time of purchase, that principally represent interests in municipal bonds, government-guaranteed student loans, insurance notes and portfolio of securities (primarily commercial paper), and our long-term asset consisted of an ARS Put (as defined below). In August 2008, UBS AG and its affiliates (“UBS”), the brokerage firm through which we purchased the majority of our ARS, entered into a settlement with the Securities and Exchange Commission (“SEC”), the New York Attorney General and other state agencies. Pursuant to the settlement, UBS issued to us Auction Rate Security Rights, which would allow us to sell to UBS our ARS held in accounts with UBS (“ARS Rights Offer”). As part of the ARS Rights Offer, we received the right to sell to UBS our ARS held in accounts with UBS at par value any time during the period beginning June 30, 2010 and ending July 2, 2012 (“ARS Put”). As part of the settlement, UBS also offered to us a no net cost loan program, whereby we would be able to borrow up to 75 percent of the market value, as determined by UBS at its sole discretion, of our ARS that have been pledged as collateral at an interest cost that would not exceed the interest being paid on the underlying ARS investments (“ARS Loan”). Under the ARS Loan program, UBS may demand full or partial payment of the ARS Loan, at its sole option and without cause, at any time.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At March 31, 2009, $20.9 million of our ARS consisted primarily of municipal bonds and government-guaranteed student loan securities and $2.2 million of our ARS consisted of private placement securities. None of the underlying collateral of our ARS consisted of subprime mortgages or collateralized debt obligations. Our ARS were designated as trading investment securities at December 31, 2008 and March 31, 2009. We measure all of our ARS and our ARS Put on a recurring basis based on Level 3 criteria because neither an active primary or active secondary market exists for these securities. The table below reconciles fair value of our ARS trading investment securities and our ARS Put at December 31, 2008 with fair value at March 31, 2009, as determined by Level 3 (unobservable) inputs: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Impairment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Fair Value at</w:t>
            </w:r>
          </w:p>
        </w:tc>
        <w:tc>
          <w:tcPr>
            <w:tcW w:w="4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Transfers in/(out)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Charge at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Gain at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6"/>
              </w:rPr>
              <w:t>of Level 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March 31,</w:t>
            </w:r>
          </w:p>
        </w:tc>
        <w:tc>
          <w:tcPr>
            <w:tcW w:w="2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2008</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8"/>
              </w:rPr>
              <w:t>1/1/09-3/31/09</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securities(1)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21,055,569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(967,856)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20,087,713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Auction rate securities(2)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2,991,745</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24,047,314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(967,856)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23,111,115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8"/>
                <w:szCs w:val="18"/>
                <w:color w:val="auto"/>
              </w:rPr>
              <w:t>Long-term asset, ARS Put(3)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5,792,701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962,870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6,755,571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8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Aggregated fair value reported at March 31, 2009 reflects fair value as determined by our discounted cash flow model with liquidity discount, pursuant to which we took into consideration the brokerage firm’s pricing model, the tax status (taxable vs. tax exempt) of the security, credit quality of the issuer, assumed maturity (seven years), insurance wraps and the portfolio composition. We also made assumptions regarding future cash flows and the likelihood of the ARS being redeemed or refinanced. In addition, we performed a sensitivity analysis by calculating fair value with a maturity of one year through ten years. The annual coupon rate utilized was set at the U.S. Treasury Department published average of the bond equivalent rates of the 91-day Treasury bills auctioned during the quarter ending March 31, 2009 (which was the Federal Family Education Loan Program special allowance rate for the quarter ending March 31, 2009) plus 120 basis points. We believe that using this interest rate is reasonable given that a majority of our ARS portfolio is collateralized by student loans guaranteed by the U.S. government under the Federal Family Education Loan Program. Using our discounted cash flow model with liquidity discounts ranging from 4% to 35%, we calculated aggregate fair value for these securities, which ranged between $25.0 million with a two-year maturity, $21.9 million with a five-year maturity and $17.6 million with a ten-year maturity. As of March 31, 2009, these ARS continued to pay interest according to their stated interest terms; however, because these investment securities are trading securities, the additional $1.0 million reduction of the overall fair value of the ARS was considered other-than-temporary and recorded as an impairment charge in our consolidated statement of operations. Pursuant to the ARS Rights Offer, the earliest date that we can redeem these investment securities at par is June 2010. Therefore, these securities are classified as long-term investments in our consolidated balance sheets.</w:t>
      </w:r>
    </w:p>
    <w:p>
      <w:pPr>
        <w:spacing w:after="0" w:line="4" w:lineRule="exact"/>
        <w:rPr>
          <w:rFonts w:ascii="Arial" w:cs="Arial" w:eastAsia="Arial" w:hAnsi="Arial"/>
          <w:sz w:val="16"/>
          <w:szCs w:val="16"/>
          <w:color w:val="auto"/>
        </w:rPr>
      </w:pPr>
    </w:p>
    <w:p>
      <w:pPr>
        <w:ind w:left="460" w:hanging="452"/>
        <w:spacing w:after="0" w:line="28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Aggregated fair value reported at March 31, 2009 reflects fair value as determined by our discounted cash flow model, which employed liquidity discounts ranging from 3% to 27% depending on the security type and included assumptions regarding future cash flows and the likelihood of the redemption or refinancing of such ARS. We also performed a sensitivity analysis by calculating fair value with a maturity of one year through ten years. The interest rate utilized in the model was either the London Interbank Offered Rate (“LIBOR”) plus the spread, as indicated in the respective security prospectus which was generally 200 basis points, or the U.S. Treasury Department published average of the bond equivalent rates of the 91-day Treasury bills auctioned during the quarter ending March 31, 2009 (which was the Federal Family Education Loan Program special allowance rate for the quarter ending March 31, 2009) plus 120 basis points for the ARS collateralized by student loans. The LIBOR rate was per bankrate.com, which we deemed as a reasonable source given it is a widely utilized third-party rate source. We believe that utilizing the Federal Family Education Loan Program special allowance rate for the student loan ARS is reasonable given the collateral of the ARS is student loans. Using this methodology, we calculated aggregate fair value for these securities, which ranged between $3.7 million with a two-year maturity, $3.2 million with a five-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spacing w:after="0" w:line="286" w:lineRule="auto"/>
        <w:rPr>
          <w:sz w:val="20"/>
          <w:szCs w:val="20"/>
          <w:color w:val="auto"/>
        </w:rPr>
      </w:pPr>
      <w:r>
        <w:rPr>
          <w:rFonts w:ascii="Arial" w:cs="Arial" w:eastAsia="Arial" w:hAnsi="Arial"/>
          <w:sz w:val="16"/>
          <w:szCs w:val="16"/>
          <w:color w:val="auto"/>
        </w:rPr>
        <w:t>year maturity and $2.7 million with a ten-year maturity. As of March 31, 2009, the ARS continue to pay interest according to their stated interest terms. Because these investment securities are trading securities, the approximately $30,000 increase in fair value was recorded as a gain in our consolidated statement of operations. In addition, because of our expectation as to when we may be required to liquidate these ARS for operating purposes, these securities are classified as long-term investments in our consolidated balance sheets.</w:t>
      </w:r>
    </w:p>
    <w:p>
      <w:pPr>
        <w:spacing w:after="0" w:line="1" w:lineRule="exact"/>
        <w:rPr>
          <w:sz w:val="20"/>
          <w:szCs w:val="20"/>
          <w:color w:val="auto"/>
        </w:rPr>
      </w:pPr>
    </w:p>
    <w:p>
      <w:pPr>
        <w:ind w:left="460" w:right="18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elected to measure the ARS Put under the fair value option of SFAS 159 to mitigate the volatility in reported earnings due to the linkage of certain of our ARS and the ARS Put. Fair value of the ARS Put, $6.8 million, was also determined through the use of a discounted cash flow valuation model with assumptions being made related to interest rate, maturity and liquidity. We effectively used a liquidity discount of approximately 7%, an interest rate of approximately 5% which took into consideration the brokerage firm’s weighted average cost of capital and a maturity of 15 months given that the earliest date the ARS Put can be exercised is June 2010. Based on our discounted cash flow valuation, at March 31, 2009, we recorded an additional gain of $1.0 million in our consolidated statement of operations, which effectively netted out almost all of the additional loss we recognized on the linked 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Net loss per share is presented as basic and diluted net loss per share. Basic net loss per share is calculated by dividing the net loss by the weighted average number of common shares outstanding for the period, without consideration for common stock equivalents. Diluted net loss per share is computed by dividing the net loss attributable to common stockholders by the weighted average number of common share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 Potentially dilutive securities of 109,669 for the three months ended March 31, 2009 were excluded from determining diluted earnings per share because of their anti-dilutive effect. There were no potentially dilutive securities for the three months ended March 31,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applied SFAS No. 130, “Reporting Comprehensive Income,” which requires that all components of comprehensive income (loss), including net income (loss), be reported in the financial statements in the period in which they are recognized. Comprehensive income (loss) is defined as the change in equity (net assets) during a period from transactions and other events and circumstances from non-owner sources. Net income (loss) and other comprehensive income (loss), including foreign currency translation adjustments and unrealized gains and losses on investments, are reported, net of their related tax effect, to arrive at comprehensive income (loss). Our comprehensive loss includes unrealized losses on marketable securities and currency translation. The table below sets forth the components of our accumulated other comprehensive loss at: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March 31,</w:t>
            </w: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8360" w:type="dxa"/>
            <w:vAlign w:val="bottom"/>
          </w:tcPr>
          <w:p>
            <w:pPr>
              <w:spacing w:after="0"/>
              <w:rPr>
                <w:sz w:val="14"/>
                <w:szCs w:val="14"/>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 (29,744)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(131,466)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(131,466)</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Currency translation</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(39,518)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101,722</w:t>
            </w:r>
          </w:p>
        </w:tc>
        <w:tc>
          <w:tcPr>
            <w:tcW w:w="6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marketable securities</w:t>
            </w: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1"/>
        </w:trPr>
        <w:tc>
          <w:tcPr>
            <w:tcW w:w="8360" w:type="dxa"/>
            <w:vAlign w:val="bottom"/>
          </w:tcPr>
          <w:p>
            <w:pPr>
              <w:spacing w:after="0"/>
              <w:rPr>
                <w:sz w:val="20"/>
                <w:szCs w:val="20"/>
                <w:color w:val="auto"/>
              </w:rPr>
            </w:pPr>
            <w:r>
              <w:rPr>
                <w:rFonts w:ascii="Arial" w:cs="Arial" w:eastAsia="Arial" w:hAnsi="Arial"/>
                <w:sz w:val="18"/>
                <w:szCs w:val="18"/>
                <w:color w:val="auto"/>
              </w:rPr>
              <w:t>Ending balance</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 (69,262)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(32,834)</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(29,744)</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2009 and 2008 and December 31, 2008, our comprehensive loss was $5,032,909, $10,703,969 and $21,823,107,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Payments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currently maintain two equity-based compensation plans: (i) the MediciNova, Inc. 2000 General Stock Incentive Plan (the “2000 Plan”) and (ii) the MediciNova, Inc. Amended and Restated 2004 Stock Incentive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“2004 Plan”). We currently grant stock options to our employees, officers, directors and consultants under the 2004 Plan, which is the successor to the 2000 Plan. Stock options issued to non-employees were recorded at their fair value as determined in accordance with EITF Issue No. 96-18, “Accounting for Equity Instruments that are Issued to Other than Employees for Acquiring, or in Conjunction with Selling, Goods or Services</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the three months ended March 31, 2009 and 2008, share-based compensation expense related to stock options was recorded as a component of general and administrative expense, approximately $0.5 million and $0.4 million, respectively, and research and development expense, approximately $0.2 million and $0.4 million, respectively. There were no stock option exercises during the three months ended March 31, 2009. As of March 31, 2009, there was $4.4 million of unamortized compensation cost related to unvested stock option awards, which is expected to be recognized over a remaining weighted-average vesting period of 1.9 years.</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exercise price of stock options to purchase 403,373 shares of common stock granted during the three months ended March 31, 2009 was equal to market value on the date of grant and the share-based compensation expense for such stock options is reflected in operating results for the three months ended March 31, 2009. The estimated fair value of each stock option award was determined on the date of grant using the Black-Scholes option valuation model with the following weighted-average assumptions for stock option grants: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76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89"/>
              </w:rPr>
              <w:t>Three Months Ended</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Three Months Ended</w:t>
            </w:r>
          </w:p>
        </w:tc>
      </w:tr>
      <w:tr>
        <w:trPr>
          <w:trHeight w:val="149"/>
        </w:trPr>
        <w:tc>
          <w:tcPr>
            <w:tcW w:w="6360" w:type="dxa"/>
            <w:vAlign w:val="bottom"/>
          </w:tcPr>
          <w:p>
            <w:pPr>
              <w:spacing w:after="0"/>
              <w:rPr>
                <w:sz w:val="12"/>
                <w:szCs w:val="12"/>
                <w:color w:val="auto"/>
              </w:rPr>
            </w:pPr>
          </w:p>
        </w:tc>
        <w:tc>
          <w:tcPr>
            <w:tcW w:w="2760" w:type="dxa"/>
            <w:vAlign w:val="bottom"/>
            <w:gridSpan w:val="2"/>
          </w:tcPr>
          <w:p>
            <w:pPr>
              <w:jc w:val="center"/>
              <w:ind w:right="1520"/>
              <w:spacing w:after="0" w:line="149" w:lineRule="exact"/>
              <w:rPr>
                <w:sz w:val="20"/>
                <w:szCs w:val="20"/>
                <w:color w:val="auto"/>
              </w:rPr>
            </w:pPr>
            <w:r>
              <w:rPr>
                <w:rFonts w:ascii="Arial" w:cs="Arial" w:eastAsia="Arial" w:hAnsi="Arial"/>
                <w:sz w:val="14"/>
                <w:szCs w:val="14"/>
                <w:b w:val="1"/>
                <w:bCs w:val="1"/>
                <w:color w:val="auto"/>
                <w:w w:val="92"/>
              </w:rPr>
              <w:t>March 31,</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63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5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4"/>
                <w:szCs w:val="14"/>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6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1.60%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760" w:type="dxa"/>
            <w:vAlign w:val="bottom"/>
            <w:gridSpan w:val="2"/>
          </w:tcPr>
          <w:p>
            <w:pPr>
              <w:jc w:val="right"/>
              <w:ind w:right="1380"/>
              <w:spacing w:after="0"/>
              <w:rPr>
                <w:sz w:val="20"/>
                <w:szCs w:val="20"/>
                <w:color w:val="auto"/>
              </w:rPr>
            </w:pPr>
            <w:r>
              <w:rPr>
                <w:rFonts w:ascii="Arial" w:cs="Arial" w:eastAsia="Arial" w:hAnsi="Arial"/>
                <w:sz w:val="18"/>
                <w:szCs w:val="18"/>
                <w:color w:val="auto"/>
              </w:rPr>
              <w:t>69.00%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69.00%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76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2760" w:type="dxa"/>
            <w:vAlign w:val="bottom"/>
            <w:gridSpan w:val="2"/>
          </w:tcPr>
          <w:p>
            <w:pPr>
              <w:jc w:val="right"/>
              <w:ind w:right="1520"/>
              <w:spacing w:after="0"/>
              <w:rPr>
                <w:sz w:val="20"/>
                <w:szCs w:val="20"/>
                <w:color w:val="auto"/>
              </w:rPr>
            </w:pPr>
            <w:r>
              <w:rPr>
                <w:rFonts w:ascii="Arial" w:cs="Arial" w:eastAsia="Arial" w:hAnsi="Arial"/>
                <w:sz w:val="18"/>
                <w:szCs w:val="18"/>
                <w:color w:val="auto"/>
              </w:rPr>
              <w:t>4.0</w:t>
            </w: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risk-free interest rate assumption is based upon observed interest rates appropriate for the expected term of our outstanding stock options. The expected volatility of our common stock is based on the average volatility of certain peers within our industry sector and management’s judgment. We have not paid any dividends on our common stock since our inception, and we do not anticipate paying any dividends on our common stock in the foreseeable future. The expected option term represents the average of the life of the options and the average vesting period based on management’s judgment given the progression of our prioritized clinical program.</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share-based compensation expense recognized in our consolidated statement of operations for the three months ended March 31, 2009 was based on stock option awards ultimately expected to vest, such expense is reduced for estimated forfeitures. SFAS 123R requires forfeitures to be estimated at the time of grant and revised, if necessary, in subsequent periods if actual forfeitures differ from those estimates. We have very few employees, our turnover has been minimal and our stock options vest monthly; therefore, we do not estimate any forfeitures in 2009 and will adjust our stock-based compensation expense should any forfeitures occur. The weighted-average fair value of each stock option granted during the three months ended March 31, 2009, estimated as of the grant date using the Black-Scholes option valuation model, was $1.16 per stock option, whereas the weighted-average fair value of each stock option granted during the three months ended March 31, 2008 was $4.42 per stock option.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adopted the provisions of Interpretation No. 48, Accounting for Uncertainty in Income Taxes—An Interpretation of FASB Statement No. 109 (“FIN 48”), on January 1, 2007. As a result of the adoption of FIN 48, we had no cumulative effect adjustment and therefore no change to the January 1, 2007 balance in retained earnings. At January 1, 2008, December 31, 2008 and March 31, 2009, we had no unrecognized tax benefits that, if recognized, would affect our effective income tax rate in future periods.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at March 31, 2009.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taxation in the United States and various state jurisdictions. Our tax years for 2000 and forward are subject to examination by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state tax authorities due to the carryforward of unutilized net operating losses and research and development credits.</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January 1, 2009, we had net deferred tax assets of $61.9 million. The deferred tax assets are primarily composed of federal and state tax net operating loss (“NOL”) carryforwards and federal and state research and development (“R&amp;D”) credit carryforwards. Due to uncertainties surrounding our ability to generate future taxable income to realize these assets, a full valuation has been established to offset our net deferred tax asset. Additionally, the future utilization of our NOL and R&amp;D credit carryforwards to offset future taxable income may be subject to a substantial annual limitation as a result of ownership changes that may have occurred previously or that could occur in the future. An analysis was performed which indicated that multiple ownership changes have occurred in previous years which created annual limitations on our ability to utilize NOL and tax credit carryovers. These limitations will result in the expiration of unused federal net operating loss carryforwards and federal tax credits in the amount of $8.8 million and $2.2 million, respectively. In each period since our inception, we have recorded a valuation allowance for the full amount of our deferred tax asset, as the realization of the deferred tax asset is uncertain. As a result, through March 31, 2009, we have not recorded any federal or state income tax benefit in our consolidated statement of operations.</w:t>
      </w:r>
    </w:p>
    <w:p>
      <w:pPr>
        <w:spacing w:after="0" w:line="195" w:lineRule="exact"/>
        <w:rPr>
          <w:sz w:val="20"/>
          <w:szCs w:val="20"/>
          <w:color w:val="auto"/>
        </w:rPr>
      </w:pPr>
    </w:p>
    <w:p>
      <w:pPr>
        <w:ind w:right="8720" w:firstLine="8"/>
        <w:spacing w:after="0" w:line="391" w:lineRule="auto"/>
        <w:tabs>
          <w:tab w:leader="none" w:pos="17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not currently aware of any such claims or legal proceedings that we believe will have a material adverse effect on our business, financial condition or operating results.</w:t>
      </w:r>
    </w:p>
    <w:p>
      <w:pPr>
        <w:spacing w:after="0" w:line="182" w:lineRule="exact"/>
        <w:rPr>
          <w:sz w:val="20"/>
          <w:szCs w:val="20"/>
          <w:color w:val="auto"/>
        </w:rPr>
      </w:pPr>
    </w:p>
    <w:p>
      <w:pPr>
        <w:ind w:right="9640" w:firstLine="8"/>
        <w:spacing w:after="0" w:line="391" w:lineRule="auto"/>
        <w:tabs>
          <w:tab w:leader="none" w:pos="17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Stock Options</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currently maintain two equity-based compensation plans: (i) the 2000 Plan and (ii) the 2004 Plan. Each of the 2000 Plan and the 2004 Plan provides for the issuance of equity-based awards to employees, officers, directors and consultants and are administered by our board of directors or a committee thereof. Stock options granted under each plan vest and expire based on periods determined by the board of directors or a committee thereof, but in no event can the expiration date be later than ten years from the date of grant (five years after the date of grant if the grant is an incentive stock option to an employee who owns more than 10% of the total combined voting power of all classes of our outstanding stock (a “10% owner”)). Stock options may be either incentive stock options or non-qualified stock options. The per share exercise price of an incentive stock option may not be less than 100% of the fair market value of our common stock on the date the option is granted (110% of the fair market value if the grant is to a 10% owner). The per share exercise price of a non-qualified stock option may not be less than 85% of the fair market value of our common stock on the date the stock option is granted.</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currently grant stock options to our employees, officers, directors and consultants under the 2004 Plan, the successor to the 2000 Plan. No additional stock options have been or will be issued under the 2000 Plan subsequent to our initial public offering. However, the stock options previously granted under the 2000 Plan will remain outstanding until the earlier of expiration or exercise.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changes in stock options outstanding under the 2000 Plan and 2004 Plan during the three months ended March 31, 2009 is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8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5"/>
              </w:rPr>
              <w:t>Exercise 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44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2,579,511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4420" w:type="dxa"/>
            <w:vAlign w:val="bottom"/>
            <w:gridSpan w:val="3"/>
          </w:tcPr>
          <w:p>
            <w:pPr>
              <w:jc w:val="right"/>
              <w:ind w:right="880"/>
              <w:spacing w:after="0"/>
              <w:rPr>
                <w:sz w:val="20"/>
                <w:szCs w:val="20"/>
                <w:color w:val="auto"/>
              </w:rPr>
            </w:pPr>
            <w:r>
              <w:rPr>
                <w:rFonts w:ascii="Arial" w:cs="Arial" w:eastAsia="Arial" w:hAnsi="Arial"/>
                <w:sz w:val="18"/>
                <w:szCs w:val="18"/>
                <w:color w:val="auto"/>
              </w:rPr>
              <w:t>403,373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Cancelled</w:t>
            </w:r>
          </w:p>
        </w:tc>
        <w:tc>
          <w:tcPr>
            <w:tcW w:w="284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w w:val="95"/>
              </w:rPr>
              <w:t>(116,624)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2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4"/>
              </w:rPr>
              <w:t>2,866,260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aggregate intrinsic value of stock options exercised during the three months ended March 31, 2009 was $0. The aggregate intrinsic value of stock options outstanding at March 31, 2009 and exercisable at March 31, 2009 was approximately $315,000 and approximately $12,000, respectively. Of the total stock options outstanding as of March 31, 2009, options to purchase 1,554,359 shares of common stock are exercisable, with a weighted average exercise price of $11.91 per share and a weighted average contractual life of 7.2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Under the MediciNova, Inc. 2008 Employee Stock Purchase Plan (“ESPP”), 300,000 shares of our common stock have been reserved for issuance. The ESPP permits full-time employees to purchase our common stock through payroll deductions (which cannot exceed 15% of each employee’s compensation) at the lower of 85% of fair market value at the beginning of the offering period or the end of each six-month purchase period. The estimated fair value of each ESPP purchase is determined on the date the offering period begins using the Black-Scholes option valuation model. For the March 31, 2009 purchases, the following assumptions were used to value these employee stock purchases: a risk-free interest rate of 2.73%, expected volatility of 69%, expected term of six months and a dividend rate of 0%. At March 31, 2009, 21,079 shares of common stock were issued under the ESPP and 236,627 shares of common stock were available for future issuance.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2008 included in our Annual Report on Form 10-K filed with the Securities and Exchange Commission, or SEC, on March 31, 2009. Past operating results are not necessarily indicative of results that may occur in future periods.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and the differences may be material. Forward-looking statements discuss matters that are not historical facts. Forward-looking statements include, but are not limited to, statements regarding our plans, strategies, objectives,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are a biopharmaceutical company focused on acquiring and developing novel, small molecule therapeutics for the treatment of diseases with unmet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are a development stage company. We have incurred significant net losses since our inception. At March 31, 2009, from inception, our accumulated deficit was approximately $232.0 million, including $44.6 million of non-cash stock-based compensation charges related to employee stock-based compensation and founders’ warrants. We expect to incur substantial net losses for at least the next several years as we continue to develop certain of our existing product development programs, primarily MN-221 for the treatment of acute exacerbations of asthma, and over the long-term if we are successful in expanding our research and development programs and acquiring or in-licensing products, technologies or businesses that are complementary to our own.</w:t>
      </w:r>
    </w:p>
    <w:p>
      <w:pPr>
        <w:spacing w:after="0" w:line="116" w:lineRule="exact"/>
        <w:rPr>
          <w:sz w:val="20"/>
          <w:szCs w:val="20"/>
          <w:color w:val="auto"/>
        </w:rPr>
      </w:pPr>
    </w:p>
    <w:p>
      <w:pPr>
        <w:jc w:val="both"/>
        <w:ind w:right="20" w:firstLine="456"/>
        <w:spacing w:after="0" w:line="323" w:lineRule="auto"/>
        <w:rPr>
          <w:sz w:val="20"/>
          <w:szCs w:val="20"/>
          <w:color w:val="auto"/>
        </w:rPr>
      </w:pPr>
      <w:r>
        <w:rPr>
          <w:rFonts w:ascii="Arial" w:cs="Arial" w:eastAsia="Arial" w:hAnsi="Arial"/>
          <w:sz w:val="15"/>
          <w:szCs w:val="15"/>
          <w:color w:val="auto"/>
        </w:rPr>
        <w:t>We have acquired licenses to eight compounds for the development of ten product candidates. Our development pipeline consists of eight programs which have been in clinical development for the treatment of acute exacerbations of asthma, multiple sclerosis, or MS, bronchial asthma, interstitial cystitis, solid tumor cancers, Generalized Anxiety Disorder/insomnia, preterm labor and urinary incontinence, and two programs which have been in preclinical development for the treatment of thrombotic disorders. At present, we are focusing our resources on the development of the following two prioritized product development programs:</w:t>
      </w:r>
    </w:p>
    <w:p>
      <w:pPr>
        <w:spacing w:after="0" w:line="17" w:lineRule="exact"/>
        <w:rPr>
          <w:sz w:val="20"/>
          <w:szCs w:val="20"/>
          <w:color w:val="auto"/>
        </w:rPr>
      </w:pPr>
    </w:p>
    <w:p>
      <w:pPr>
        <w:ind w:left="900" w:right="80" w:hanging="446"/>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MN-221 for the treatment of acute exacerbations of asthma, for which we initiated a Phase II clinical trial in the first quarter of 2009 to evaluate the safety and efficacy of MN-221 in patients with severe, acute exacerbations of asthma treated in the emergency room and completed a Phase II clinical trial in the second quarter of 2009 which evaluated MN-221 at planned escalating doses in patients with severe, acute exacerbations of asthma treated in the emergency room; and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MN-166 for the treatment of MS, for which we completed a Phase II clinical trial in Eastern Europe in the second quarter of 2008.</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completion of proof-of-concept Phase II clinical trials, we will either continue to pursue clinical development independently in the United States, as we presently intend with MN-221, or establish a strategic collaboration to support Phase III clinical development, as we presently intend with MN-166. Following the completion of the Phase II clinical trial for MN-166, we are not planning to pursue any further significant clinical development of MN-166 until such time that we are able to secure a strategic collaboration to advance MN-166 into Phase III clinical development.</w:t>
      </w:r>
    </w:p>
    <w:p>
      <w:pPr>
        <w:spacing w:after="0" w:line="113" w:lineRule="exact"/>
        <w:rPr>
          <w:sz w:val="20"/>
          <w:szCs w:val="20"/>
          <w:color w:val="auto"/>
        </w:rPr>
      </w:pPr>
    </w:p>
    <w:p>
      <w:pPr>
        <w:ind w:right="40" w:firstLine="456"/>
        <w:spacing w:after="0" w:line="266" w:lineRule="auto"/>
        <w:rPr>
          <w:sz w:val="20"/>
          <w:szCs w:val="20"/>
          <w:color w:val="auto"/>
        </w:rPr>
      </w:pPr>
      <w:r>
        <w:rPr>
          <w:rFonts w:ascii="Arial" w:cs="Arial" w:eastAsia="Arial" w:hAnsi="Arial"/>
          <w:sz w:val="16"/>
          <w:szCs w:val="16"/>
          <w:color w:val="auto"/>
        </w:rPr>
        <w:t>In January 2009, we announced the initiation of a randomized, double-blind, placebo-controlled Phase II emergency department clinical trial designed to evaluate the safety and efficacy of MN-221 in patients with severe, acute exacerbations of asthma by holding an Investigator’s Meeting (MN-221-CL-007). We expect to employ clinical sites in North America, Australia and New Zealand (including a majority of the clinical sites that participated in the smaller Phase II clinical trial that we completed in April 2009) to enroll approximately 200 patients in this clinical trial, which is designed to compare standardized care to standardized care plus MN-221. Once a patient has received the initial standardized care treatment regimen (consistent with the National Asthma Education and Prevention Program and the Global Initiative for Asthma, or GINA, guidelines), the patient will be assessed for response to that treatment. If the patient’s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is</w:t>
      </w:r>
    </w:p>
    <w:p>
      <w:pPr>
        <w:spacing w:after="0" w:line="9"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less than or equal to 50 percent of predicted and the patient meets all other study entry criteria, the patient will be randomized to receive either MN-221 or placebo. Patients enrolled in the clinical trial will continue to receive standardized care as needed while receiving an intravenous infusion of MN-221 or placebo. The primary efficacy endpoint will be improvement in FEV</w:t>
      </w:r>
      <w:r>
        <w:rPr>
          <w:rFonts w:ascii="Arial" w:cs="Arial" w:eastAsia="Arial" w:hAnsi="Arial"/>
          <w:sz w:val="20"/>
          <w:szCs w:val="20"/>
          <w:color w:val="auto"/>
          <w:vertAlign w:val="subscript"/>
        </w:rPr>
        <w:t>1</w:t>
      </w:r>
      <w:r>
        <w:rPr>
          <w:rFonts w:ascii="Arial" w:cs="Arial" w:eastAsia="Arial" w:hAnsi="Arial"/>
          <w:sz w:val="16"/>
          <w:szCs w:val="16"/>
          <w:color w:val="auto"/>
        </w:rPr>
        <w:t>. In April 2009, we announced that enrollment of patients in this clinical trial had begun in the North</w:t>
      </w:r>
    </w:p>
    <w:p>
      <w:pPr>
        <w:spacing w:after="0" w:line="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America clinical sites, with enrollment in the Australia and New Zealand clinical sites anticipated to begin by June 2009. We anticipate that enrollment of patients in this clinical trial will be completed within nine to twelve months from the commencement of patient enrollment.</w:t>
      </w:r>
    </w:p>
    <w:p>
      <w:pPr>
        <w:spacing w:after="0" w:line="173" w:lineRule="exact"/>
        <w:rPr>
          <w:sz w:val="20"/>
          <w:szCs w:val="20"/>
          <w:color w:val="auto"/>
        </w:rPr>
      </w:pPr>
    </w:p>
    <w:p>
      <w:pPr>
        <w:ind w:right="100" w:firstLine="456"/>
        <w:spacing w:after="0" w:line="265" w:lineRule="auto"/>
        <w:rPr>
          <w:sz w:val="20"/>
          <w:szCs w:val="20"/>
          <w:color w:val="auto"/>
        </w:rPr>
      </w:pPr>
      <w:r>
        <w:rPr>
          <w:rFonts w:ascii="Arial" w:cs="Arial" w:eastAsia="Arial" w:hAnsi="Arial"/>
          <w:sz w:val="16"/>
          <w:szCs w:val="16"/>
          <w:color w:val="auto"/>
        </w:rPr>
        <w:t>In January 2009, we announced interim results from two planned reviews of the unaudited data from the randomized, modified single-blind, placebo-controlled, dose escalation Phase II clinical trial initiated in March 2008 to evaluate MN-221 in patients with severe, acute exacerbations of asthma treated in the emergency department (MN-221-CL-006). In April 2009, we announced the final results of this Phase II clinical trial. This Phase II clinical trial included 29 (13 treated with standard care only and 16 treated with MN-221 plus standard care) patients with severe, acute exacerbations of asthma. All patients received standardized care consisting of inhaled albuterol, ipratropium and oral steroid treatment. No safety concerns with adding MN-221 to standardized care were identified following review of electrocardiogram, or ECG, laboratory and Adverse Experience data. The hospitalization rate among patients treated with standardized care only was 46 percent (six of 13), which was the anticipated rate, compared to a hospitalization rate of 25 percent (four of 16) among patients receiving MN-221 plus standardized care. All hospitalizations were due to asthma exacerbations which were judged to be unrelated to study medication and therefore do not raise safety concerns for adding MN-221 to standardized care. As specified in the protocol for this clinical trial, no inferential statistics (i.e., p-values) were calculated for this study. Improvement in forced expiratory volume in 1 second, or FEV</w:t>
      </w:r>
      <w:r>
        <w:rPr>
          <w:rFonts w:ascii="Arial" w:cs="Arial" w:eastAsia="Arial" w:hAnsi="Arial"/>
          <w:sz w:val="20"/>
          <w:szCs w:val="20"/>
          <w:color w:val="auto"/>
          <w:vertAlign w:val="subscript"/>
        </w:rPr>
        <w:t>1</w:t>
      </w:r>
      <w:r>
        <w:rPr>
          <w:rFonts w:ascii="Arial" w:cs="Arial" w:eastAsia="Arial" w:hAnsi="Arial"/>
          <w:sz w:val="16"/>
          <w:szCs w:val="16"/>
          <w:color w:val="auto"/>
        </w:rPr>
        <w:t>, values generally appeared to be greater for patients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receiving MN-221 than placebo in addition to standardized treatment.</w:t>
      </w:r>
    </w:p>
    <w:p>
      <w:pPr>
        <w:spacing w:after="0" w:line="19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intend to limit development activities for the balance of our product candidates. For each of these remaining product candidates, we plan to conduct development activities only to the extent deemed necessary to maintain our license rights or maximize its value while pursuing a variety of initiatives to monetize such product candidate on appropriate terms. These eight non-prioritized product development programs consist of the following:</w:t>
      </w:r>
    </w:p>
    <w:p>
      <w:pPr>
        <w:spacing w:after="0" w:line="26" w:lineRule="exact"/>
        <w:rPr>
          <w:sz w:val="20"/>
          <w:szCs w:val="20"/>
          <w:color w:val="auto"/>
        </w:rPr>
      </w:pPr>
    </w:p>
    <w:p>
      <w:pPr>
        <w:ind w:left="900" w:right="8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III clinical program in the fourth quarter of 2006 that we subsequently terminated in the second quarter of 2007 and for which we developed prototypes of once-per-day oral dosing formulations;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II/III clinical trial in the first quarter of 2007;</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I clinical trial in the second quarter of 2006 and one Phase I clinical trial in the fourth quarter of 2007;</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II/III clinical trial for the treatment of Generalized Anxiety Disorder in the second quarter of 2006 and a Phase II clinical trial for the treatment of insomnia in the fourth quarter of 2007;</w:t>
      </w:r>
    </w:p>
    <w:p>
      <w:pPr>
        <w:spacing w:after="0" w:line="4" w:lineRule="exact"/>
        <w:rPr>
          <w:rFonts w:ascii="Arial" w:cs="Arial" w:eastAsia="Arial" w:hAnsi="Arial"/>
          <w:sz w:val="16"/>
          <w:szCs w:val="16"/>
          <w:color w:val="auto"/>
        </w:rPr>
      </w:pPr>
    </w:p>
    <w:p>
      <w:pPr>
        <w:ind w:left="900" w:right="1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I clinical trial to investigate the pharmacokinetic profile of MN-221 in healthy pregnant women not in labor in the second quarter of 2007;</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I clinical trial in the fourth quarter of 2006 and a Phase I food effects study in the first quarter of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remains in preclinical development;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remains in preclinical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not generated any revenues from licensing, milestones or product sales to date, and we do not expect to generate any revenues from the commercialization of our product candidates within the next several years, if at all. Our revenues to date have been generated from providing development management services under master service agreements with Asahi Kasei Pharma Corporation and Argenes, Inc., pursuant to which we billed consulting fees and our pass-through clinical contract costs. The primary costs associated with our revenue were the clinical contract costs we incurred and passed-through to our customer. Our agreement with Asahi Kasei Pharma Corporation has been completed, and we terminated our agreement with Argenes, Inc. Therefore, we will not generate any further revenue from these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research and development expenses consist primarily of the license fees related to our product candidates, salaries and related employee benefits, costs associated with the preclinical and clinical development of our product candidates, costs associated with non-clinical activities, such as regulatory expenses, and pre-commercialization manufacturing development activities. We use external service providers to manufacture our product candidates to be used in clinical trials and for the majority of the services performed in connection with the preclinical and clinical development of our product candidates; therefore, these research and development expenses consist substantially of external costs, such as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consist of costs of compensation and other expenses for research and development personnel, supplies, materials, facility costs and depreciation.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following table summarizes our research and development expenses for the periods indicated for each of our product candidates. To the extent that costs, including personnel costs, are not tracked to a specific product development program, such costs are included in the “Unallocated” category (in thousands):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7"/>
              </w:rPr>
              <w:t>Three months ended</w:t>
            </w:r>
          </w:p>
        </w:tc>
        <w:tc>
          <w:tcPr>
            <w:tcW w:w="0" w:type="dxa"/>
            <w:vAlign w:val="bottom"/>
          </w:tcPr>
          <w:p>
            <w:pPr>
              <w:spacing w:after="0"/>
              <w:rPr>
                <w:sz w:val="1"/>
                <w:szCs w:val="1"/>
                <w:color w:val="auto"/>
              </w:rPr>
            </w:pPr>
          </w:p>
        </w:tc>
      </w:tr>
      <w:tr>
        <w:trPr>
          <w:trHeight w:val="161"/>
        </w:trPr>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7300" w:type="dxa"/>
            <w:vAlign w:val="bottom"/>
            <w:vMerge w:val="restart"/>
          </w:tcPr>
          <w:p>
            <w:pPr>
              <w:ind w:left="3120"/>
              <w:spacing w:after="0"/>
              <w:rPr>
                <w:sz w:val="20"/>
                <w:szCs w:val="20"/>
                <w:color w:val="auto"/>
              </w:rPr>
            </w:pPr>
            <w:r>
              <w:rPr>
                <w:rFonts w:ascii="Arial" w:cs="Arial" w:eastAsia="Arial" w:hAnsi="Arial"/>
                <w:sz w:val="14"/>
                <w:szCs w:val="14"/>
                <w:b w:val="1"/>
                <w:bCs w:val="1"/>
                <w:color w:val="auto"/>
              </w:rPr>
              <w:t>Disease/Indication</w:t>
            </w:r>
          </w:p>
        </w:tc>
        <w:tc>
          <w:tcPr>
            <w:tcW w:w="420" w:type="dxa"/>
            <w:vAlign w:val="bottom"/>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Candidate</w:t>
            </w:r>
          </w:p>
        </w:tc>
        <w:tc>
          <w:tcPr>
            <w:tcW w:w="73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MN-221</w:t>
            </w:r>
          </w:p>
        </w:tc>
        <w:tc>
          <w:tcPr>
            <w:tcW w:w="600" w:type="dxa"/>
            <w:vAlign w:val="bottom"/>
            <w:shd w:val="clear" w:color="auto" w:fill="CCEEFF"/>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Acute exacerbations of asthma</w:t>
            </w: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$ 1,836</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MN-166</w:t>
            </w:r>
          </w:p>
        </w:tc>
        <w:tc>
          <w:tcPr>
            <w:tcW w:w="7300" w:type="dxa"/>
            <w:vAlign w:val="bottom"/>
          </w:tcPr>
          <w:p>
            <w:pPr>
              <w:spacing w:after="0"/>
              <w:rPr>
                <w:sz w:val="20"/>
                <w:szCs w:val="20"/>
                <w:color w:val="auto"/>
              </w:rPr>
            </w:pPr>
            <w:r>
              <w:rPr>
                <w:rFonts w:ascii="Arial" w:cs="Arial" w:eastAsia="Arial" w:hAnsi="Arial"/>
                <w:sz w:val="18"/>
                <w:szCs w:val="18"/>
                <w:color w:val="auto"/>
              </w:rPr>
              <w:t>Multiple sclerosis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Bronchial asthma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MN-001</w:t>
            </w:r>
          </w:p>
        </w:tc>
        <w:tc>
          <w:tcPr>
            <w:tcW w:w="7300" w:type="dxa"/>
            <w:vAlign w:val="bottom"/>
          </w:tcPr>
          <w:p>
            <w:pPr>
              <w:spacing w:after="0"/>
              <w:rPr>
                <w:sz w:val="20"/>
                <w:szCs w:val="20"/>
                <w:color w:val="auto"/>
              </w:rPr>
            </w:pPr>
            <w:r>
              <w:rPr>
                <w:rFonts w:ascii="Arial" w:cs="Arial" w:eastAsia="Arial" w:hAnsi="Arial"/>
                <w:sz w:val="18"/>
                <w:szCs w:val="18"/>
                <w:color w:val="auto"/>
              </w:rPr>
              <w:t>Interstitial cystitis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Solid tumors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MN-305</w:t>
            </w:r>
          </w:p>
        </w:tc>
        <w:tc>
          <w:tcPr>
            <w:tcW w:w="7300" w:type="dxa"/>
            <w:vAlign w:val="bottom"/>
          </w:tcPr>
          <w:p>
            <w:pPr>
              <w:spacing w:after="0"/>
              <w:rPr>
                <w:sz w:val="20"/>
                <w:szCs w:val="20"/>
                <w:color w:val="auto"/>
              </w:rPr>
            </w:pPr>
            <w:r>
              <w:rPr>
                <w:rFonts w:ascii="Arial" w:cs="Arial" w:eastAsia="Arial" w:hAnsi="Arial"/>
                <w:sz w:val="18"/>
                <w:szCs w:val="18"/>
                <w:color w:val="auto"/>
              </w:rPr>
              <w:t>Generalized Anxiety Disorder/insomnia</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Preterm labor</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MN-246</w:t>
            </w:r>
          </w:p>
        </w:tc>
        <w:tc>
          <w:tcPr>
            <w:tcW w:w="7300" w:type="dxa"/>
            <w:vAlign w:val="bottom"/>
          </w:tcPr>
          <w:p>
            <w:pPr>
              <w:spacing w:after="0"/>
              <w:rPr>
                <w:sz w:val="20"/>
                <w:szCs w:val="20"/>
                <w:color w:val="auto"/>
              </w:rPr>
            </w:pPr>
            <w:r>
              <w:rPr>
                <w:rFonts w:ascii="Arial" w:cs="Arial" w:eastAsia="Arial" w:hAnsi="Arial"/>
                <w:sz w:val="18"/>
                <w:szCs w:val="18"/>
                <w:color w:val="auto"/>
              </w:rPr>
              <w:t>Urinary incontinence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Thrombotic disorders</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MN-462</w:t>
            </w:r>
          </w:p>
        </w:tc>
        <w:tc>
          <w:tcPr>
            <w:tcW w:w="7300" w:type="dxa"/>
            <w:vAlign w:val="bottom"/>
          </w:tcPr>
          <w:p>
            <w:pPr>
              <w:spacing w:after="0"/>
              <w:rPr>
                <w:sz w:val="20"/>
                <w:szCs w:val="20"/>
                <w:color w:val="auto"/>
              </w:rPr>
            </w:pPr>
            <w:r>
              <w:rPr>
                <w:rFonts w:ascii="Arial" w:cs="Arial" w:eastAsia="Arial" w:hAnsi="Arial"/>
                <w:sz w:val="18"/>
                <w:szCs w:val="18"/>
                <w:color w:val="auto"/>
              </w:rPr>
              <w:t>Thrombotic disorders</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w:t>
            </w:r>
          </w:p>
        </w:tc>
        <w:tc>
          <w:tcPr>
            <w:tcW w:w="7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4"/>
          </w:tcPr>
          <w:p>
            <w:pPr>
              <w:spacing w:after="0"/>
              <w:rPr>
                <w:sz w:val="20"/>
                <w:szCs w:val="20"/>
                <w:color w:val="auto"/>
              </w:rPr>
            </w:pPr>
            <w:r>
              <w:rPr>
                <w:rFonts w:ascii="Arial" w:cs="Arial" w:eastAsia="Arial" w:hAnsi="Arial"/>
                <w:sz w:val="18"/>
                <w:szCs w:val="18"/>
                <w:color w:val="auto"/>
              </w:rPr>
              <w:t>Total research and development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$ 3,101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6,078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of the end of the second quarter of 2007, we determined to focus our resources on the development of our two prioritized product candidates, MN-221 for the treatment of acute exacerbations of asthma and MN-166 for the treatment of MS. However, following completion of the Phase II clinical trial of MN-166 for the treatment of MS in the second quarter of 2008, we have not undertaken, nor do we plan to undertake, any further significant clinical development of MN-166 until such time that we secure a strategic collaboration to advance MN-166 into Phase III clinical development. We anticipate that our research and development expenses will increase with respect to MN-221 in future periods as we continue development and launch clinical trials in support of potential commercialization of this product candidate and decrease with respect to MN-166 in future periods as we will limit expenditures on this product candidate to those development activities deemed necessary, if any, to maximize its value for purposes of securing a partner for Phase III clinical development. However, at this time, due to the risks inherent in the clinical development process and given the early stage of our MN-221 product development program, we are unable to estimate with any certainty the costs that we will incur in the continued development of such product candidate for potential commercialization.</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intend to limit our expenditures on the remainder of our existing product candidates to only those activities deemed necessary to maintain our license rights or maximize the value of such product candidates, if any, while pursuing a variety of initiatives to monetize such product candidates on appropriate terms. As a result, we expect that research and development expenses will decrease or otherwise remain low for the remainder of our existing product candidates in future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general and administrative expenses primarily consist of salaries, benefits and consulting and professional fees related to our administrative, finance, human resources, business development, legal and information systems support functions. In addition, general and administrative expenses include facilities and insurance costs. General and administrative costs are expensed as incurred or accrued based on monitoring the status of the specified project, contractual factors such as milestones or retainer fees, services provided and invoices received. As actual costs become known to us, we adjust our accruals. To date, general and administrative accruals have not differed significantly from the actual costs incurred.</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anticipate that our general and administrative expenses may increase in future periods as we expand our infrastructure and incur additional costs for insurance and professional and consulting fees associated with operating as a dual-listed public company and supporting our product development programs and business development activities.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Available-For-Sale, Long-term Investments and Long-term Asset</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remaining marketable securities available-for-sale consisted of auction rate securities, or ARS, which had AAA ratings at the time of purchase. ARS are generally long-term debt instruments that historically have provided liquidity through a “Dutch” auction process that resets the applicable interest rate at predetermined calendar intervals, typically seven, 28, 35 or 49 days. All of our ARS principally represent interests in municipal bonds, government-guaranteed student loans, insurance notes and portfolios of securities (primarily commercial paper) and were designated as trading securities and classified as long-term investments due to the time frame in which we can readily convert these securities into cash as of December 31, 2008. Our long-term asset consists of the ARS Put (as described below). At March 31, 2009, $20.9 million of our ARS consisted primarily of municipal bonds and government-guaranteed student loan securities and $2.2 million of our ARS consisted of private placement securities. None of the underlying collateral for our ARS consisted of subprime mortgages or collateralized debt obligations.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Due to continued negative conditions in the global credit markets, our ARS have continued to fail at auction with few to no trades in either the primary or the secondary markets. As such, with the adoption of Statement of Financial Accounting Standards, or SFAS, No. 157, “Fair Value Measurements,” or SFAS 157, we determined the fair value of our ARS portfolio primarily on Level 3 criteria, which resulted in our reliance on a discounted cash flow valuation model with assumptions related to interest rates, maturities and liquidity determined by us based on the credit quality of the security, the credit quality of the associated insurer, if applicable, the respective prospectus and the credit market outlook. With our long-term investments designated as trading securities, any additional increase or decrease in the fair value of our long-term investments is recorded as either a gain or an impairment charge, respectively, in our consolidated statement of operations. As of March 31, 2009, we recorded a net impairment charge on our long-term investments of approximately $0.9 million to reduce the carrying value of our long-term investments.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August 2008, UBS AG and its affiliates, or UBS, the brokerage firm through which we purchased the majority of our ARS, entered into a settlement with the SEC, the New York Attorney General and other state agencies. Under the settlement, UBS issued to us Auction Rate Security Rights, which would allow us to sell to UBS our ARS held in accounts with UBS, or the ARS Rights Offer. Pursuant to the ARS Rights Offer, we received the right to sell to UBS the ARS held in accounts with UBS at par value at any time during the period beginning June 30, 2010 and ending July 2, 2012, or the ARS Put. As part of the settlement, UBS also offered to us a no net cost loan program, or ARS Loan, whereby we would be able to borrow up to 75 percent of the market value, as determined by UBS at its sole discretion, of our ARS that have been pledged as collateral at an interest cost that would not exceed the interest being paid on the underlying ARS investments. Under the ARS Loan program, UBS may demand full or partial payment of the ARS Loan, at its sole option and without cause, at any time.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w:t>
      </w:r>
    </w:p>
    <w:p>
      <w:pPr>
        <w:spacing w:after="0" w:line="121"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Although we have the right to sell to UBS the ARS subject to the ARS Put at par beginning June 30, 2010, we determined the fair market value of the ARS without consideration of the ARS Put because they are separate contractual agreements under SFAS 157.</w:t>
      </w:r>
    </w:p>
    <w:p>
      <w:pPr>
        <w:spacing w:after="0" w:line="13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elected to measure the ARS Put under the fair value option of SFAS No. 159, “The Fair Value Option for Financial Assets and Financial Liabilities,” or SFAS 159, to mitigate the volatility in reported earnings due to the linkage of certain of our ARS and the ARS Put. Under SFAS 159, any subsequent increase or decrease in the fair value of the ARS Put would be recorded as either a gain or an impairment charge, respectively, in our consolidated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statement of operations. The fair value of the ARS Put was also determined by a discounted cash flow valuation model with assumptions being made related to interest rate, maturity and liquidity. At March 31, 2009, based on our discounted cash flow valuation, we recorded a gain of approximately $1.0 million in our consolidated statement of operations due to an increase in the carrying value of the ARS Put to $6.8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To date, we have conducted most of our clinical trials in the United States. However, the Phase II clinical trial for MN-166 for the treatment of MS was conducted in Eastern Europe. When we entered into the euro-denominated contract with the contract research organization, or CRO, managing this clinical trial on our behalf, the U.S. dollar to euro conversion rate had remained fairly constant; therefore, we did not enter into a hedging program to mitigate our foreign exchange exposure at such time. We completed this clinical trial in the second quarter of 2008. Our foreign exchange gain in the first quarter of 2009 is attributable to the strengthening of the U.S. dollar against the euro and is reflected in the remaining accrued payable for this foreign currency contract.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interest income consists primarily of interest earned on our cash, cash equivalents and long-term investments, offset by the interest charged on the ARS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consolidated financial statements, which have been prepared in accordance with accounting principles generally accepted in the United States. The preparation of the consolidated financial statements requires us to make estimates and judgments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 under different assumptions or conditions. Our critical accounting policies and estimates are the same as those noted in our Annual Report on Form 10-K for the year ended December 31, 2008 as filed with the SEC on March 31, 2009.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Recently Adopted</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September 2006, the Financial Accounting Standards Board, or FASB, issued SFAS 157, which defines fair value, establishes a framework for measuring fair value in generally accepted accounting principles and expands disclosures about fair-value measurements. We adopted SFAS 157 as of January 1, 2008 for all financial assets and liabilities. For nonfinancial assets and liabilities measured at fair value on a non-recurring basis, SFAS 157 is effective for financial statements issued for fiscal years beginning after November 15, 2008. The adoption of SFAS 157 for nonfinancial assets and liabilities measured at fair value on a non-recurring basis on January 1, 2009 did not have a material impact on our consolidated financial statements.</w:t>
      </w:r>
    </w:p>
    <w:p>
      <w:pPr>
        <w:spacing w:after="0" w:line="11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In November 2007, the FASB issued Emerging Issues Task Force, or EITF, No. 07-1, “Accounting for Collaborative Arrangements Related to the Development and Commercialization of Intellectual Property,” or EITF 07-1, which is focused on how the parties to a collaborative agreement should disclose costs incurred and revenue generated on sales to third parties, how sharing payments pursuant to a collaboration agreement should be presented in the income statement and certain related disclosure questions. We have not entered into any collaborative arrangements since the issuance of EITF 07-1; therefore, implementation of this accounting standard in the first quarter of 2009 had no impact on our consolidated financial statements.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December 2007, the FASB issued SFAS No. 141 (revised 2007), “Business Combinations,” or SFAS 141R. For calendar year companies, SFAS 141R is applicable to new business combinations occurring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or after January 1, 2009. SFAS 141R requires an acquiring entity to recognize all the assets acquired and liabilities assumed in a transaction at the acquisition date fair value with limited exceptions. Most significantly, SFAS 141R requires that acquisition costs generally be expensed as incurred, certain acquired contingent liabilities be recorded at fair value and acquired in-process research and development be recorded at fair value as an indefinite-lived intangible asset at the acquisition date. We have not entered into any business combinations as of date of issuance of SFAS 141R; therefore, implementation of this accounting standard in the first quarter of 2009 had no impact on our consolidated financial statements.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Statements—An Amendment of ARB No. 51,” or SFAS 160, which is effective for calendar-year companies beginning January 1, 2009. SFAS 160 establishes new accounting and reporting standards for the noncontrolling interest in a subsidiary and for the deconsolidation of a subsidiary. We do not have any minority interests; therefore, implementation of SFAS 160 in the first quarter of 2009 had no impact on our consolidated financial statements.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Activities—An Amendment of FASB Statement No. 133,” or SFAS 161, which is effective for calendar year companies beginning January 1, 2009. SFAS 161 enhances required disclosures regarding derivatives and hedging activities. We do not have any derivative instruments nor do we engage in any hedging activities; therefore, implementation of SFAS 161 in the first quarter of 2009 had no impact on our consolidated financial statements.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April 2008, the FASB issued FASB Staff Position, or FSP, No. FAS 142-3, “Determination of the Useful Life of Intangible Assets,” or FSP 142-3. FSP 142-3 amends the factors that should be considered in developing renewal or extension assumptions used to determine the useful life of a recognized intangible asset under SFAS No. 142, “Goodwill and Other Intangible Assets,” or SFAS 142. FSP 142-3 is effective for calendar year companies beginning January 1, 2009. The requirement for determining useful lives must be applied prospectively to intangible assets acquired after the effective date and the disclosure requirements must be applied prospectively to all intangible assets recognized as of, and subsequent to, the effective date. We do not have any goodwill recorded on our financial statements nor have we acquired any intangible assets during the three months ended March 31, 2009; therefore, implementation of FSP 142-3 in the first quarter of 2009 had no impact on our consolidated financial statements.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June 2008, the FASB issued EITF Issue No. 07-5, “Determining Whether an Instrument (or Embedded Feature) Is Indexed to an Entity’s Own Stock,” or EITF 07-5. EITF 07-5 mandates a two-step process for evaluating whether an equity-linked financial instrument or embedded feature is indexed to the entity’s own stock. EITF 07-5 is effective for fiscal years beginning after December 15, 2008 (beginning with the Company’s fiscal year 2009). The adoption of EITF 07-5 did not have a material impact on our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Recently Issued</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April 2009, the FASB issued FSP No. FAS 141(R)-1, “Accounting for Assets Acquired and Liabilities Assumed in a Business Combination That Arise from Contingencies,” or FSP FAS 141(R)-1. FSP FAS 141(R)-1 amends the provisions in FASB Statement 141R for the initial recognition and measurement, subsequent measurement and accounting, and disclosures for assets and liabilities arising from contingencies in business combinations. FSP FAS 141(R)-1 is effective for contingent assets or contingent liabilities acquired in business combinations for which the acquisition date is on or after the beginning of the first annual reporting period beginning on or after December 15, 2008. We have adopted FSP FAS 141(R)-1 and will apply the guidance of this accounting standard to assets and liabilities assumed in any business combinations completed after January 1, 2009.</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April 2009, the FASB issued FSP No. FAS 107-1 and APB 28-1, “Interim Disclosures about Fair Value of Financial Instruments,” or FSP FAS 107-1 and APB 28-1. FSP FAS 107-1 and APB 28-1 amends FASB</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Statement No. 107, Disclosures about Fair Value of Financial Instruments, to require disclosures about fair value of financial instruments in interim as well as in annual financial statements. FSP FAS 107-1 and APB 28-1 also amends APB Opinion No. 28, Interim Financial Reporting, to require those disclosures in all interim financial statements. This accounting standard is effective for periods ending after June 15, 2009. We will adopt FSP FAS 107-1 and APB 28-1 in the second quarter of 2009; however, we do not anticipate that the adoption of this accounting standard will affect our financial position or results of operations since only additional disclosures of fair values of financial instruments in interim financial statements are required.</w:t>
      </w:r>
    </w:p>
    <w:p>
      <w:pPr>
        <w:spacing w:after="0" w:line="1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April 2009, the FASB issued FSP No. FAS 157-4, “Determining Fair Value When the Volume and Level of Activity for the Asset or Liability Have Significantly Decreased and Identifying Transactions That Are Not Orderly”</w:t>
      </w:r>
      <w:r>
        <w:rPr>
          <w:rFonts w:ascii="Arial" w:cs="Arial" w:eastAsia="Arial" w:hAnsi="Arial"/>
          <w:sz w:val="18"/>
          <w:szCs w:val="18"/>
          <w:i w:val="1"/>
          <w:iCs w:val="1"/>
          <w:color w:val="auto"/>
        </w:rPr>
        <w:t>,</w:t>
      </w:r>
      <w:r>
        <w:rPr>
          <w:rFonts w:ascii="Arial" w:cs="Arial" w:eastAsia="Arial" w:hAnsi="Arial"/>
          <w:sz w:val="18"/>
          <w:szCs w:val="18"/>
          <w:color w:val="auto"/>
        </w:rPr>
        <w:t xml:space="preserve"> or FSP FAS 157-4. Under FSP FAS 157-4, if an entity determines that there has been a significant decrease in the volume and level of activity for an asset or liability in relation to the normal market activity for the asset or liability (or similar assets or liabilities), then transactions or quoted prices may not accurately reflect fair value. In addition, if there is evidence that the transaction for the asset or liability is not orderly, the entity must place little, if any, weight on that transaction price as an indicator of fair value. We plan to adopt FSP FAS 157-4 during the second quarter of 2009; however, we do not anticipate that the adoption of this accounting standard will materially impact our financial position and results of operations.</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April 2009, the FASB issued FSP Nos. FAS 115-2 and FAS 124-2, “Recognition and Presentation of Other-Than-Temporary Impairments”</w:t>
      </w:r>
      <w:r>
        <w:rPr>
          <w:rFonts w:ascii="Arial" w:cs="Arial" w:eastAsia="Arial" w:hAnsi="Arial"/>
          <w:sz w:val="16"/>
          <w:szCs w:val="16"/>
          <w:i w:val="1"/>
          <w:iCs w:val="1"/>
          <w:color w:val="auto"/>
        </w:rPr>
        <w:t>,</w:t>
      </w:r>
      <w:r>
        <w:rPr>
          <w:rFonts w:ascii="Arial" w:cs="Arial" w:eastAsia="Arial" w:hAnsi="Arial"/>
          <w:sz w:val="16"/>
          <w:szCs w:val="16"/>
          <w:color w:val="auto"/>
        </w:rPr>
        <w:t xml:space="preserve"> or FSP FAS 115-2/124-2. FSP FAS 115-2/124-2 changes existing guidance for determining whether debt securities are other-than-temporarily impaired and replaces the existing requirement that the entity’s management assert it has both the intent and ability to hold an impaired security until recovery with a requirement that management assert: (a) it does not have the intent to sell the security; and (b) it is more likely than not it will not have to sell the security before recovery of its cost basis. FSP FAS 115-2/124-2 requires entities to separate an other-than-temporary impairment of a debt security into two components when there are credit related losses associated with the impaired debt security for which management asserts that it does not have the intent to sell the security, and it is more likely than not that it will not be required to sell the security before recovery of its cost basis. The amount of the other-than-temporary impairment related to a credit loss is recognized in earnings, and the amount of the other-than-temporary impairment related to other factors is recorded in other comprehensive loss. We plan to adopt FSP FAS 115-2/124-2 during the second quarter of 2009; however, we do not anticipate that the adoption of this accounting standard will materially impact our financial position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2009 and 2008</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three months ended March 31, 2009 or March 31, 2008.</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Research and development expenses for the three months ended March 31, 2009 were $3.1 million, a decrease of $3.0 million when compared to $6.1 million for the three months ended March 31, 2008. This decrease in research and development expenses primarily included a decrease of $1.9 million due to the completion of the two-year Phase II clinical trial for MN-166 for the treatment of MS, a decrease of $0.4 million related to the termination of a Phase III clinical trial for MN-001 for the treatment of bronchial asthma and a decrease of $0.7 million related to our other clinical development programs as we continue to primarily focus our resources on the clinical development program for MN-221 for the treatment of acute exacerbations of asthma.</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General and administrative expenses were $2.2 million for the three months ended March 31, 2009, a decrease of $0.4 million when compared to $2.6 million for the three months ended March 31, 2008. This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decrease in general and administrative expenses was due to a $0.4 million decrease in corporate expenses related to fees paid to third-party consultants.</w:t>
      </w:r>
    </w:p>
    <w:p>
      <w:pPr>
        <w:spacing w:after="0" w:line="194" w:lineRule="exact"/>
        <w:rPr>
          <w:sz w:val="20"/>
          <w:szCs w:val="20"/>
          <w:color w:val="auto"/>
        </w:rPr>
      </w:pPr>
    </w:p>
    <w:p>
      <w:pPr>
        <w:ind w:right="440" w:firstLine="456"/>
        <w:spacing w:after="0" w:line="335" w:lineRule="auto"/>
        <w:rPr>
          <w:sz w:val="20"/>
          <w:szCs w:val="20"/>
          <w:color w:val="auto"/>
        </w:rPr>
      </w:pPr>
      <w:r>
        <w:rPr>
          <w:rFonts w:ascii="Arial" w:cs="Arial" w:eastAsia="Arial" w:hAnsi="Arial"/>
          <w:sz w:val="15"/>
          <w:szCs w:val="15"/>
          <w:color w:val="auto"/>
        </w:rPr>
        <w:t>We anticipate that our general and administrative expenses may increase in future periods if we are required to expand our infrastructure based on the success of our current prioritized product development programs and in raising capital to support those and other development programs or otherwise in connection with increased business development activities related to partnering, out-licensing or disposition of our product candidates other than MN-221.</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Gain/Impairment Charge on Long-term Investments, Long-term Asset and Marketable Securities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For the three months ended March 31, 2009, a net gain of approximately $27,000 on our long-term investments (ARS) and long-term asset (ARS Put) was recorded based on fair value as determined by our discounted cash flow models with liquidity discount, as compared to an impairment charge of approximately $2.4 million on our marketable securities available-for-sale (ARS) for the three months ended March 31, 2008. The net gain was primarily a result of the ARS Put, which mitigates fair value volatility in reported earnings due to its direct link to certain of our ARS. At March 31, 2009, the ARS Put had an increase in fair value of approximately $1.0 million and our long-term investments had a net decrease in fair value of approximately $0.9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Gain/Loss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For the three months ended March 31, 2009, a foreign exchange gain of approximately $27,000 was recorded due to the revaluation of our euro-denominated liability, as compared to a foreign exchange loss of approximately $0.6 million for the three months ended March 31, 2008. The foreign exchange gain was due to the strengthening of the U.S. dollar at March 31, 2009, in which the conversion rate was approximately $1.32 U.S. dollars for each euro, as compared to $1.60 U.S. dollars for each euro at March 31, 2008. In addition, there was a reduction in our outstanding accounts payable balance to the respective vendor involved with the completed Phase II clinical trial for MN-166 based on reconciliations performed as of the first quarter of 2009.</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 net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Interest income consisted of income earned on our cash and investment balances and totaled $0.2 million for the three months ended March 31, 2009, a decrease of $0.6 million when compared to $0.8 million for the three months ended March 31, 2008. The decrease was primarily due to a decrease in interest earned on most of our cash and investment balances due to lower interest rates. In addition, as of March 31, 2009, approximately $42,000 of interest was applied to the ARS Loan.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Since our inception, we have primarily financed our operations through the private placement of our equity securities, the public sale of our common stock and the exercise of founders’ warrants, net of treasury stock repurchases. Through March 31, 2009, we received estimated net proceeds of $201.4 million from the sale of equity securities, the exercise of warrants and stock options and employee stock purchases.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March 31, 2009, we had approximately $44.6 million in cash and cash equivalents, net of the ARS Loan, investment securities and a long-term asset consisting of the ARS Put, as compared to $49.1 million at December 31, 2008, which decrease of $4.5 million is primarily a result of our operating loss during the first quarter of 2009. At March 31, 2009, $20.9 million of our ARS consisted primarily of municipal bonds and government-guaranteed student loan securities and $2.2 million of our ARS consisted of private placement securities. None of the underlying collateral for our ARS consisted of subprime mortgages or collateralized debt obligations. Based on our discounted cash flow models, our long-term investment securities, which were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designated as trading securities, declined in fair value overall and resulted in the recording of a net impairment charge of approximately $0.9 million in our consolidated statement of operations to reduce their carrying value at March 31, 2009.</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August 2008, UBS, the brokerage firm through which we purchased the majority of our ARS investments, entered into a settlement with the SEC, the New York Attorney General and other state agencies. Under the settlement, UBS issued to us the ARS Rights Offer. Pursuant to the ARS Rights Offer, we received the ARS Put. As part of the settlement, UBS also offered to us the ARS Loan, whereby we would be able to borrow up to 75 percent of the market value, as determined by UBS at its sole discretion, of our ARS that have been pledged as collateral at an interest cost that would not exceed the interest being paid on the underlying ARS investments. Under the ARS Loan program, UBS may demand full or partial payment of the ARS Loan, at its sole option and without cause, at any time.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w:t>
      </w:r>
    </w:p>
    <w:p>
      <w:pPr>
        <w:spacing w:after="0" w:line="12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We elected to measure the ARS Put under the fair value option of SFAS 159 to mitigate the volatility in reported earnings due to the direct linkage between certain of our ARS and the ARS Put. The fair value of the ARS Put was also determined by a discounted cash flow valuation model with assumptions being made related to interest rate, maturity and liquidity. At March 31, 2009, based on our discounted cash flow valuation, we recorded a gain of approximately $1.0 million in our consolidated statement of operations due to an increase in the carrying value of our ARS Put to $6.8 million.</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fair value of our ARS and the ARS Put are based in part on management’s estimates and assumptions. In the event of actual market exchanges, if any, these assumptions may prove materially different from those assumed in our valuation models and amounts may be materially different than our estimates. For example, a reduction of the expected term to redemption by two years for our ARS portfolio yielded in our models a net increase in valuation of our ARS of $2.0 million and an increase in expected term to redemption by two years for our ARS portfolio yielded in our models a decrease in valuation of our ARS of $1.9 million. Other factors that may impact the valuation of our ARS and the ARS Put include changes to the credit quality of the underlying assets, discount rates, counterparty risk and the condition of the overall credit market.</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continue to monitor closely our ARS investments, as the liquidity of such securities could impact our ability to fund our operations if we are unable to liquidate such securities, otherwise unable to obtain capital to fund our operations or UBS demands full or partial payment of the ARS Loan. In the event that the credit crisis continues or worsens and the ARS market remains illiquid, we may not be able to recover the full value of our ARS investments should we determine it is necessary to liquidate any such securities. Further, in such event we may not be able to borrow the maximum available amount under the ARS Loan or, if we have borrowed the maximum available amount, maintain such loan outstanding.</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cash used in operating activities decreased to $4.6 million for the three months ended March 31, 2009 from $7.4 million for the three months ended March 31, 2008. The decrease was primarily due to a reduction in spending on research and development due to the completion of the Phase II clinical trial for MN-166 in the second quarter of 2008. No cash was provided by or used for investing activities for the three months ended March 31, 2009, as compared to $16.8 million provided by investing activities for the three months ended March 31, 2008. The decrease was primarily due to the illiquidity of the ARS market. Net cash provided by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financing activities was $18.1 million for the three months ended March 31, 2009, as compared to less than $0.1 million for the three months ended March 31, 2008. This increase was due to the amounts borrowed under the ARS Loan.</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consumed substantial amounts of capital since our inception. We do not have any material commitments for capital expenditures and our current cash, cash equivalents and the ARS Loan are our principal sources of liquidity. At March 31, 2009, we believe that our existing cash and cash equivalents, net of the ARS Loan, will be sufficient to fund our anticipated operating requirements, at a minimum, through March 31, 2010, including all of our planned research and development activities. We anticipate that we may require additional funding in the future to fund our operations and intended research and development activities.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future uses and capital requirements will depend on, and could increase significantly as a result of, many factors, including the following:</w:t>
      </w:r>
    </w:p>
    <w:p>
      <w:pPr>
        <w:spacing w:after="0" w:line="113" w:lineRule="exact"/>
        <w:rPr>
          <w:sz w:val="20"/>
          <w:szCs w:val="20"/>
          <w:color w:val="auto"/>
        </w:rPr>
      </w:pPr>
    </w:p>
    <w:p>
      <w:pPr>
        <w:ind w:left="900" w:right="2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progress of our clinical trials and other research and development activities, including expenses to support the clinical development of MN-221 for the treatment of acute exacerbations of asthma and milestone payments that may become payable to Kissei Pharmaceutical Co., Ltd., or Kissei Pharmaceutical, based on the progress of such product development program;</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and commercial production of our product candidates;</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establishing sales and marketing capabilities and commercialization activities if we obtain regulatory clearances to market our product candidates;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may in-license, acquire or invest in other indications, products, technologies and businesses.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may not be successful in obtaining strategic collaboration agreements or in receiving milestone or royalty payments under such agreements.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 delay, reduce the scope of or terminate one or more of our product development programs, curtail our efforts to acquire new product candidates or relinquish some or even all rights to product candidates. Failure to obtain adequate financing also may adversely affect our ability to operate as a going concern.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Interest Rate Risk</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while at the same time maximizing the income we receive without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significantly increasing risk. Our risk associated with fluctuating interest rates is limited to our investments in interest rate sensitive financial instruments. Under our current policies,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 Declines in interest rates over time will, however, reduce our interest income, while increases in interest rates over time will increase our interest income.</w:t>
      </w:r>
    </w:p>
    <w:p>
      <w:pPr>
        <w:spacing w:after="0" w:line="1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long-term investments consist of ARS, and our long-term asset consists of the ARS Put. All of our ARS had AAA ratings at the time of purchase and principally represent interests in municipal bonds, government-guaranteed student loans, insurance notes and portfolios of securities (primarily commercial paper). None of the underlying collateral for our ARS consisted of subprime mortgages or collateralized debt obligations. At March 31, 2009, $20.9 million of our ARS consisted primarily of municipal bonds and government-guaranteed student loan securities and $2.2 million of our ARS consisted of private placement securities.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negative conditions in the global credit markets have prevented most investors, including ourselves, from liquidating certain holdings of ARS because the amount of securities submitted for sale has exceeded the amount of purchase orders for the securities. If there is insufficient demand for the securities at the time of the “Dutch” auction, the auction may not be completed and the interest rates may be reset to the maximum interest rate applicable to the specific securities being auctioned as per the official statement issued at the initial bond sale. When auctions for these securities fail, as they did throughout 2008 and during the first quarter of 2009, the investments may not be readily convertible to cash until a future auction of these investments is successful, they are redeemed or repurchased, sold through a secondary market or mature. During the three months ended March 31, 2009, we did not liquidate any of our ARS.</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January 2009, we were approved by UBS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Under the ARS Loan program, UBS may demand full or partial payment of the ARS Loan, at its sole option and without cause, at any time. All cash received under the ARS Loan was invested in money market accounts. Because the interest that we pay on the ARS Loan will not exceed the interest that we receive on the ARS pledged as security for the ARS Loan and which are held in the collateral account, we do not believe that this arrangement subjects us to additional interest rate risk.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Rate Fluctuations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were exposed to foreign currency exchange rate risk with respect to the Phase II clinical trial for MN-166 for the treatment of MS, which we completed in Eastern Europe in the second quarter of 2008. As of March 31, 2009, we remain in the process finalizing our reconciliation for this study with the service provider who supported us in conducting this study. We do not hedge our currency exchange rate risk; therefore, we are exposed to the fluctuations in the value of the U.S. dollar against the euro. The effects of changes in exchange rates between the U.S. dollar and euro denominated transactions are recorded as foreign currency transaction gain (loss) as a separate component of net loss. At March 31, 2009, a hypothetical 100 basis point change in the exchange rate would not have a material impact on our consolidated financial statements.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as amended, or the Exchange Act, is recorded, processed, summarized and reported within the time periods specified in the SEC’s rules and forms and that such information is accumulated and communicated to our management, including our Chief Executive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not currently aware of any such claims or legal proceedings that we believe will have a material adverse effect on our business, financial condition or operating results.</w:t>
      </w:r>
    </w:p>
    <w:p>
      <w:pPr>
        <w:spacing w:after="0" w:line="22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Quarterly Report on Form 10-Q and our other public filings with the SEC. Other events that we do not currently anticipate or that we currently deem immaterial may also affect our results of operations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1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are a development stage biopharmaceutical company with a limited operating history. We have incurred significant net losses since our inception. For the three months ended March 31, 2009, we had a net loss of approximately $5.0 million. At March 31, 2009, our accumulated deficit was approximately $232.0 million. If we are successful in raising additional capital to support such expansion, our annual net losses may increase over the next several years as we expand our infrastructure and incur significant costs related to the development of our product candidates.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our research and development expenses to increase in connection with ongoing and planned clinical trials for our prioritized product candidates, primarily related to MN-221 for the treatment of acute exacerbations of asthma, and any other development activities that we may initiate. In addition, our general and administrative expenses may increase in future periods as a result of several factors, including our research and development activities, our business development activities and any expansions in our infrastructure related to such activities. Consequently, we expect to continue to incur significant and increasing operating losses for the foreseeable future. Because of the numerous risks and uncertainties associated with developing drug products, we are unable to predict the extent of any future losses or when we will become profitable, if at all.</w:t>
      </w:r>
    </w:p>
    <w:p>
      <w:pPr>
        <w:spacing w:after="0" w:line="201"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51"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To date, we have funded our operations primarily from sales of our securities. We have not received, and do not expect to receive for at least the next several years, if at all, any revenues from the commercialization of our product candidates. Our only source of revenues since inception has been from development management services rendered to Asahi Kasei Pharma Corporation and Argenes, Inc., both Japanese pharmaceutical companies, in connection with their clinical development of pharmaceutical product candidates. We completed our agreement with Asahi Kasei Pharma Corporation and terminated our agreement with Argenes, Inc.; therefore, we will not generate any further revenues from these agreements. We anticipate that, prior to our commercialization of a product candidate, out-licensing upfront and milestone payments will be our primary source of revenue.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profitability.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 and we cannot be certain that either of these product candidates will receive regulatory approval or be successfully commercialized.</w:t>
      </w:r>
    </w:p>
    <w:p>
      <w:pPr>
        <w:spacing w:after="0" w:line="5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selling, marketing and distribution of drug products are subject to extensive regulation by the U.S. Food and Drug Administration, or FDA, and comparable regulatory authorities in other countries. We are not permitted to market any of our product candidates in the United States until we submit and receive approval of a New Drug Application, or NDA, for a product candidate from the FDA or its foreign equivalent from a foreign regulatory authority. Obtaining FDA approval is a lengthy, expensive and uncertain process. We currently have two prioritized product candidates, MN-221 for the treatment of acute exacerbations of asthma and MN-166 for the treatment of MS, and the success of our business currently depends on their successful development and commercialization. Neither of these product candidates has completed the clinical development process; therefore, we have not submitted an NDA or foreign equivalent or received marketing approval for either of these two prioritized product candidates. In addition, we are not currently planning to pursue any further significant clinical development of MN-166 for the treatment of MS following the completion of the Phase II clinical trial until such time that we are able to secure a strategic collaboration to advance MN-166 into Phase III clinical development, which may delay or impede the process of completing clinical trials and seeking regulatory approval for this product candidate.</w:t>
      </w:r>
    </w:p>
    <w:p>
      <w:pPr>
        <w:spacing w:after="0" w:line="12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clinical development programs for MN-221 and MN-166 may not lead to commercial products for a number of reasons, including if we fail to obtain necessary approvals from the FDA or similar foreign regulatory authorities because our clinical trials fail to demonstrate to their satisfaction that these product candidates are safe and effective.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either MN-221 or MN-166 in a timely manner would have a material and adverse impact on our business and our stock price.</w:t>
      </w:r>
    </w:p>
    <w:p>
      <w:pPr>
        <w:spacing w:after="0" w:line="22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eight of our product development programs. Investigational New Drug Applications, or INDs, were approved by the FDA and are active for seven of our product candidates. We also obtained five Clinical Trial Authorizations, or CTAs, which are the equivalent of a U.S. IND in Europe and Canada to conduct the completed Phase II clinical trial for MN-166 in patients with MS in five countries in Eastern Europe and obtained two CTAs in Canada to conduct the two completed Phase I clinical trials for MN-246 in healthy subjects.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products derived from any of our product candidates that are ultimately approved by the FDA or foreign regulatory authorities. Our clinical trials may produce negative or inconclusive results, and we may decide, or regulators may require us, to conduct additional clinical and/or non-clinical testing. For example, in October 2007, we announced that our Phase II clinical trial of MN-305 for the treatment of insomnia failed to achieve statistical significance in its primary endpoint; as a result, we terminated development of MN-305 for the treatment of insomnia. Of the large number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clinical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11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5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ongoing and planned clinical trials for our product candidates will be completed on time, or whether our additional planned and ongoing clinical trials for our product candidates will be completed on schedule, if at all.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clinical trial sites, the terms of which can be subject to extensive negotiation and may vary significantly among different CROs and trial sites;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retaining patients who have chosen to participate in a clinical trial but who may be prone to withdraw due to the treatment protocol, lack of efficacy, personal issues, or side effects from the therapy or who are lost to further follow-up;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IRB approval to conduct or amend a clinical trial at a prospective site.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13" w:lineRule="exact"/>
        <w:rPr>
          <w:sz w:val="20"/>
          <w:szCs w:val="20"/>
          <w:color w:val="auto"/>
        </w:rPr>
      </w:pPr>
    </w:p>
    <w:p>
      <w:pPr>
        <w:jc w:val="both"/>
        <w:ind w:left="900" w:right="80" w:hanging="446"/>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25"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59"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institutional review boards for reexamination, which may delay or otherwise impact the costs, timing or successful completion of a clinical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license the rights to develop and market our product candidates. Currently, we have licensed rights relating to eight compounds for the development of ten product candidates.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If any of our license agreements is terminated, we would have no further rights to develop and commercialize the product candidate that is the subject of the license. The termination of the license agreements related to either of our two prioritized product candidates would significantly and adversely affect our business. The termination of any of the remainder of our license agreements could materially and adversely affect our business.</w:t>
      </w:r>
    </w:p>
    <w:p>
      <w:pPr>
        <w:spacing w:after="0" w:line="188"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There can be no assurance that developments by others will not render our product candidates obsolete or noncompetitive. Many of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have consumed substantial amounts of capital since our inception. From our inception to March 31, 2009, we had an accumulated deficit of $232.0 million. Our cash and cash equivalents, net of the ARS Loan, investment securities and a long-term asset consisting of the ARS Put totaled approximately $44.6 million at March 31, 2009. We intend to manage our product development programs such that our existing cash, cash equivalents and investment securities as of March 31, 2009 will be sufficient to meet our operating requirements through at least March 31, 2010. We have based this estimate on assumptions that may prove to be wrong, and we could spend our available financial resources faster than we currently expect. Our future capital requirements will depend on, and could increase significantly as a result of, many factors including:</w:t>
      </w:r>
    </w:p>
    <w:p>
      <w:pPr>
        <w:spacing w:after="0" w:line="39"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progress in, and the costs of, our ongoing and planned clinical trials and other research and development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may not be successful in obtaining strategic collaboration agreements or in receiving milestone or royalty payments under such agreements.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 terminate, delay or reduce the scope of one or more of our product development programs; delay establishing sales and marketing capabilities or other activities to commercialize a product candidate; curtail our efforts to acquire new product candidates; or relinquish some or even all rights to our product candidates.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harm our business and may significantly dilute stockholders’ ownership interests.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If we raise additional funds through collaborations or licensing arrangements with third parties, we may need to relinquish some rights to our product candidates, including commercialization rights, which may harm our ability to generate revenues and achieve or sustain profitability. If we raise additional funds by issuing equity securities,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conditions in the global credit markets may impair further the liquidity of our investment portfolio.</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December 31, 2008, all of our remaining marketable securities available-for-sale, which consisted of auction rate securities, or ARS, were designated as trading securities and were classified to long-term due to the time frame in which we can readily convert these securities into cash. Our long-term asset consists of an ARS Put (as described below). At March 31, 2009, $20.9 million of our ARS consisted primarily of municipal bonds and government-guaranteed student loan securities and $2.2 million of our ARS consisted of private placement securities. None of the underlying collateral for our ARS consisted of subprime mortgages or collateralized debt obligations. ARS are generally long-term debt instruments that historically have provided liquidity through a “Dutch” auction process that resets the applicable interest rate at predetermined calendar intervals, typically seven, 28, 35 or 49 days.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Due to continued negative conditions in the global credit markets, our ARS have continued to fail at auction with few to no trades in either the primary or the secondary markets. As a result, we have been unable to liquidate our ARS that are not subject to the ARS Rights Offer, and we could be required to hold these securities until such time that they are redeemed by the issuer, successfully sold at auction, sold through a secondary market or ultimately mature. In addition, with the adoption of SFAS 157, we determined the fair value of our ARS portfolio primarily on Level 3 criteria, which resulted in our reliance on a discounted cash flow valuation model with assumptions related to interest rates, maturities and liquidity determined by us based on the credit quality of the security, the credit quality of the associated insurer, if applicable, the respective prospectus and the credit market outlook. With our long-term investments designated as trading securities, any additional increase or decrease in the fair value of our long-term investments is recorded as either a gain or an impairment charge, respectively, in our consolidated statement of operations. At March 31, 2009, we recorded a net impairment charge on our long-term investments of approximately $0.9 million to reduce the carrying value of our long-term investments.</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August 2008, UBS, the brokerage firm through which we purchased the majority of our ARS investments, entered into a settlement with the SEC, the New York Attorney General and other state agencies. Under the settlement, UBS issued to us the ARS Rights Offer. Pursuant to the ARS Rights Offer, we received the ARS Put. As part of the settlement, UBS also offered to us the ARS Loan, whereby we would be able to borrow up to 75 percent of the market value, as determined by UBS at its sole discretion, of our ARS that have been pledged as collateral at an interest cost that would not exceed the interest being paid on the underlying ARS investments.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w:t>
      </w:r>
    </w:p>
    <w:p>
      <w:pPr>
        <w:spacing w:after="0" w:line="14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UBS may demand full or partial payment of the ARS Loan, at its sole option and without cause, at any time. All ARS Loan advances are subject to collateral maintenance requirements. UBS may also, at any time, in its discretion, terminate and cancel the ARS Loan.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We cannot assure you that we will not default on our obligations under the credit line agreement, which could result in the acceleration of our repayment obligations, or that UBS will not call the amounts outstanding under the ARS Loan, either of which would negatively impact our financial condition and cash flow. In addition, we cannot assure you that UBS will consummate the ARS Rights Offer and repurchase our ARS subject to such offer at par value, or that we will be able to renew this facility at maturity on similar terms, or at all.</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complete business combination transactions could have an adverse affect on our results of operations and financial condition.</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December 2008, we made a proposal to Avigen and its shareholders regarding a proposed merger between us and Avigen. Under our proposal, we would offer as consideration a combination of our registered common stock and shares of a MediciNova convertible security for each share of Avigen common stock outstanding. We have not entered into, and we cannot assure you that we will enter into, a definitive transaction agreement with Avigen. If we do execute such an agreement, we cannot assure you we will be able to consummate the transaction due to the strong likelihood that the agreement will include conditions to closing, or that our results of operations, financial condition and outlook would improve as a result of the consummation of any merger transaction with Avigen. In addition, we cannot assure you that we will continue to pursue any acquisition activity in the future.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key aspect of our strategy is to seek collaborations with partners, such as large pharmaceutical companies, that are willing to conduct later-stage clinical trials and further develop and commercialize selected product candidates. Following completion of the Phase II clinical trial for MN-166 for the treatment of MS in the second quarter of 2008, we have not undertaken, nor do we plan to undertake, any further significant clinical development activities for any of our product candidates other than MN-221 for the treatment of acute exacerbations of asthma, other than those activities deemed necessary to maximize each product candidate’s value, until such time that we are successful in entering into a partnership or collaboration to further development of such product candidates. To date, we have not entered into any such collaborative arrangements, and we may not be able to enter into any collaborations on acceptable terms, if at all.</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59" w:lineRule="exact"/>
        <w:rPr>
          <w:sz w:val="20"/>
          <w:szCs w:val="20"/>
          <w:color w:val="auto"/>
        </w:rPr>
      </w:pPr>
    </w:p>
    <w:p>
      <w:pPr>
        <w:ind w:left="900" w:right="6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4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If we are not successful in attracting partners and entering into collaborations on acceptable terms for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our third-party manufacturers, service providers, suppliers and partners,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or result in the incurrence of additional costs. 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delay or failure in obtaining required approvals could substantially reduce or negate our ability to generate revenues from the particular product candidate.</w:t>
      </w:r>
    </w:p>
    <w:p>
      <w:pPr>
        <w:spacing w:after="0" w:line="19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heightened Congressional scrutiny on the adequacy of the FDA’s drug approval process and the agency’s efforts to assure the safety of marketed drugs has resulted in the enactment of new legislation addressing drug safety issues, the Food and Drug Administration Amendments Act of 2007. This legislation provides the FDA with expanded authority over drug products after approval and the FDA’s exercise of this authority could result in delays or increased costs during the period of product development, clinical trials and regulatory review and approval, and increased costs to assure compliance with new post-approval regulatory requirements. Furthermore, we cannot predict the likelihood, nature or extent of government regulation that may arise from this or future legislation or administrative action, either in the United States or abroad.</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2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We rely on third parties to assist us with our clinical trials and other important aspects of our product development programs,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rely extensively on CROs, medical institutions, clinical investigators, contract laboratories and other service providers to perform important functions related to the conduct of our clinical trials, the collection and analysis of data and the preparation of regulatory submissions. Although we design and manage our current clinical trials to ensure that each clinical trial is conducted in accordance with its investigational plan and protocol, we do not have the ability to conduct all aspects of our clinical trials directly for our product candidates. In the course of clinical development, we have contracted and will continue to contract with a number of these organizations, including: Accelsiors CRO and Consultancy Services of Budapest, Hungary; PRA International of Raleigh, North Carolina; Fulcrum Pharma Developments, Inc. of Durham, North Carolina; Paragon Biomedical, Inc. of Irvine, California; Quintiles, Inc. of Morrisville, North Carolina; PharmaNet, Inc. of Princeton, New Jersey; and Synteract, Inc. of Carlsbad, California.</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clinical investigators and other service providers that we employ in the conduct of our clinical trials are not our employees, and we cannot control the amount or timing of resources that they devote to our product development programs. If these third parties fail to devote sufficient care, time and resources to our product development programs, if their performance is substandard, or if they are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 not successfully carry out their contractual duties or obligations or meet expected deadlines, if the performance of any of these third parties is substandard,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20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receipt of regulatory approval and lost or delayed revenues.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date, we have entered into an agreement with Hospira Worldwide, Inc., or Hospira, for the development and supply of finished product of MN-221 for the treatment of acute exacerbations of asthma utilizing Hospira’s proprietary ADD-Vantage drug delivery system that we intend to use in clinical trials and the commercial market. In addition to Hospira’s proprietary drug delivery system, we anticipate entering into a commercial supply agreement for finished product of MN-221 in standard vials. However, other than Hospira, we do not have agreements established regarding commercial supply of finished product of MN-221 in standard vials or for the active pharmaceutical ingredient, or API, or finished product for any of our product candidates. In particular, pursuant to our license agreement with Kissei Pharmaceutical, Kissei Pharmaceutical has the exclusive right to manufacture the commercial supply of the API for MN-221. Therefore, we will need to successfully negotiate a commercial supply agreement with Kissei Pharmaceutical on commercially reasonable terms, or another third-party manufacturer in the event that we are unable to reach agreement with Kissei Pharmaceutical, in order to manufacture the API for MN-221 on a commercial scale if MN-221 is approved by the FDA or other regulatory authorities for commercial sale. We will also need to successfully negotiate a supply agreement with a third-party manufacturer on commercially reasonable terms in order to manufacture the finished product of MN-221 in standard vials. 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w:t>
      </w:r>
    </w:p>
    <w:p>
      <w:pPr>
        <w:spacing w:after="0" w:line="121"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44"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20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MN-221 or MN-166, our other product candidates or any other product candidates that we may in-license or acquire, if any, may include a restriction on the term of its use, or it may not include one or more of our intended indications.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59"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one of our product candidates is approved for commercial sale by the FDA or other regulatory authorities, the degree of market acceptance of any approved product by physicians, healthcare professionals and third-party payors and our profitability and growth will depend on a number of factors, including:</w:t>
      </w:r>
    </w:p>
    <w:p>
      <w:pPr>
        <w:spacing w:after="0" w:line="4"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payors, our ability to generate revenues from that product would be substantially reduced. In addition, our efforts to educate the medical community and third-party payors on the benefits of our product candidates may require significant resources and may never be successful.</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are obtained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Also, the trend towards managed health care in the United States and the concurrent growth of organizations such as HMOs, which could control or significantly influence the purchase of medical services and products, may result in inadequate coverage of and reimbursement for our products. Many third-party payors, including HMOs, are pursuing various ways to reduce pharmaceutical costs, including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of HMOs and other third-party payors. This increased competition has led to a downward pricing pressure in the industry. The cost containment measures that third-party payors are instituting could have a material adverse effect on our ability to operate profitably.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Because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of entering new markets or technologies and of receiving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studies or other tests on the product candidate.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not successful in identifying and licensing or acquiring other product candidates over the long term, we will not be able to grow our revenues with sales from new products beyond those revenues, if any, from any approved products derived from our existing product candidates, and we may fail to achieve or sustain profitability.</w:t>
      </w:r>
    </w:p>
    <w:p>
      <w:pPr>
        <w:spacing w:after="0" w:line="2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product development programs may be delayed and we may be unable to develop successfully or commercialize our product candidates.</w:t>
      </w:r>
    </w:p>
    <w:p>
      <w:pPr>
        <w:spacing w:after="0" w:line="5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clinical development personnel because of the highly technical nature of our product development programs.</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If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and regulatory personnel. We face competition for experienced 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development-stage biopharmaceutical company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2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and marketing capabilities, whether independently or with third parties, we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9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may need to change our business practices to comply with health care fraud and abuse regulations, and our failure to comply with such laws could adversely affect our business, financial condition and results of operations.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market one or more of our product candidates, our operations will be directly, or indirectly through our customers, subject to various state and federal fraud and abuse laws, including, without limitation, the federal Anti-Kickback Statute and False Claims Act. These laws may impact any proposed sales, marketing and education programs as well as other aspects of our operations.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federal Anti-Kickback Statute prohibits persons from 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the Medicare and Medicaid programs. Several courts have interpreted the statute’s intent requirement to mean that if any one purpose of an arrangement involving remuneration is to induce referrals of federal healthcare covered business, the statute has been violated. The Anti-Kickback Statute is broad and prohibits many arrangements and practices that are lawful in businesses outside of the healthcare industry. Recognizing that the Anti-Kickback Statute is broad and may technically prohibit many innocuous or beneficial arrangements, Congress authorized the U.S. Department of Health and Human Services, Office of Inspector General, or OIG, to issue a series of regulations, known as the “safe harbors in certain instances” to shield healthcare providers and other parties from prosecution under the Anti-Kickback Statute in certain instances. However, conduct and business arrangements that do not fully satisfy each applicable safe harbor may result in increased scrutiny by government enforcement authorities such as the OIG. Many states have also adopted laws similar to the federal Anti-Kickback Statute, some of which apply to the referral of patients for healthcare items or services reimbursed by any source, not only the Medicare and Medicaid programs.</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federal False Claims Act prohibits persons from knowingly filing or causing to be filed a false claim to, or the knowing use of false statements to obtain payment from, the federal government. Suits filed under the False Claims Act can be brought by any individual on behalf of the government and such individuals may share in any amounts paid by the entity to the government in fines or settlement. The frequency of filing of such actions has increased significantly in recent years, causing greater numbers of healthcare companies to have to defend a False Claims Act action. Various states have also enacted laws modeled after the federal False Claims Act.</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to the laws described above, the Health Insurance Portability and Accountability Act of 1996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and other applicable state and federal fraud and abuse laws, we may be subject to penalties, including civil and criminal penalties, damages, fines, exclusion from government healthcare programs, imprisonment and the curtailment or restructuring of our operations.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the House of Representatives passed a similar bill that does not require the Secretary of Health and Human Services to act in July 2003. The reimportation bills have not yet resulted in any new laws or regulations; however, these and other initiatives could decrease the price we or any potential collaborators receive for our product candidates if and when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1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2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May 11, 2009, we had 26 full-time employees and one intern. We will need to continue to expand our managerial, operational, financial and other resources in order to manage and fund our operations and clinical trials, continue our development activities and commercialize our product candidates. Our management, personnel, systems and facilities currently in place may not be adequate to support this future growth.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63"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and other third parties;</w:t>
      </w:r>
    </w:p>
    <w:p>
      <w:pPr>
        <w:spacing w:after="0" w:line="113" w:lineRule="exact"/>
        <w:rPr>
          <w:rFonts w:ascii="Arial" w:cs="Arial" w:eastAsia="Arial" w:hAnsi="Arial"/>
          <w:sz w:val="16"/>
          <w:szCs w:val="16"/>
          <w:color w:val="auto"/>
        </w:rPr>
      </w:pPr>
    </w:p>
    <w:p>
      <w:pPr>
        <w:ind w:left="900" w:right="2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ensure that our consultants, CROs and other service providers successfully carry out their contractual obligations, provide high quality results and meet expected deadlines;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71"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900" w:right="86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4" w:lineRule="exact"/>
        <w:rPr>
          <w:rFonts w:ascii="Arial" w:cs="Arial" w:eastAsia="Arial" w:hAnsi="Arial"/>
          <w:sz w:val="16"/>
          <w:szCs w:val="16"/>
          <w:color w:val="auto"/>
        </w:rPr>
      </w:pPr>
    </w:p>
    <w:p>
      <w:pPr>
        <w:ind w:left="900" w:right="8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213"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may use our cash resources for corporate purposes that do not yield a significant return or any return at all for our stockholders, which may cause our stock price to decline.</w:t>
      </w:r>
    </w:p>
    <w:p>
      <w:pPr>
        <w:spacing w:after="0" w:line="2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the Osaka Securities Exchange, or OSE,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result in imposition of reduced policy limits and coverage.</w:t>
      </w:r>
    </w:p>
    <w:p>
      <w:pPr>
        <w:spacing w:after="0" w:line="12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Sarbanes-Oxley Act of 2002 requires that we maintain effective internal controls for financial reporting and disclosure controls and procedures. As a result, we are required to perform an evaluation of our internal control over financial reporting to allow management to report on the effectiveness of those controls, as required by Section 404 of the Sarbanes-Oxley Act. Our efforts to comply with Section 404 and related regulations have required, and continue to require, the commitment of significant financial and managerial resources. While we anticipate maintaining the integrity of our internal control over financial reporting and all other aspects of Section 404 applicable to us, we cannot be certain that a material weakness will not be identified when we test the effectiveness of our control systems in the future. If a material weakness is identified, we could be subject to sanctions or investigations by Nasdaq, the SEC, the OSE or other regulatory authorities, which would require additional financial and management resources, costly litigation or a loss of public confidence in our internal controls, which could have an adverse effect on the market price of our stock. In addition, as a smaller reporting company, our report regarding internal control over financial reporting for the year ended December 31, 2008 was not subject to attestation by our registered public accounting firm pursuant to temporary SEC rules.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 and MN-001 product candidates. As a result, competitors that obtain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requisite regulatory approval will be able to offer products with the same API as found in our MN-166 and MN-001 product candidates so long as such competitors do not infringe any methods of use, methods of manufacture, formulation or, in the case of MN-001, specific polymorph patents that we hold or have exclusive rights to through our licensors. For example, we currently rely on a method of use patent for MN-166, which covers the use of the API found in our MN-166 product candidate for the treatment of MS. We are aware that Avigen has conducted preclinical studies and clinical trials for a product which contains the same API as that found in our MN-166 product candidate to target the treatment of neuropathic pain.</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a licensor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For example, certain annuities were not paid in a timely manner with respect to foreign patents licensed under MN-002 (the active metabolite of MN-001). In addition, our licensors may have selected a limited amount of foreign patent protection, and therefore applications have not been filed in, and foreign patents may not have been perfected in, all commercially significant countries.</w:t>
      </w:r>
    </w:p>
    <w:p>
      <w:pPr>
        <w:spacing w:after="0" w:line="1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4"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2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0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39" w:lineRule="exact"/>
        <w:rPr>
          <w:sz w:val="20"/>
          <w:szCs w:val="20"/>
          <w:color w:val="auto"/>
        </w:rPr>
      </w:pPr>
    </w:p>
    <w:p>
      <w:pPr>
        <w:ind w:left="900" w:right="6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 case against us is determined by a judge to be exceptional;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Despite the listing of our common stock on the Nasdaq Global Market and the Hercules Market of the Osaka Securities Exchange in Japan, trading volume in our securities has been light and an active trading market may not develop for our common stock. In March 2009, our average trading volume was approximately 3,500 shares per day on the Nasdaq and 26,200 shares per day on the Hercules Market of the Osaka Stock Exchange.</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through March 31, 2009, our common stock has traded as high as approximately $42.00 and as low as approximately $1.50. The following factors, in addition to other risk factors described in this section, may have a significant impact on the market price of our common stock:</w:t>
      </w:r>
    </w:p>
    <w:p>
      <w:pPr>
        <w:spacing w:after="0" w:line="32" w:lineRule="exact"/>
        <w:rPr>
          <w:sz w:val="20"/>
          <w:szCs w:val="20"/>
          <w:color w:val="auto"/>
        </w:rPr>
      </w:pPr>
    </w:p>
    <w:p>
      <w:pPr>
        <w:ind w:left="900" w:right="42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 and particularly our prioritized product candidates;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98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potential delisting of our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September 19, 2005, we filed a Registration Statement on Form S-1 to register 6,733,536 shares of common stock for resale from time to time, which registration statement was subsequently declared effective by the SEC. The registered shares were beneficially owned by 47 holders. On November 23, 2005, we filed a Registration Statement on Form S-1 to register 1,335,657 shares of common stock issuable upon the exercise of warrants held by three parties, of which warrants held by our two founders that relate to 1,285,657 shares were exercisable at $1.00 per share and a warrant held by a separate investor that relates to 50,000 shares was exercisable at $10.00 per share. At March 31, 2009, one warrant for 50,000 shares held by a separate investor was outstanding. All of the warrants held by our founders have been exercised, and the warrant held by a separate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45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investor expires in May 2009. All of such shares, other than shares held by our affiliates, may also be sold from time to time in exempt transactions pursuant to Rule 144 promulgated by the SEC. If the holders of such shares, to the extent such shares have not been sold already, were to attempt immediately to sell their shares, there would be significant downward pressure on our stock price and it may be difficult, or even impossible, to find a buyer for shares of our common stock.</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Securities Exchange Act of 1934, as amended,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stockholder rights plan and 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62" w:lineRule="exact"/>
        <w:rPr>
          <w:sz w:val="20"/>
          <w:szCs w:val="20"/>
          <w:color w:val="auto"/>
        </w:rPr>
      </w:pPr>
    </w:p>
    <w:p>
      <w:pPr>
        <w:ind w:left="900" w:right="1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9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23" w:lineRule="exact"/>
        <w:rPr>
          <w:rFonts w:ascii="Arial" w:cs="Arial" w:eastAsia="Arial" w:hAnsi="Arial"/>
          <w:sz w:val="18"/>
          <w:szCs w:val="18"/>
          <w:color w:val="auto"/>
        </w:rPr>
      </w:pPr>
    </w:p>
    <w:p>
      <w:pPr>
        <w:ind w:left="900" w:right="300" w:hanging="446"/>
        <w:spacing w:after="0" w:line="275"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percent stockholder approval; and</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Effective November 24, 2006, our board of directors adopted our stockholder rights plan. On March 30, 2007, our stockholders ratified the plan at our annual meeting of stockholders. Under the plan, we declared a dividend distribution of one “Right” for each outstanding share of our common stock to stockholders of record at the close of business on December 11, 2006. Since that time, we have issued one Right with each newly issued share of common stock. Each Right, when exercisable, entitles the holder to purchase from us one one-thousandth (1/1,000) of a share of our Series A Preferred Stock at a purchase price of $77.00, subject to adjustment. In general, under the plan, if a person or affiliated group acquires beneficial ownership of 20 percent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percent or more of our assets or earning power, each Right (other than those held by the acquiring person or affiliated group) will entitle the holder to receive, upon exercise, shares of common stock of the acquiring entity having a value of twice the underlying purchase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expire on November 23, 2016.</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percent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9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20" w:type="dxa"/>
            <w:vAlign w:val="bottom"/>
            <w:gridSpan w:val="3"/>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0" w:type="dxa"/>
            <w:vAlign w:val="bottom"/>
          </w:tcPr>
          <w:p>
            <w:pPr>
              <w:spacing w:after="0"/>
              <w:rPr>
                <w:sz w:val="24"/>
                <w:szCs w:val="2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400" w:type="dxa"/>
            <w:vAlign w:val="bottom"/>
          </w:tcPr>
          <w:p>
            <w:pPr>
              <w:spacing w:after="0"/>
              <w:rPr>
                <w:sz w:val="14"/>
                <w:szCs w:val="14"/>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w w:val="84"/>
              </w:rPr>
              <w:t>10.1(1)</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2"/>
          </w:tcPr>
          <w:p>
            <w:pPr>
              <w:spacing w:after="0" w:line="201" w:lineRule="exact"/>
              <w:rPr>
                <w:sz w:val="20"/>
                <w:szCs w:val="20"/>
                <w:color w:val="auto"/>
              </w:rPr>
            </w:pPr>
            <w:r>
              <w:rPr>
                <w:rFonts w:ascii="Arial" w:cs="Arial" w:eastAsia="Arial" w:hAnsi="Arial"/>
                <w:sz w:val="18"/>
                <w:szCs w:val="18"/>
                <w:color w:val="auto"/>
                <w:w w:val="91"/>
              </w:rPr>
              <w:t>Credit Line Account Application and Agreement for Organizations and Businesses, executed by the Registrant on January 8, 2009, by and</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20" w:type="dxa"/>
            <w:vAlign w:val="bottom"/>
            <w:gridSpan w:val="3"/>
          </w:tcPr>
          <w:p>
            <w:pPr>
              <w:ind w:left="420"/>
              <w:spacing w:after="0"/>
              <w:rPr>
                <w:sz w:val="20"/>
                <w:szCs w:val="20"/>
                <w:color w:val="auto"/>
              </w:rPr>
            </w:pPr>
            <w:r>
              <w:rPr>
                <w:rFonts w:ascii="Arial" w:cs="Arial" w:eastAsia="Arial" w:hAnsi="Arial"/>
                <w:sz w:val="18"/>
                <w:szCs w:val="18"/>
                <w:color w:val="auto"/>
              </w:rPr>
              <w:t>between the Registrant and UBS Bank USA.</w:t>
            </w: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10.2(1)</w:t>
            </w:r>
          </w:p>
        </w:tc>
        <w:tc>
          <w:tcPr>
            <w:tcW w:w="10520" w:type="dxa"/>
            <w:vAlign w:val="bottom"/>
            <w:gridSpan w:val="3"/>
          </w:tcPr>
          <w:p>
            <w:pPr>
              <w:ind w:left="420"/>
              <w:spacing w:after="0"/>
              <w:rPr>
                <w:sz w:val="20"/>
                <w:szCs w:val="20"/>
                <w:color w:val="auto"/>
              </w:rPr>
            </w:pPr>
            <w:r>
              <w:rPr>
                <w:rFonts w:ascii="Arial" w:cs="Arial" w:eastAsia="Arial" w:hAnsi="Arial"/>
                <w:sz w:val="18"/>
                <w:szCs w:val="18"/>
                <w:color w:val="auto"/>
                <w:w w:val="88"/>
              </w:rPr>
              <w:t>Addendum to Credit Line Account Application and Agreement, executed by the Registrant on January 8, 2009, by and between the Registrant,</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20" w:type="dxa"/>
            <w:vAlign w:val="bottom"/>
            <w:gridSpan w:val="3"/>
          </w:tcPr>
          <w:p>
            <w:pPr>
              <w:ind w:left="420"/>
              <w:spacing w:after="0"/>
              <w:rPr>
                <w:sz w:val="20"/>
                <w:szCs w:val="20"/>
                <w:color w:val="auto"/>
              </w:rPr>
            </w:pPr>
            <w:r>
              <w:rPr>
                <w:rFonts w:ascii="Arial" w:cs="Arial" w:eastAsia="Arial" w:hAnsi="Arial"/>
                <w:sz w:val="18"/>
                <w:szCs w:val="18"/>
                <w:color w:val="auto"/>
              </w:rPr>
              <w:t>UBS Bank USA and UBS Financial Services Inc.</w:t>
            </w: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10.3(1)</w:t>
            </w:r>
          </w:p>
        </w:tc>
        <w:tc>
          <w:tcPr>
            <w:tcW w:w="10520" w:type="dxa"/>
            <w:vAlign w:val="bottom"/>
            <w:gridSpan w:val="3"/>
          </w:tcPr>
          <w:p>
            <w:pPr>
              <w:ind w:left="420"/>
              <w:spacing w:after="0"/>
              <w:rPr>
                <w:sz w:val="20"/>
                <w:szCs w:val="20"/>
                <w:color w:val="auto"/>
              </w:rPr>
            </w:pPr>
            <w:r>
              <w:rPr>
                <w:rFonts w:ascii="Arial" w:cs="Arial" w:eastAsia="Arial" w:hAnsi="Arial"/>
                <w:sz w:val="18"/>
                <w:szCs w:val="18"/>
                <w:color w:val="auto"/>
                <w:w w:val="91"/>
              </w:rPr>
              <w:t>Addendum to Credit Line Agreement, executed by the Registrant on January 8, 2009, by and between the Registrant and UBS Bank USA.</w:t>
            </w: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10.4(1)</w:t>
            </w:r>
          </w:p>
        </w:tc>
        <w:tc>
          <w:tcPr>
            <w:tcW w:w="10520" w:type="dxa"/>
            <w:vAlign w:val="bottom"/>
            <w:gridSpan w:val="3"/>
          </w:tcPr>
          <w:p>
            <w:pPr>
              <w:ind w:left="420"/>
              <w:spacing w:after="0"/>
              <w:rPr>
                <w:sz w:val="20"/>
                <w:szCs w:val="20"/>
                <w:color w:val="auto"/>
              </w:rPr>
            </w:pPr>
            <w:r>
              <w:rPr>
                <w:rFonts w:ascii="Arial" w:cs="Arial" w:eastAsia="Arial" w:hAnsi="Arial"/>
                <w:sz w:val="18"/>
                <w:szCs w:val="18"/>
                <w:color w:val="auto"/>
                <w:w w:val="87"/>
              </w:rPr>
              <w:t>Important Notice on Interest Rates and Payments, executed by the Registrant on January 8, 2009, by and between the Registrant and UBS Bank</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20" w:type="dxa"/>
            <w:vAlign w:val="bottom"/>
            <w:gridSpan w:val="3"/>
          </w:tcPr>
          <w:p>
            <w:pPr>
              <w:ind w:left="420"/>
              <w:spacing w:after="0"/>
              <w:rPr>
                <w:sz w:val="20"/>
                <w:szCs w:val="20"/>
                <w:color w:val="auto"/>
              </w:rPr>
            </w:pPr>
            <w:r>
              <w:rPr>
                <w:rFonts w:ascii="Arial" w:cs="Arial" w:eastAsia="Arial" w:hAnsi="Arial"/>
                <w:sz w:val="18"/>
                <w:szCs w:val="18"/>
                <w:color w:val="auto"/>
              </w:rPr>
              <w:t>USA.</w:t>
            </w: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10.5(2)*</w:t>
            </w:r>
          </w:p>
        </w:tc>
        <w:tc>
          <w:tcPr>
            <w:tcW w:w="10520" w:type="dxa"/>
            <w:vAlign w:val="bottom"/>
            <w:gridSpan w:val="3"/>
          </w:tcPr>
          <w:p>
            <w:pPr>
              <w:ind w:left="420"/>
              <w:spacing w:after="0"/>
              <w:rPr>
                <w:sz w:val="20"/>
                <w:szCs w:val="20"/>
                <w:color w:val="auto"/>
              </w:rPr>
            </w:pPr>
            <w:r>
              <w:rPr>
                <w:rFonts w:ascii="Arial" w:cs="Arial" w:eastAsia="Arial" w:hAnsi="Arial"/>
                <w:sz w:val="18"/>
                <w:szCs w:val="18"/>
                <w:color w:val="auto"/>
              </w:rPr>
              <w:t>Development and Supply Agreement between MediciNova, Inc. and Hospira Worldwide, Inc. dated March 26, 2009.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520" w:type="dxa"/>
            <w:vAlign w:val="bottom"/>
            <w:gridSpan w:val="3"/>
          </w:tcPr>
          <w:p>
            <w:pPr>
              <w:ind w:left="420"/>
              <w:spacing w:after="0"/>
              <w:rPr>
                <w:sz w:val="20"/>
                <w:szCs w:val="20"/>
                <w:color w:val="auto"/>
              </w:rPr>
            </w:pPr>
            <w:r>
              <w:rPr>
                <w:rFonts w:ascii="Arial" w:cs="Arial" w:eastAsia="Arial" w:hAnsi="Arial"/>
                <w:sz w:val="18"/>
                <w:szCs w:val="18"/>
                <w:color w:val="auto"/>
                <w:w w:val="90"/>
              </w:rPr>
              <w:t>Certification of the Chief Executive Officer pursuant to Section 302 of the Sarbanes-Oxley Act of 2002 for the period ended March 31, 2009.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520" w:type="dxa"/>
            <w:vAlign w:val="bottom"/>
            <w:gridSpan w:val="3"/>
          </w:tcPr>
          <w:p>
            <w:pPr>
              <w:ind w:left="420"/>
              <w:spacing w:after="0"/>
              <w:rPr>
                <w:sz w:val="20"/>
                <w:szCs w:val="20"/>
                <w:color w:val="auto"/>
              </w:rPr>
            </w:pPr>
            <w:r>
              <w:rPr>
                <w:rFonts w:ascii="Arial" w:cs="Arial" w:eastAsia="Arial" w:hAnsi="Arial"/>
                <w:sz w:val="18"/>
                <w:szCs w:val="18"/>
                <w:color w:val="auto"/>
                <w:w w:val="91"/>
              </w:rPr>
              <w:t>Certification of the Chief Financial Officer pursuant to Section 302 of the Sarbanes-Oxley Act of 2002 for the period ended March 31, 2009.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520" w:type="dxa"/>
            <w:vAlign w:val="bottom"/>
            <w:gridSpan w:val="3"/>
          </w:tcPr>
          <w:p>
            <w:pPr>
              <w:ind w:left="420"/>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520" w:type="dxa"/>
            <w:vAlign w:val="bottom"/>
            <w:gridSpan w:val="3"/>
          </w:tcPr>
          <w:p>
            <w:pPr>
              <w:ind w:left="420"/>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January 21, 2009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30, 2009 and incorporated herein by reference.</w:t>
      </w:r>
    </w:p>
    <w:p>
      <w:pPr>
        <w:spacing w:after="0" w:line="9" w:lineRule="exact"/>
        <w:rPr>
          <w:sz w:val="20"/>
          <w:szCs w:val="20"/>
          <w:color w:val="auto"/>
        </w:rPr>
      </w:pPr>
    </w:p>
    <w:p>
      <w:pPr>
        <w:ind w:left="460" w:right="600" w:hanging="452"/>
        <w:spacing w:after="0" w:line="261"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Confidential Treatment Request submitted to the SEC. Omitted information has been filed separately with the SEC.</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MEDICINOVA, INC.</w:t>
      </w:r>
    </w:p>
    <w:p>
      <w:pPr>
        <w:spacing w:after="0" w:line="123" w:lineRule="exact"/>
        <w:rPr>
          <w:sz w:val="20"/>
          <w:szCs w:val="20"/>
          <w:color w:val="auto"/>
        </w:rPr>
      </w:pPr>
    </w:p>
    <w:p>
      <w:pPr>
        <w:spacing w:after="0"/>
        <w:tabs>
          <w:tab w:leader="none" w:pos="6140" w:val="left"/>
          <w:tab w:leader="none" w:pos="8120" w:val="left"/>
          <w:tab w:leader="none" w:pos="8460" w:val="left"/>
        </w:tabs>
        <w:rPr>
          <w:sz w:val="20"/>
          <w:szCs w:val="20"/>
          <w:color w:val="auto"/>
        </w:rPr>
      </w:pPr>
      <w:r>
        <w:rPr>
          <w:rFonts w:ascii="Arial" w:cs="Arial" w:eastAsia="Arial" w:hAnsi="Arial"/>
          <w:sz w:val="18"/>
          <w:szCs w:val="18"/>
          <w:color w:val="auto"/>
        </w:rPr>
        <w:t>Date: May 15,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Yuichi Iwaki, M.D., Ph.D.</w:t>
      </w:r>
    </w:p>
    <w:p>
      <w:pPr>
        <w:jc w:val="center"/>
        <w:ind w:left="652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52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52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100" w:lineRule="exact"/>
        <w:rPr>
          <w:sz w:val="20"/>
          <w:szCs w:val="20"/>
          <w:color w:val="auto"/>
        </w:rPr>
      </w:pPr>
    </w:p>
    <w:p>
      <w:pPr>
        <w:ind w:left="6160"/>
        <w:spacing w:after="0"/>
        <w:tabs>
          <w:tab w:leader="none" w:pos="7980" w:val="left"/>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Shintaro Asako</w:t>
      </w:r>
    </w:p>
    <w:p>
      <w:pPr>
        <w:jc w:val="center"/>
        <w:ind w:left="652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652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52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80"/>
          </w:cols>
          <w:pgMar w:left="240" w:top="459" w:right="8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0" w:type="dxa"/>
            <w:vAlign w:val="bottom"/>
          </w:tcPr>
          <w:p>
            <w:pPr>
              <w:ind w:left="288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0" w:type="dxa"/>
            <w:vAlign w:val="bottom"/>
          </w:tcPr>
          <w:p>
            <w:pPr>
              <w:spacing w:after="0"/>
              <w:rPr>
                <w:sz w:val="24"/>
                <w:szCs w:val="2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400" w:type="dxa"/>
            <w:vAlign w:val="bottom"/>
          </w:tcPr>
          <w:p>
            <w:pPr>
              <w:spacing w:after="0"/>
              <w:rPr>
                <w:sz w:val="14"/>
                <w:szCs w:val="14"/>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w w:val="84"/>
              </w:rPr>
              <w:t>10.1(1)</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00" w:type="dxa"/>
            <w:vAlign w:val="bottom"/>
            <w:gridSpan w:val="2"/>
          </w:tcPr>
          <w:p>
            <w:pPr>
              <w:spacing w:after="0" w:line="201" w:lineRule="exact"/>
              <w:rPr>
                <w:sz w:val="20"/>
                <w:szCs w:val="20"/>
                <w:color w:val="auto"/>
              </w:rPr>
            </w:pPr>
            <w:r>
              <w:rPr>
                <w:rFonts w:ascii="Arial" w:cs="Arial" w:eastAsia="Arial" w:hAnsi="Arial"/>
                <w:sz w:val="18"/>
                <w:szCs w:val="18"/>
                <w:color w:val="auto"/>
                <w:w w:val="91"/>
              </w:rPr>
              <w:t>Credit Line Account Application and Agreement for Organizations and Businesses, executed by the Registrant on January 8, 2009, by and</w:t>
            </w: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between the Registrant and UBS Bank USA.</w:t>
            </w: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10.2(1)</w:t>
            </w: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88"/>
              </w:rPr>
              <w:t>Addendum to Credit Line Account Application and Agreement, executed by the Registrant on January 8, 2009, by and between the Registrant,</w:t>
            </w: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UBS Bank USA and UBS Financial Services Inc.</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10.3(1)</w:t>
            </w: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1"/>
              </w:rPr>
              <w:t>Addendum to Credit Line Agreement, executed by the Registrant on January 8, 2009, by and between the Registrant and UBS Bank USA.</w:t>
            </w: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10.4(1)</w:t>
            </w: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87"/>
              </w:rPr>
              <w:t>Important Notice on Interest Rates and Payments, executed by the Registrant on January 8, 2009, by and between the Registrant and UBS Bank</w:t>
            </w: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USA.</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10.5(2)*</w:t>
            </w: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Development and Supply Agreement between MediciNova, Inc. and Hospira Worldwide, Inc. dated March 26, 2009.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0"/>
              </w:rPr>
              <w:t>Certification of the Chief Executive Officer pursuant to Section 302 of the Sarbanes-Oxley Act of 2002 for the period ended March 31, 2009.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1"/>
              </w:rPr>
              <w:t>Certification of the Chief Financial Officer pursuant to Section 302 of the Sarbanes-Oxley Act of 2002 for the period ended March 31, 2009.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January 21, 2009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30, 2009 and incorporated herein by reference.</w:t>
      </w:r>
    </w:p>
    <w:p>
      <w:pPr>
        <w:spacing w:after="0" w:line="9" w:lineRule="exact"/>
        <w:rPr>
          <w:sz w:val="20"/>
          <w:szCs w:val="20"/>
          <w:color w:val="auto"/>
        </w:rPr>
      </w:pPr>
    </w:p>
    <w:p>
      <w:pPr>
        <w:ind w:left="460" w:right="600" w:hanging="452"/>
        <w:spacing w:after="0" w:line="261"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Confidential Treatment Request submitted to the SEC. Omitted information has been filed separately with the SEC.</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2009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15, 2009</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certify that:</w:t>
      </w:r>
    </w:p>
    <w:p>
      <w:pPr>
        <w:spacing w:after="0" w:line="90" w:lineRule="exact"/>
        <w:rPr>
          <w:sz w:val="20"/>
          <w:szCs w:val="20"/>
          <w:color w:val="auto"/>
        </w:rPr>
      </w:pPr>
    </w:p>
    <w:p>
      <w:pPr>
        <w:ind w:left="640" w:hanging="17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2009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15, 2009</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Shintaro Asako</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2009,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15, 2009</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2009, as filed with the Securities and Exchange Commission on the date hereof (the “Report”), I, Shintaro Asako, as Vice President and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15, 2009</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Shintaro Asako</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7"/>
    </w:lvl>
  </w:abstractNum>
  <w:abstractNum w:abstractNumId="6">
    <w:nsid w:val="2D1D5AE9"/>
    <w:multiLevelType w:val="hybridMultilevel"/>
    <w:lvl w:ilvl="0">
      <w:lvlJc w:val="left"/>
      <w:lvlText w:val="%1."/>
      <w:numFmt w:val="decimal"/>
      <w:start w:val="8"/>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2019-12-10T22:41:33Z</dcterms:created>
  <dcterms:modified xsi:type="dcterms:W3CDTF">2019-12-10T22:41:33Z</dcterms:modified>
</cp:coreProperties>
</file>