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4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49" w:lineRule="exact"/>
        <w:rPr>
          <w:sz w:val="24"/>
          <w:szCs w:val="24"/>
          <w:color w:val="auto"/>
        </w:rPr>
      </w:pPr>
    </w:p>
    <w:p>
      <w:pPr>
        <w:ind w:left="520" w:right="32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60"/>
          </w:cols>
          <w:pgMar w:left="240" w:top="463" w:right="299" w:bottom="1440" w:gutter="0" w:footer="0" w:header="0"/>
        </w:sectPr>
      </w:pPr>
    </w:p>
    <w:p>
      <w:pPr>
        <w:spacing w:after="0" w:line="10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58" w:lineRule="exact"/>
        <w:rPr>
          <w:sz w:val="24"/>
          <w:szCs w:val="24"/>
          <w:color w:val="auto"/>
        </w:rPr>
      </w:pPr>
    </w:p>
    <w:p>
      <w:pPr>
        <w:sectPr>
          <w:pgSz w:w="11900" w:h="16838" w:orient="portrait"/>
          <w:cols w:equalWidth="0" w:num="2">
            <w:col w:w="6560" w:space="720"/>
            <w:col w:w="4080"/>
          </w:cols>
          <w:pgMar w:left="240" w:top="463" w:right="29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135255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360"/>
          </w:cols>
          <w:pgMar w:left="240" w:top="463" w:right="299" w:bottom="1440" w:gutter="0" w:footer="0" w:header="0"/>
          <w:type w:val="continuous"/>
        </w:sectPr>
      </w:pPr>
    </w:p>
    <w:p>
      <w:pPr>
        <w:spacing w:after="0" w:line="327"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MEDICINOVA,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6300" w:type="dxa"/>
            <w:vAlign w:val="bottom"/>
          </w:tcPr>
          <w:p>
            <w:pPr>
              <w:jc w:val="center"/>
              <w:ind w:right="3679"/>
              <w:spacing w:after="0"/>
              <w:rPr>
                <w:sz w:val="20"/>
                <w:szCs w:val="20"/>
                <w:color w:val="auto"/>
              </w:rPr>
            </w:pPr>
            <w:r>
              <w:rPr>
                <w:rFonts w:ascii="Arial" w:cs="Arial" w:eastAsia="Arial" w:hAnsi="Arial"/>
                <w:sz w:val="18"/>
                <w:szCs w:val="18"/>
                <w:b w:val="1"/>
                <w:bCs w:val="1"/>
                <w:color w:val="auto"/>
                <w:w w:val="93"/>
              </w:rPr>
              <w:t>Delaware</w:t>
            </w:r>
          </w:p>
        </w:tc>
        <w:tc>
          <w:tcPr>
            <w:tcW w:w="1340" w:type="dxa"/>
            <w:vAlign w:val="bottom"/>
          </w:tcPr>
          <w:p>
            <w:pPr>
              <w:jc w:val="right"/>
              <w:ind w:right="41"/>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300" w:type="dxa"/>
            <w:vAlign w:val="bottom"/>
          </w:tcPr>
          <w:p>
            <w:pPr>
              <w:jc w:val="center"/>
              <w:ind w:right="36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300" w:type="dxa"/>
            <w:vAlign w:val="bottom"/>
          </w:tcPr>
          <w:p>
            <w:pPr>
              <w:jc w:val="center"/>
              <w:ind w:right="3679"/>
              <w:spacing w:after="0"/>
              <w:rPr>
                <w:sz w:val="20"/>
                <w:szCs w:val="20"/>
                <w:color w:val="auto"/>
              </w:rPr>
            </w:pPr>
            <w:r>
              <w:rPr>
                <w:rFonts w:ascii="Arial" w:cs="Arial" w:eastAsia="Arial" w:hAnsi="Arial"/>
                <w:sz w:val="14"/>
                <w:szCs w:val="14"/>
                <w:b w:val="1"/>
                <w:bCs w:val="1"/>
                <w:color w:val="auto"/>
                <w:w w:val="95"/>
              </w:rPr>
              <w:t>Incorporation or Organization)</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4"/>
              </w:rPr>
              <w:t>Identification No.)</w:t>
            </w:r>
          </w:p>
        </w:tc>
      </w:tr>
      <w:tr>
        <w:trPr>
          <w:trHeight w:val="331"/>
        </w:trPr>
        <w:tc>
          <w:tcPr>
            <w:tcW w:w="6300" w:type="dxa"/>
            <w:vAlign w:val="bottom"/>
          </w:tcPr>
          <w:p>
            <w:pPr>
              <w:jc w:val="center"/>
              <w:ind w:right="3679"/>
              <w:spacing w:after="0"/>
              <w:rPr>
                <w:sz w:val="20"/>
                <w:szCs w:val="20"/>
                <w:color w:val="auto"/>
              </w:rPr>
            </w:pPr>
            <w:r>
              <w:rPr>
                <w:rFonts w:ascii="Arial" w:cs="Arial" w:eastAsia="Arial" w:hAnsi="Arial"/>
                <w:sz w:val="18"/>
                <w:szCs w:val="18"/>
                <w:b w:val="1"/>
                <w:bCs w:val="1"/>
                <w:color w:val="auto"/>
                <w:w w:val="89"/>
              </w:rPr>
              <w:t>4275 Executive Square, Suite 300</w:t>
            </w:r>
          </w:p>
        </w:tc>
        <w:tc>
          <w:tcPr>
            <w:tcW w:w="1340" w:type="dxa"/>
            <w:vAlign w:val="bottom"/>
          </w:tcPr>
          <w:p>
            <w:pPr>
              <w:spacing w:after="0"/>
              <w:rPr>
                <w:sz w:val="24"/>
                <w:szCs w:val="24"/>
                <w:color w:val="auto"/>
              </w:rPr>
            </w:pPr>
          </w:p>
        </w:tc>
      </w:tr>
      <w:tr>
        <w:trPr>
          <w:trHeight w:val="212"/>
        </w:trPr>
        <w:tc>
          <w:tcPr>
            <w:tcW w:w="6300" w:type="dxa"/>
            <w:vAlign w:val="bottom"/>
          </w:tcPr>
          <w:p>
            <w:pPr>
              <w:jc w:val="center"/>
              <w:ind w:right="3679"/>
              <w:spacing w:after="0"/>
              <w:rPr>
                <w:sz w:val="20"/>
                <w:szCs w:val="20"/>
                <w:color w:val="auto"/>
              </w:rPr>
            </w:pPr>
            <w:r>
              <w:rPr>
                <w:rFonts w:ascii="Arial" w:cs="Arial" w:eastAsia="Arial" w:hAnsi="Arial"/>
                <w:sz w:val="18"/>
                <w:szCs w:val="18"/>
                <w:b w:val="1"/>
                <w:bCs w:val="1"/>
                <w:color w:val="auto"/>
                <w:w w:val="95"/>
              </w:rPr>
              <w:t>La Jolla, CA</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92037</w:t>
            </w:r>
          </w:p>
        </w:tc>
      </w:tr>
      <w:tr>
        <w:trPr>
          <w:trHeight w:val="186"/>
        </w:trPr>
        <w:tc>
          <w:tcPr>
            <w:tcW w:w="6300" w:type="dxa"/>
            <w:vAlign w:val="bottom"/>
          </w:tcPr>
          <w:p>
            <w:pPr>
              <w:jc w:val="center"/>
              <w:ind w:right="36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34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(Zip Code)</w:t>
            </w:r>
          </w:p>
        </w:tc>
      </w:tr>
      <w:tr>
        <w:trPr>
          <w:trHeight w:val="376"/>
        </w:trPr>
        <w:tc>
          <w:tcPr>
            <w:tcW w:w="6300" w:type="dxa"/>
            <w:vAlign w:val="bottom"/>
          </w:tcPr>
          <w:p>
            <w:pPr>
              <w:jc w:val="right"/>
              <w:ind w:right="1539"/>
              <w:spacing w:after="0"/>
              <w:rPr>
                <w:sz w:val="20"/>
                <w:szCs w:val="20"/>
                <w:color w:val="auto"/>
              </w:rPr>
            </w:pPr>
            <w:r>
              <w:rPr>
                <w:rFonts w:ascii="Arial" w:cs="Arial" w:eastAsia="Arial" w:hAnsi="Arial"/>
                <w:sz w:val="16"/>
                <w:szCs w:val="16"/>
                <w:b w:val="1"/>
                <w:bCs w:val="1"/>
                <w:color w:val="auto"/>
              </w:rPr>
              <w:t>(858) 373-1500</w:t>
            </w:r>
          </w:p>
        </w:tc>
        <w:tc>
          <w:tcPr>
            <w:tcW w:w="1340" w:type="dxa"/>
            <w:vAlign w:val="bottom"/>
          </w:tcPr>
          <w:p>
            <w:pPr>
              <w:spacing w:after="0"/>
              <w:rPr>
                <w:sz w:val="24"/>
                <w:szCs w:val="24"/>
                <w:color w:val="auto"/>
              </w:rPr>
            </w:pPr>
          </w:p>
        </w:tc>
      </w:tr>
      <w:tr>
        <w:trPr>
          <w:trHeight w:val="210"/>
        </w:trPr>
        <w:tc>
          <w:tcPr>
            <w:tcW w:w="6300" w:type="dxa"/>
            <w:vAlign w:val="bottom"/>
          </w:tcPr>
          <w:p>
            <w:pPr>
              <w:jc w:val="center"/>
              <w:ind w:left="1959"/>
              <w:spacing w:after="0"/>
              <w:rPr>
                <w:sz w:val="20"/>
                <w:szCs w:val="20"/>
                <w:color w:val="auto"/>
              </w:rPr>
            </w:pPr>
            <w:r>
              <w:rPr>
                <w:rFonts w:ascii="Arial" w:cs="Arial" w:eastAsia="Arial" w:hAnsi="Arial"/>
                <w:sz w:val="16"/>
                <w:szCs w:val="16"/>
                <w:b w:val="1"/>
                <w:bCs w:val="1"/>
                <w:color w:val="auto"/>
                <w:w w:val="91"/>
              </w:rPr>
              <w:t>(Registrant’s Telephone Number, Including Area Code)</w:t>
            </w:r>
          </w:p>
        </w:tc>
        <w:tc>
          <w:tcPr>
            <w:tcW w:w="13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106680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0" w:lineRule="exact"/>
        <w:rPr>
          <w:sz w:val="24"/>
          <w:szCs w:val="24"/>
          <w:color w:val="auto"/>
        </w:rPr>
      </w:pPr>
    </w:p>
    <w:p>
      <w:pPr>
        <w:ind w:right="24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63" w:lineRule="exact"/>
        <w:rPr>
          <w:sz w:val="24"/>
          <w:szCs w:val="24"/>
          <w:color w:val="auto"/>
        </w:rPr>
      </w:pPr>
    </w:p>
    <w:p>
      <w:pPr>
        <w:ind w:firstLine="518"/>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3" w:lineRule="exact"/>
        <w:rPr>
          <w:sz w:val="24"/>
          <w:szCs w:val="24"/>
          <w:color w:val="auto"/>
        </w:rPr>
      </w:pPr>
    </w:p>
    <w:p>
      <w:pPr>
        <w:jc w:val="both"/>
        <w:ind w:right="380" w:firstLine="51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 (Check one):</w:t>
      </w:r>
    </w:p>
    <w:p>
      <w:pPr>
        <w:sectPr>
          <w:pgSz w:w="11900" w:h="16838" w:orient="portrait"/>
          <w:cols w:equalWidth="0" w:num="1">
            <w:col w:w="11360"/>
          </w:cols>
          <w:pgMar w:left="240" w:top="463" w:right="299" w:bottom="1440" w:gutter="0" w:footer="0" w:header="0"/>
          <w:type w:val="continuous"/>
        </w:sectPr>
      </w:pPr>
    </w:p>
    <w:p>
      <w:pPr>
        <w:spacing w:after="0" w:line="171"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2" w:lineRule="exact"/>
        <w:rPr>
          <w:sz w:val="24"/>
          <w:szCs w:val="24"/>
          <w:color w:val="auto"/>
        </w:rPr>
      </w:pPr>
    </w:p>
    <w:p>
      <w:pPr>
        <w:sectPr>
          <w:pgSz w:w="11900" w:h="16838" w:orient="portrait"/>
          <w:cols w:equalWidth="0" w:num="4">
            <w:col w:w="1800" w:space="720"/>
            <w:col w:w="4840" w:space="720"/>
            <w:col w:w="2340" w:space="720"/>
            <w:col w:w="220"/>
          </w:cols>
          <w:pgMar w:left="240" w:top="463" w:right="29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4">
            <w:col w:w="1800" w:space="720"/>
            <w:col w:w="4840" w:space="720"/>
            <w:col w:w="2340" w:space="720"/>
            <w:col w:w="220"/>
          </w:cols>
          <w:pgMar w:left="240" w:top="463" w:right="299" w:bottom="1440" w:gutter="0" w:footer="0" w:header="0"/>
          <w:type w:val="continuous"/>
        </w:sectPr>
      </w:pPr>
    </w:p>
    <w:p>
      <w:pPr>
        <w:spacing w:after="0" w:line="14" w:lineRule="exact"/>
        <w:rPr>
          <w:sz w:val="24"/>
          <w:szCs w:val="24"/>
          <w:color w:val="auto"/>
        </w:rPr>
      </w:pPr>
    </w:p>
    <w:p>
      <w:pPr>
        <w:ind w:left="7780"/>
        <w:spacing w:after="0" w:line="184" w:lineRule="exact"/>
        <w:tabs>
          <w:tab w:leader="none" w:pos="1062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1360"/>
          </w:cols>
          <w:pgMar w:left="240" w:top="463" w:right="299" w:bottom="1440" w:gutter="0" w:footer="0" w:header="0"/>
          <w:type w:val="continuous"/>
        </w:sectPr>
      </w:pP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w:t>
      </w:r>
    </w:p>
    <w:p>
      <w:pPr>
        <w:spacing w:after="0" w:line="24" w:lineRule="exact"/>
        <w:rPr>
          <w:sz w:val="24"/>
          <w:szCs w:val="24"/>
          <w:color w:val="auto"/>
        </w:rPr>
      </w:pPr>
    </w:p>
    <w:p>
      <w:pPr>
        <w:spacing w:after="0" w:line="184" w:lineRule="exact"/>
        <w:tabs>
          <w:tab w:leader="none" w:pos="7120" w:val="left"/>
        </w:tabs>
        <w:rPr>
          <w:sz w:val="20"/>
          <w:szCs w:val="20"/>
          <w:color w:val="auto"/>
        </w:rPr>
      </w:pPr>
      <w:r>
        <w:rPr>
          <w:rFonts w:ascii="Arial" w:cs="Arial" w:eastAsia="Arial" w:hAnsi="Arial"/>
          <w:sz w:val="16"/>
          <w:szCs w:val="16"/>
          <w:color w:val="auto"/>
        </w:rPr>
        <w:t>accounting standards provided pursuant to Section 13(a) of the Exchange Act.</w:t>
      </w:r>
      <w:r>
        <w:rPr>
          <w:sz w:val="20"/>
          <w:szCs w:val="20"/>
          <w:color w:val="auto"/>
        </w:rPr>
        <w:tab/>
      </w:r>
      <w:r>
        <w:rPr>
          <w:rFonts w:ascii="MS PGothic" w:cs="MS PGothic" w:eastAsia="MS PGothic" w:hAnsi="MS PGothic"/>
          <w:sz w:val="14"/>
          <w:szCs w:val="14"/>
          <w:color w:val="auto"/>
        </w:rPr>
        <w:t>☐</w:t>
      </w:r>
    </w:p>
    <w:p>
      <w:pPr>
        <w:spacing w:after="0" w:line="187" w:lineRule="exact"/>
        <w:rPr>
          <w:sz w:val="24"/>
          <w:szCs w:val="24"/>
          <w:color w:val="auto"/>
        </w:rPr>
      </w:pPr>
    </w:p>
    <w:p>
      <w:pPr>
        <w:ind w:left="520" w:right="2260"/>
        <w:spacing w:after="0" w:line="2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24, 2018, the registrant had 41,881,306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63" w:right="29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93"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Considering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130" w:lineRule="exact"/>
        <w:rPr>
          <w:rFonts w:ascii="Arial" w:cs="Arial" w:eastAsia="Arial" w:hAnsi="Arial"/>
          <w:sz w:val="18"/>
          <w:szCs w:val="18"/>
          <w:color w:val="auto"/>
        </w:rPr>
      </w:pPr>
    </w:p>
    <w:p>
      <w:pPr>
        <w:ind w:left="1100" w:right="172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delay in completing clinical trials or obtaining Food and Drug Administration or foreign regulatory approval for our product candidates in a timely manner;</w:t>
      </w:r>
    </w:p>
    <w:p>
      <w:pPr>
        <w:spacing w:after="0" w:line="89" w:lineRule="exact"/>
        <w:rPr>
          <w:rFonts w:ascii="Arial" w:cs="Arial" w:eastAsia="Arial" w:hAnsi="Arial"/>
          <w:sz w:val="18"/>
          <w:szCs w:val="18"/>
          <w:color w:val="auto"/>
        </w:rPr>
      </w:pPr>
    </w:p>
    <w:p>
      <w:pPr>
        <w:ind w:left="1100" w:right="222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89"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117"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130" w:lineRule="exact"/>
        <w:rPr>
          <w:rFonts w:ascii="Arial" w:cs="Arial" w:eastAsia="Arial" w:hAnsi="Arial"/>
          <w:sz w:val="18"/>
          <w:szCs w:val="18"/>
          <w:color w:val="auto"/>
        </w:rPr>
      </w:pPr>
    </w:p>
    <w:p>
      <w:pPr>
        <w:ind w:left="1100" w:right="216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89"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130" w:lineRule="exact"/>
        <w:rPr>
          <w:rFonts w:ascii="Arial" w:cs="Arial" w:eastAsia="Arial" w:hAnsi="Arial"/>
          <w:sz w:val="18"/>
          <w:szCs w:val="18"/>
          <w:color w:val="auto"/>
        </w:rPr>
      </w:pPr>
    </w:p>
    <w:p>
      <w:pPr>
        <w:ind w:left="1100" w:right="2180" w:hanging="606"/>
        <w:spacing w:after="0" w:line="277"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if approved, may not gain market acceptance or obtain adequate coverage for third party reimbursement;</w:t>
      </w:r>
    </w:p>
    <w:p>
      <w:pPr>
        <w:spacing w:after="0" w:line="89"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30" w:lineRule="exact"/>
        <w:rPr>
          <w:rFonts w:ascii="Arial" w:cs="Arial" w:eastAsia="Arial" w:hAnsi="Arial"/>
          <w:sz w:val="18"/>
          <w:szCs w:val="18"/>
          <w:color w:val="auto"/>
        </w:rPr>
      </w:pPr>
    </w:p>
    <w:p>
      <w:pPr>
        <w:ind w:left="1100" w:hanging="606"/>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 w:name="page3"/>
    <w:bookmarkEnd w:id="2"/>
    <w:p>
      <w:pPr>
        <w:ind w:left="606" w:hanging="606"/>
        <w:spacing w:after="0"/>
        <w:tabs>
          <w:tab w:leader="none" w:pos="606"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130" w:lineRule="exact"/>
        <w:rPr>
          <w:rFonts w:ascii="Arial" w:cs="Arial" w:eastAsia="Arial" w:hAnsi="Arial"/>
          <w:sz w:val="18"/>
          <w:szCs w:val="18"/>
          <w:color w:val="auto"/>
        </w:rPr>
      </w:pPr>
    </w:p>
    <w:p>
      <w:pPr>
        <w:ind w:left="606" w:hanging="606"/>
        <w:spacing w:after="0"/>
        <w:tabs>
          <w:tab w:leader="none" w:pos="606" w:val="left"/>
        </w:tabs>
        <w:numPr>
          <w:ilvl w:val="0"/>
          <w:numId w:val="4"/>
        </w:numPr>
        <w:rPr>
          <w:rFonts w:ascii="Arial" w:cs="Arial" w:eastAsia="Arial" w:hAnsi="Arial"/>
          <w:sz w:val="16"/>
          <w:szCs w:val="16"/>
          <w:color w:val="auto"/>
        </w:rPr>
      </w:pPr>
      <w:r>
        <w:rPr>
          <w:rFonts w:ascii="Arial" w:cs="Arial" w:eastAsia="Arial" w:hAnsi="Arial"/>
          <w:sz w:val="16"/>
          <w:szCs w:val="16"/>
          <w:color w:val="auto"/>
        </w:rPr>
        <w:t>Economic, political, foreign exchange and other risks associated with international operations.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166"/>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725"/>
          </w:cols>
          <w:pgMar w:left="734" w:top="44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60" w:type="dxa"/>
            <w:vAlign w:val="bottom"/>
            <w:gridSpan w:val="5"/>
          </w:tcPr>
          <w:p>
            <w:pPr>
              <w:jc w:val="center"/>
              <w:ind w:right="3680"/>
              <w:spacing w:after="0"/>
              <w:rPr>
                <w:sz w:val="20"/>
                <w:szCs w:val="20"/>
                <w:color w:val="auto"/>
              </w:rPr>
            </w:pPr>
            <w:r>
              <w:rPr>
                <w:rFonts w:ascii="Arial" w:cs="Arial" w:eastAsia="Arial" w:hAnsi="Arial"/>
                <w:sz w:val="18"/>
                <w:szCs w:val="18"/>
                <w:b w:val="1"/>
                <w:bCs w:val="1"/>
                <w:color w:val="auto"/>
              </w:rPr>
              <w:t>MEDICINOVA, INC.</w:t>
            </w:r>
          </w:p>
        </w:tc>
        <w:tc>
          <w:tcPr>
            <w:tcW w:w="72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60" w:type="dxa"/>
            <w:vAlign w:val="bottom"/>
            <w:gridSpan w:val="5"/>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r>
      <w:tr>
        <w:trPr>
          <w:trHeight w:val="405"/>
        </w:trPr>
        <w:tc>
          <w:tcPr>
            <w:tcW w:w="290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PART I. FINANCIAL INFORMATION</w:t>
              </w:r>
            </w:hyperlink>
          </w:p>
        </w:tc>
        <w:tc>
          <w:tcPr>
            <w:tcW w:w="778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45"/>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44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CONSOLIDATED FINANCIAL STATEMENTS (unaudited)</w:t>
              </w:r>
            </w:hyperlink>
          </w:p>
        </w:tc>
        <w:tc>
          <w:tcPr>
            <w:tcW w:w="500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892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14">
              <w:r>
                <w:rPr>
                  <w:rFonts w:ascii="Arial" w:cs="Arial" w:eastAsia="Arial" w:hAnsi="Arial"/>
                  <w:sz w:val="18"/>
                  <w:szCs w:val="18"/>
                  <w:color w:val="0000EE"/>
                  <w:w w:val="97"/>
                </w:rPr>
                <w:t>MANAGEMENT’S DISCUSSION AND ANALYSIS OF FINANCIAL CONDITION AND RESULTS OF OPERATIONS</w:t>
              </w:r>
            </w:hyperlink>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QUANTITATIVE AND QUALITATIVE DISCLOSURES ABOUT MARKET RISK</w:t>
              </w:r>
            </w:hyperlink>
          </w:p>
        </w:tc>
        <w:tc>
          <w:tcPr>
            <w:tcW w:w="330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8">
              <w:r>
                <w:rPr>
                  <w:rFonts w:ascii="Arial" w:cs="Arial" w:eastAsia="Arial" w:hAnsi="Arial"/>
                  <w:sz w:val="18"/>
                  <w:szCs w:val="18"/>
                  <w:color w:val="0000EE"/>
                  <w:w w:val="93"/>
                </w:rPr>
                <w:t>CONTROLS AND PROCEDURES</w:t>
              </w:r>
            </w:hyperlink>
          </w:p>
        </w:tc>
        <w:tc>
          <w:tcPr>
            <w:tcW w:w="6840" w:type="dxa"/>
            <w:vAlign w:val="bottom"/>
            <w:gridSpan w:val="6"/>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45"/>
        </w:trPr>
        <w:tc>
          <w:tcPr>
            <w:tcW w:w="10680" w:type="dxa"/>
            <w:vAlign w:val="bottom"/>
            <w:gridSpan w:val="1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PART II. 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45"/>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18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20">
              <w:r>
                <w:rPr>
                  <w:rFonts w:ascii="Arial" w:cs="Arial" w:eastAsia="Arial" w:hAnsi="Arial"/>
                  <w:sz w:val="18"/>
                  <w:szCs w:val="18"/>
                  <w:color w:val="0000EE"/>
                  <w:w w:val="94"/>
                </w:rPr>
                <w:t>LEGAL PROCEEDINGS</w:t>
              </w:r>
            </w:hyperlink>
          </w:p>
        </w:tc>
        <w:tc>
          <w:tcPr>
            <w:tcW w:w="756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1A.</w:t>
            </w:r>
          </w:p>
        </w:tc>
        <w:tc>
          <w:tcPr>
            <w:tcW w:w="9440" w:type="dxa"/>
            <w:vAlign w:val="bottom"/>
            <w:gridSpan w:val="1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9440" w:type="dxa"/>
            <w:vAlign w:val="bottom"/>
            <w:gridSpan w:val="1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UNREGISTERED SALES OF EQUITY SECURITIES AND USE OF PROCEEDS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6060" w:type="dxa"/>
            <w:vAlign w:val="bottom"/>
            <w:tcBorders>
              <w:top w:val="single" w:sz="8" w:color="0000EE"/>
            </w:tcBorders>
            <w:gridSpan w:val="10"/>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DEFAULTS UPON SENIOR SECURITIES</w:t>
              </w:r>
            </w:hyperlink>
          </w:p>
        </w:tc>
        <w:tc>
          <w:tcPr>
            <w:tcW w:w="3380" w:type="dxa"/>
            <w:vAlign w:val="bottom"/>
            <w:gridSpan w:val="3"/>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24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5"/>
              </w:rPr>
            </w:pPr>
            <w:hyperlink w:anchor="page20">
              <w:r>
                <w:rPr>
                  <w:rFonts w:ascii="Arial" w:cs="Arial" w:eastAsia="Arial" w:hAnsi="Arial"/>
                  <w:sz w:val="18"/>
                  <w:szCs w:val="18"/>
                  <w:color w:val="0000EE"/>
                  <w:w w:val="95"/>
                </w:rPr>
                <w:t>MINE SAFETY DISCLOSURES</w:t>
              </w:r>
            </w:hyperlink>
          </w:p>
        </w:tc>
        <w:tc>
          <w:tcPr>
            <w:tcW w:w="740" w:type="dxa"/>
            <w:vAlign w:val="bottom"/>
            <w:tcBorders>
              <w:top w:val="single" w:sz="8" w:color="0000EE"/>
            </w:tcBorders>
            <w:gridSpan w:val="2"/>
          </w:tcPr>
          <w:p>
            <w:pPr>
              <w:spacing w:after="0"/>
              <w:rPr>
                <w:sz w:val="18"/>
                <w:szCs w:val="18"/>
                <w:color w:val="auto"/>
              </w:rPr>
            </w:pPr>
          </w:p>
        </w:tc>
        <w:tc>
          <w:tcPr>
            <w:tcW w:w="6260" w:type="dxa"/>
            <w:vAlign w:val="bottom"/>
            <w:gridSpan w:val="5"/>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5.</w:t>
            </w:r>
          </w:p>
        </w:tc>
        <w:tc>
          <w:tcPr>
            <w:tcW w:w="9440" w:type="dxa"/>
            <w:vAlign w:val="bottom"/>
            <w:gridSpan w:val="1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6.</w:t>
            </w:r>
          </w:p>
        </w:tc>
        <w:tc>
          <w:tcPr>
            <w:tcW w:w="1880" w:type="dxa"/>
            <w:vAlign w:val="bottom"/>
            <w:tcBorders>
              <w:top w:val="single" w:sz="8" w:color="0000EE"/>
            </w:tcBorders>
            <w:gridSpan w:val="5"/>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7560" w:type="dxa"/>
            <w:vAlign w:val="bottom"/>
            <w:gridSpan w:val="8"/>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45"/>
        </w:trPr>
        <w:tc>
          <w:tcPr>
            <w:tcW w:w="1240" w:type="dxa"/>
            <w:vAlign w:val="bottom"/>
            <w:gridSpan w:val="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8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500" w:type="dxa"/>
            <w:vAlign w:val="bottom"/>
          </w:tcPr>
          <w:p>
            <w:pPr>
              <w:jc w:val="center"/>
              <w:ind w:left="2590"/>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spacing w:after="0"/>
              <w:rPr>
                <w:sz w:val="24"/>
                <w:szCs w:val="24"/>
                <w:color w:val="auto"/>
              </w:rPr>
            </w:pPr>
          </w:p>
        </w:tc>
        <w:tc>
          <w:tcPr>
            <w:tcW w:w="6500" w:type="dxa"/>
            <w:vAlign w:val="bottom"/>
          </w:tcPr>
          <w:p>
            <w:pPr>
              <w:jc w:val="center"/>
              <w:ind w:left="2590"/>
              <w:spacing w:after="0"/>
              <w:rPr>
                <w:sz w:val="20"/>
                <w:szCs w:val="20"/>
                <w:color w:val="auto"/>
              </w:rPr>
            </w:pPr>
            <w:r>
              <w:rPr>
                <w:rFonts w:ascii="Arial" w:cs="Arial" w:eastAsia="Arial" w:hAnsi="Arial"/>
                <w:sz w:val="18"/>
                <w:szCs w:val="18"/>
                <w:b w:val="1"/>
                <w:bCs w:val="1"/>
                <w:color w:val="auto"/>
              </w:rPr>
              <w:t>MEDICINOVA, INC.</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6500" w:type="dxa"/>
            <w:vAlign w:val="bottom"/>
          </w:tcPr>
          <w:p>
            <w:pPr>
              <w:jc w:val="center"/>
              <w:ind w:left="257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1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6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jc w:val="center"/>
              <w:ind w:right="172"/>
              <w:spacing w:after="0" w:line="155"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62,442,366</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30"/>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27,991,743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368,440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336,580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62,810,806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28,328,323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Goodwill</w:t>
            </w:r>
          </w:p>
        </w:tc>
        <w:tc>
          <w:tcPr>
            <w:tcW w:w="6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9,600,240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9,600,240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26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616,657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53,327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65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10,958</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5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77,275,331</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43,419,064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608,282</w:t>
            </w:r>
          </w:p>
        </w:tc>
        <w:tc>
          <w:tcPr>
            <w:tcW w:w="200" w:type="dxa"/>
            <w:vAlign w:val="bottom"/>
          </w:tcPr>
          <w:p>
            <w:pPr>
              <w:spacing w:after="0"/>
              <w:rPr>
                <w:sz w:val="19"/>
                <w:szCs w:val="19"/>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1,520,225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1,196,232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1,360,744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1,804,514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2,880,969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deferred rent</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201,792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201,792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deferred revenue</w:t>
            </w:r>
          </w:p>
        </w:tc>
        <w:tc>
          <w:tcPr>
            <w:tcW w:w="2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1,694,163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1,694,163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w w:val="97"/>
              </w:rPr>
              <w:t>Total liabilities</w:t>
            </w:r>
          </w:p>
        </w:tc>
        <w:tc>
          <w:tcPr>
            <w:tcW w:w="6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3,723,560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4,776,924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w w:val="97"/>
              </w:rPr>
              <w:t>Common stock, $0.001 par value;100,000,000 shares authorized at September 30, 2018 and</w:t>
            </w: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w w:val="92"/>
              </w:rPr>
              <w:t>December 31, 2017; 41,881,306 and 36,452,893 shares issued and outstanding at September 30,</w:t>
            </w:r>
          </w:p>
        </w:tc>
        <w:tc>
          <w:tcPr>
            <w:tcW w:w="2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2018 and December 31, 2017, respectively</w:t>
            </w:r>
          </w:p>
        </w:tc>
        <w:tc>
          <w:tcPr>
            <w:tcW w:w="2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41,881</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429,526,656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380,156,510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(93,418)</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(94,623)</w:t>
            </w:r>
          </w:p>
        </w:tc>
        <w:tc>
          <w:tcPr>
            <w:tcW w:w="0" w:type="dxa"/>
            <w:vAlign w:val="bottom"/>
          </w:tcPr>
          <w:p>
            <w:pPr>
              <w:spacing w:after="0"/>
              <w:rPr>
                <w:sz w:val="1"/>
                <w:szCs w:val="1"/>
                <w:color w:val="auto"/>
              </w:rPr>
            </w:pPr>
          </w:p>
        </w:tc>
      </w:tr>
      <w:tr>
        <w:trPr>
          <w:trHeight w:val="230"/>
        </w:trPr>
        <w:tc>
          <w:tcPr>
            <w:tcW w:w="7620" w:type="dxa"/>
            <w:vAlign w:val="bottom"/>
            <w:gridSpan w:val="2"/>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(355,923,348)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(341,456,200)</w:t>
            </w:r>
          </w:p>
        </w:tc>
        <w:tc>
          <w:tcPr>
            <w:tcW w:w="0" w:type="dxa"/>
            <w:vAlign w:val="bottom"/>
          </w:tcPr>
          <w:p>
            <w:pPr>
              <w:spacing w:after="0"/>
              <w:rPr>
                <w:sz w:val="1"/>
                <w:szCs w:val="1"/>
                <w:color w:val="auto"/>
              </w:rPr>
            </w:pPr>
          </w:p>
        </w:tc>
      </w:tr>
      <w:tr>
        <w:trPr>
          <w:trHeight w:val="223"/>
        </w:trPr>
        <w:tc>
          <w:tcPr>
            <w:tcW w:w="7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73,551,771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38,642,140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77,275,331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43,419,064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4740" w:type="dxa"/>
            <w:vAlign w:val="bottom"/>
            <w:tcBorders>
              <w:bottom w:val="single" w:sz="8" w:color="CFF0FC"/>
            </w:tcBorders>
          </w:tcPr>
          <w:p>
            <w:pPr>
              <w:spacing w:after="0"/>
              <w:rPr>
                <w:sz w:val="13"/>
                <w:szCs w:val="13"/>
                <w:color w:val="auto"/>
              </w:rPr>
            </w:pPr>
          </w:p>
        </w:tc>
        <w:tc>
          <w:tcPr>
            <w:tcW w:w="136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740" w:type="dxa"/>
            <w:vAlign w:val="bottom"/>
          </w:tcPr>
          <w:p>
            <w:pPr>
              <w:ind w:left="380"/>
              <w:spacing w:after="0"/>
              <w:rPr>
                <w:sz w:val="20"/>
                <w:szCs w:val="20"/>
                <w:color w:val="auto"/>
              </w:rPr>
            </w:pPr>
            <w:r>
              <w:rPr>
                <w:rFonts w:ascii="Arial" w:cs="Arial" w:eastAsia="Arial" w:hAnsi="Arial"/>
                <w:sz w:val="18"/>
                <w:szCs w:val="18"/>
                <w:color w:val="auto"/>
              </w:rPr>
              <w:t>Research, development and patents</w:t>
            </w:r>
          </w:p>
        </w:tc>
        <w:tc>
          <w:tcPr>
            <w:tcW w:w="15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2,370,035</w:t>
            </w:r>
          </w:p>
        </w:tc>
        <w:tc>
          <w:tcPr>
            <w:tcW w:w="24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1,268,417</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5,411,335</w:t>
            </w:r>
          </w:p>
        </w:tc>
        <w:tc>
          <w:tcPr>
            <w:tcW w:w="24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3,066,287</w:t>
            </w: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General and administrative</w:t>
            </w:r>
          </w:p>
        </w:tc>
        <w:tc>
          <w:tcPr>
            <w:tcW w:w="13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4,657,679</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2,523,119</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9,683,242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6,553,760</w:t>
            </w:r>
          </w:p>
        </w:tc>
        <w:tc>
          <w:tcPr>
            <w:tcW w:w="120" w:type="dxa"/>
            <w:vAlign w:val="bottom"/>
            <w:shd w:val="clear" w:color="auto" w:fill="CFF0FC"/>
          </w:tcPr>
          <w:p>
            <w:pPr>
              <w:spacing w:after="0"/>
              <w:rPr>
                <w:sz w:val="19"/>
                <w:szCs w:val="19"/>
                <w:color w:val="auto"/>
              </w:rPr>
            </w:pPr>
          </w:p>
        </w:tc>
      </w:tr>
      <w:tr>
        <w:trPr>
          <w:trHeight w:val="223"/>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3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7,027,714</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3,791,536</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15,094,577</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9,620,047</w:t>
            </w:r>
          </w:p>
        </w:tc>
        <w:tc>
          <w:tcPr>
            <w:tcW w:w="120" w:type="dxa"/>
            <w:vAlign w:val="bottom"/>
            <w:tcBorders>
              <w:bottom w:val="single" w:sz="8" w:color="CFF0FC"/>
            </w:tcBorders>
          </w:tcPr>
          <w:p>
            <w:pPr>
              <w:spacing w:after="0"/>
              <w:rPr>
                <w:sz w:val="19"/>
                <w:szCs w:val="19"/>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(7,027,714)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(3,791,536)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(15,094,577)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(9,620,047)</w:t>
            </w:r>
          </w:p>
        </w:tc>
        <w:tc>
          <w:tcPr>
            <w:tcW w:w="12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Interest Income</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268,437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41,796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650,013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81,709</w:t>
            </w: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(19,018)</w:t>
            </w:r>
          </w:p>
        </w:tc>
        <w:tc>
          <w:tcPr>
            <w:tcW w:w="3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(3,309)</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(19,014)</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(13,783)</w:t>
            </w: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(6,778,295)</w:t>
            </w: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(3,753,049)</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(14,463,578)</w:t>
            </w: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(9,552,121)</w:t>
            </w: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(1,663)</w:t>
            </w:r>
          </w:p>
        </w:tc>
        <w:tc>
          <w:tcPr>
            <w:tcW w:w="3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(2,054)</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(3,570)</w:t>
            </w:r>
          </w:p>
        </w:tc>
        <w:tc>
          <w:tcPr>
            <w:tcW w:w="1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(8,144)</w:t>
            </w:r>
          </w:p>
        </w:tc>
      </w:tr>
      <w:tr>
        <w:trPr>
          <w:trHeight w:val="263"/>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applicable to common stockholders</w:t>
            </w:r>
          </w:p>
        </w:tc>
        <w:tc>
          <w:tcPr>
            <w:tcW w:w="136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(6,779,958</w:t>
            </w:r>
          </w:p>
        </w:tc>
        <w:tc>
          <w:tcPr>
            <w:tcW w:w="240" w:type="dxa"/>
            <w:vAlign w:val="bottom"/>
            <w:tcBorders>
              <w:bottom w:val="single" w:sz="8" w:color="CFF0FC"/>
            </w:tcBorders>
          </w:tcPr>
          <w:p>
            <w:pPr>
              <w:jc w:val="right"/>
              <w:ind w:right="10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(3,755,103)</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(14,467,148</w:t>
            </w:r>
          </w:p>
        </w:tc>
        <w:tc>
          <w:tcPr>
            <w:tcW w:w="240" w:type="dxa"/>
            <w:vAlign w:val="bottom"/>
            <w:tcBorders>
              <w:bottom w:val="single" w:sz="8" w:color="CFF0FC"/>
            </w:tcBorders>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(9,560,265</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FF0FC"/>
          </w:tcPr>
          <w:p>
            <w:pPr>
              <w:spacing w:after="0"/>
              <w:rPr>
                <w:sz w:val="18"/>
                <w:szCs w:val="18"/>
                <w:color w:val="auto"/>
              </w:rPr>
            </w:pPr>
          </w:p>
        </w:tc>
      </w:tr>
      <w:tr>
        <w:trPr>
          <w:trHeight w:val="215"/>
        </w:trPr>
        <w:tc>
          <w:tcPr>
            <w:tcW w:w="4740" w:type="dxa"/>
            <w:vAlign w:val="bottom"/>
          </w:tcPr>
          <w:p>
            <w:pPr>
              <w:spacing w:after="0"/>
              <w:rPr>
                <w:sz w:val="20"/>
                <w:szCs w:val="20"/>
                <w:color w:val="auto"/>
              </w:rPr>
            </w:pPr>
            <w:r>
              <w:rPr>
                <w:rFonts w:ascii="Arial" w:cs="Arial" w:eastAsia="Arial" w:hAnsi="Arial"/>
                <w:sz w:val="18"/>
                <w:szCs w:val="18"/>
                <w:color w:val="auto"/>
              </w:rPr>
              <w:t>Shares used to compute basic and diluted net</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8"/>
                <w:szCs w:val="18"/>
                <w:color w:val="auto"/>
              </w:rPr>
              <w:t>loss per common share</w:t>
            </w: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41,879,073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35,156,080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40,866,343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34,778,921</w:t>
            </w:r>
          </w:p>
        </w:tc>
        <w:tc>
          <w:tcPr>
            <w:tcW w:w="120" w:type="dxa"/>
            <w:vAlign w:val="bottom"/>
          </w:tcPr>
          <w:p>
            <w:pPr>
              <w:spacing w:after="0"/>
              <w:rPr>
                <w:sz w:val="20"/>
                <w:szCs w:val="20"/>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15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(6,779,958)</w:t>
            </w: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7"/>
              </w:rPr>
              <w:t>(3,755,103)</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2"/>
              </w:rPr>
              <w:t>(14,467,148)</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(9,560,265)</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(612)</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120" w:type="dxa"/>
            <w:vAlign w:val="bottom"/>
            <w:shd w:val="clear" w:color="auto" w:fill="CFF0FC"/>
          </w:tcPr>
          <w:p>
            <w:pPr>
              <w:spacing w:after="0"/>
              <w:rPr>
                <w:sz w:val="19"/>
                <w:szCs w:val="19"/>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Comprehensive loss</w:t>
            </w:r>
          </w:p>
        </w:tc>
        <w:tc>
          <w:tcPr>
            <w:tcW w:w="1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(6,780,570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(3,754,592)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(14,465,943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(9,558,538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2460" w:type="dxa"/>
            <w:vAlign w:val="bottom"/>
            <w:gridSpan w:val="5"/>
            <w:vMerge w:val="restart"/>
          </w:tcPr>
          <w:p>
            <w:pPr>
              <w:ind w:left="6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060" w:type="dxa"/>
            <w:vAlign w:val="bottom"/>
            <w:gridSpan w:val="2"/>
            <w:vMerge w:val="restart"/>
          </w:tcPr>
          <w:p>
            <w:pPr>
              <w:jc w:val="right"/>
              <w:ind w:right="199"/>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4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paid-in</w:t>
            </w: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56"/>
        </w:trPr>
        <w:tc>
          <w:tcPr>
            <w:tcW w:w="4120" w:type="dxa"/>
            <w:vAlign w:val="bottom"/>
          </w:tcPr>
          <w:p>
            <w:pPr>
              <w:spacing w:after="0"/>
              <w:rPr>
                <w:sz w:val="13"/>
                <w:szCs w:val="13"/>
                <w:color w:val="auto"/>
              </w:rPr>
            </w:pPr>
          </w:p>
        </w:tc>
        <w:tc>
          <w:tcPr>
            <w:tcW w:w="1000" w:type="dxa"/>
            <w:vAlign w:val="bottom"/>
            <w:tcBorders>
              <w:top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114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8"/>
              </w:rPr>
              <w:t>income (loss)</w:t>
            </w:r>
          </w:p>
        </w:tc>
        <w:tc>
          <w:tcPr>
            <w:tcW w:w="100" w:type="dxa"/>
            <w:vAlign w:val="bottom"/>
          </w:tcPr>
          <w:p>
            <w:pPr>
              <w:spacing w:after="0"/>
              <w:rPr>
                <w:sz w:val="13"/>
                <w:szCs w:val="13"/>
                <w:color w:val="auto"/>
              </w:rPr>
            </w:pPr>
          </w:p>
        </w:tc>
        <w:tc>
          <w:tcPr>
            <w:tcW w:w="1060" w:type="dxa"/>
            <w:vAlign w:val="bottom"/>
            <w:gridSpan w:val="2"/>
          </w:tcPr>
          <w:p>
            <w:pPr>
              <w:jc w:val="right"/>
              <w:ind w:right="419"/>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156"/>
        </w:trPr>
        <w:tc>
          <w:tcPr>
            <w:tcW w:w="412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2017</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36,452,893</w:t>
            </w:r>
          </w:p>
        </w:tc>
        <w:tc>
          <w:tcPr>
            <w:tcW w:w="2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36,453</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380,156,510</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(94,623)</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(341,456,200)</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38,642,140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8,081,897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8,081,897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spacing w:after="0"/>
              <w:rPr>
                <w:sz w:val="20"/>
                <w:szCs w:val="20"/>
                <w:color w:val="auto"/>
              </w:rPr>
            </w:pPr>
            <w:r>
              <w:rPr>
                <w:rFonts w:ascii="Arial" w:cs="Arial" w:eastAsia="Arial" w:hAnsi="Arial"/>
                <w:sz w:val="14"/>
                <w:szCs w:val="14"/>
                <w:color w:val="auto"/>
                <w:w w:val="97"/>
              </w:rPr>
              <w:t>Issuance of shares under an employee stock purchase plan (ESPP)</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7,094</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51,003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51,010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Issuance of common stock, net of offering costs</w:t>
            </w:r>
          </w:p>
        </w:tc>
        <w:tc>
          <w:tcPr>
            <w:tcW w:w="1000" w:type="dxa"/>
            <w:vAlign w:val="bottom"/>
          </w:tcPr>
          <w:p>
            <w:pPr>
              <w:jc w:val="right"/>
              <w:spacing w:after="0"/>
              <w:rPr>
                <w:sz w:val="20"/>
                <w:szCs w:val="20"/>
                <w:color w:val="auto"/>
              </w:rPr>
            </w:pPr>
            <w:r>
              <w:rPr>
                <w:rFonts w:ascii="Arial" w:cs="Arial" w:eastAsia="Arial" w:hAnsi="Arial"/>
                <w:sz w:val="14"/>
                <w:szCs w:val="14"/>
                <w:color w:val="auto"/>
              </w:rPr>
              <w:t>4,545,928</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4,546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38,468,425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38,472,971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for option exercises</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125,391</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407,071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407,196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Exercise of warrants</w:t>
            </w:r>
          </w:p>
        </w:tc>
        <w:tc>
          <w:tcPr>
            <w:tcW w:w="1000" w:type="dxa"/>
            <w:vAlign w:val="bottom"/>
          </w:tcPr>
          <w:p>
            <w:pPr>
              <w:jc w:val="right"/>
              <w:spacing w:after="0"/>
              <w:rPr>
                <w:sz w:val="20"/>
                <w:szCs w:val="20"/>
                <w:color w:val="auto"/>
              </w:rPr>
            </w:pPr>
            <w:r>
              <w:rPr>
                <w:rFonts w:ascii="Arial" w:cs="Arial" w:eastAsia="Arial" w:hAnsi="Arial"/>
                <w:sz w:val="14"/>
                <w:szCs w:val="14"/>
                <w:color w:val="auto"/>
              </w:rPr>
              <w:t>750,000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2,361,750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2,362,500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(14,467,148)</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(14,467,148)</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1,205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tcBorders>
              <w:top w:val="single" w:sz="8" w:color="CFF0FC"/>
              <w:bottom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September 30, 2018</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41,881,306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41,881</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429,526,656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(93,418)</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(355,923,348</w:t>
            </w:r>
          </w:p>
        </w:tc>
        <w:tc>
          <w:tcPr>
            <w:tcW w:w="120" w:type="dxa"/>
            <w:vAlign w:val="bottom"/>
            <w:tcBorders>
              <w:top w:val="single" w:sz="8" w:color="CFF0FC"/>
              <w:bottom w:val="single" w:sz="8" w:color="CFF0FC"/>
            </w:tcBorders>
            <w:shd w:val="clear" w:color="auto" w:fill="CFF0FC"/>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73,551,771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3820"/>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gridSpan w:val="4"/>
          </w:tcPr>
          <w:p>
            <w:pPr>
              <w:jc w:val="right"/>
              <w:ind w:right="5"/>
              <w:spacing w:after="0"/>
              <w:rPr>
                <w:sz w:val="20"/>
                <w:szCs w:val="20"/>
                <w:color w:val="auto"/>
              </w:rPr>
            </w:pPr>
            <w:r>
              <w:rPr>
                <w:rFonts w:ascii="Arial" w:cs="Arial" w:eastAsia="Arial" w:hAnsi="Arial"/>
                <w:sz w:val="14"/>
                <w:szCs w:val="14"/>
                <w:b w:val="1"/>
                <w:bCs w:val="1"/>
                <w:color w:val="auto"/>
              </w:rPr>
              <w:t>Nine months ended</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9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900" w:type="dxa"/>
            <w:vAlign w:val="bottom"/>
            <w:vMerge w:val="restart"/>
          </w:tcPr>
          <w:p>
            <w:pPr>
              <w:spacing w:after="0"/>
              <w:rPr>
                <w:sz w:val="20"/>
                <w:szCs w:val="20"/>
                <w:color w:val="auto"/>
              </w:rPr>
            </w:pPr>
            <w:r>
              <w:rPr>
                <w:rFonts w:ascii="Arial" w:cs="Arial" w:eastAsia="Arial" w:hAnsi="Arial"/>
                <w:sz w:val="18"/>
                <w:szCs w:val="18"/>
                <w:color w:val="auto"/>
              </w:rPr>
              <w:t>Operating activities:</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9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9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(14,467,148)</w:t>
            </w:r>
          </w:p>
        </w:tc>
        <w:tc>
          <w:tcPr>
            <w:tcW w:w="64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(9,560,265)</w:t>
            </w:r>
          </w:p>
        </w:tc>
        <w:tc>
          <w:tcPr>
            <w:tcW w:w="0" w:type="dxa"/>
            <w:vAlign w:val="bottom"/>
          </w:tcPr>
          <w:p>
            <w:pPr>
              <w:spacing w:after="0"/>
              <w:rPr>
                <w:sz w:val="1"/>
                <w:szCs w:val="1"/>
                <w:color w:val="auto"/>
              </w:rPr>
            </w:pPr>
          </w:p>
        </w:tc>
      </w:tr>
      <w:tr>
        <w:trPr>
          <w:trHeight w:val="215"/>
        </w:trPr>
        <w:tc>
          <w:tcPr>
            <w:tcW w:w="7900" w:type="dxa"/>
            <w:vAlign w:val="bottom"/>
          </w:tcPr>
          <w:p>
            <w:pPr>
              <w:ind w:left="380"/>
              <w:spacing w:after="0"/>
              <w:rPr>
                <w:sz w:val="20"/>
                <w:szCs w:val="20"/>
                <w:color w:val="auto"/>
              </w:rPr>
            </w:pPr>
            <w:r>
              <w:rPr>
                <w:rFonts w:ascii="Arial" w:cs="Arial" w:eastAsia="Arial" w:hAnsi="Arial"/>
                <w:sz w:val="18"/>
                <w:szCs w:val="18"/>
                <w:color w:val="auto"/>
              </w:rPr>
              <w:t>Adjustments to reconcile net loss to net cash used in operating</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520"/>
              <w:spacing w:after="0"/>
              <w:rPr>
                <w:sz w:val="20"/>
                <w:szCs w:val="20"/>
                <w:color w:val="auto"/>
              </w:rPr>
            </w:pPr>
            <w:r>
              <w:rPr>
                <w:rFonts w:ascii="Arial" w:cs="Arial" w:eastAsia="Arial" w:hAnsi="Arial"/>
                <w:sz w:val="18"/>
                <w:szCs w:val="18"/>
                <w:color w:val="auto"/>
              </w:rPr>
              <w:t>activities: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Non-cash stock-based compensation</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8,081,897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3,451,807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7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19,768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Change in joint venture investment</w:t>
            </w: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(19,867)</w:t>
            </w:r>
          </w:p>
        </w:tc>
        <w:tc>
          <w:tcPr>
            <w:tcW w:w="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74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(32,494)</w:t>
            </w:r>
          </w:p>
        </w:tc>
        <w:tc>
          <w:tcPr>
            <w:tcW w:w="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120"/>
              <w:spacing w:after="0"/>
              <w:rPr>
                <w:sz w:val="20"/>
                <w:szCs w:val="20"/>
                <w:color w:val="auto"/>
              </w:rPr>
            </w:pPr>
            <w:r>
              <w:rPr>
                <w:rFonts w:ascii="Arial" w:cs="Arial" w:eastAsia="Arial" w:hAnsi="Arial"/>
                <w:sz w:val="18"/>
                <w:szCs w:val="18"/>
                <w:color w:val="auto"/>
              </w:rPr>
              <w:t>Accounts payable, accrued liabilities and other liabilities</w:t>
            </w:r>
          </w:p>
        </w:tc>
        <w:tc>
          <w:tcPr>
            <w:tcW w:w="38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(1,052,514)</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(7,470,358)</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(5,877,954)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Investing activities: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Acquisition of property and equipment</w:t>
            </w:r>
          </w:p>
        </w:tc>
        <w:tc>
          <w:tcPr>
            <w:tcW w:w="3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(10,207)</w:t>
            </w:r>
          </w:p>
        </w:tc>
        <w:tc>
          <w:tcPr>
            <w:tcW w:w="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Proceeds from dissolution of joint venture</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636,524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investing activities</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626,317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issuance of common stock, exercise of common</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options and warrants, net of issuance costs</w:t>
            </w: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41,242,667</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6,217,156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Proceeds from issuance of equity awards under ESPP</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51,010</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41,293,677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6,294,475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34,450,623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417,390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27,991,743</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24,118,037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62,442,366</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4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24,535,427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taxes paid</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6,005</w:t>
            </w:r>
          </w:p>
        </w:tc>
        <w:tc>
          <w:tcPr>
            <w:tcW w:w="1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42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left="4880"/>
        <w:spacing w:after="0"/>
        <w:rPr>
          <w:sz w:val="20"/>
          <w:szCs w:val="20"/>
          <w:color w:val="auto"/>
        </w:rPr>
      </w:pPr>
      <w:r>
        <w:rPr>
          <w:rFonts w:ascii="Arial" w:cs="Arial" w:eastAsia="Arial" w:hAnsi="Arial"/>
          <w:sz w:val="18"/>
          <w:szCs w:val="18"/>
          <w:b w:val="1"/>
          <w:bCs w:val="1"/>
          <w:color w:val="auto"/>
        </w:rPr>
        <w:t>MEDICINOVA,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MediciNova, Inc. (the “Company” or “MediciNova”) was incorporated in the state of Delaware in September 2000 and is a public company. The Company’s common stock is listed in both the United States and Japan and trades on the NASDAQ Global Market and the JASDAQ Market of the Tokyo Stock Exchange. MediciNova is a biopharmaceutical company focused on acquiring and developing novel, small molecule therapeutics for the treatment of serious diseases with unmet medical needs with a commercial focus on the U.S. market. The Company’s current strategy is to focus its development activities on MN-166 (ibudilast) for neurological disorders such as progressive multiple sclerosis (MS), amyotrophic lateral sclerosis (ALS), chemotherapy-induced peripheral neuropathy, degenerative cervical myelopathy, glioblastoma, and substance dependence and addiction (e.g., methamphetamine dependence, opioid dependence and alcohol dependence), and MN-001 (tipelukast) for fibrotic diseases such as nonalcoholic steatohepatitis (NASH) and idiopathic pulmonary fibrosis (IPF). The Company’s pipeline also includes MN-221 (bedoradrine) for the treatment of acute exacerbation of asthma and MN-029 (denibulin) for solid tumor cancers.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the information and disclosures required by GAAP for complete financial statements. In the opinion of management, the consolidated financial statements include all adjustments necessary, which are of a normal and recurring nature, for the fair presentation of the Company’s financial position and of the results of operations and cash flows for the periods presented. The accompanying unaudited consolidated financial statements include the accounts of the Company and its wholly owned subsidiaries.</w:t>
      </w:r>
    </w:p>
    <w:p>
      <w:pPr>
        <w:spacing w:after="0" w:line="178"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These financial statements should be read in conjunction with the audited consolidated financial statements and notes thereto for the year ended December 31, 2017 included in the Company’s Annual Report on Form 10-K filed with the SEC. The results of operations for the interim period shown in this report are not necessarily indicative of the results that may be expected for any other interim period or for the full year. The balance sheet at December 31, 2017 has been derived from the audited financial statements at that date, but does not include all the information and footnotes required by GAAP for complete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240" w:firstLine="558"/>
        <w:spacing w:after="0" w:line="279" w:lineRule="auto"/>
        <w:rPr>
          <w:sz w:val="20"/>
          <w:szCs w:val="20"/>
          <w:color w:val="auto"/>
        </w:rPr>
      </w:pPr>
      <w:r>
        <w:rPr>
          <w:rFonts w:ascii="Arial" w:cs="Arial" w:eastAsia="Arial" w:hAnsi="Arial"/>
          <w:sz w:val="17"/>
          <w:szCs w:val="17"/>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$2.3 million and $1.2 million for the three months ended September 30, 2018 and 2017, respectively. Research and development costs totaled $5.2 million and $2.9 million for the nine months ended September 30, 2018 and 2017, respectively.</w:t>
      </w:r>
    </w:p>
    <w:p>
      <w:pPr>
        <w:spacing w:after="0" w:line="17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$0.1 million for each of the three months ended September 30, 2018 and 2017 and $0.2 million for each of the nine months ended September 30, 2018 and 2017,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0" w:firstLine="518"/>
        <w:spacing w:after="0" w:line="342"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60" w:firstLine="761"/>
        <w:spacing w:after="0" w:line="277" w:lineRule="auto"/>
        <w:rPr>
          <w:sz w:val="20"/>
          <w:szCs w:val="20"/>
          <w:color w:val="auto"/>
        </w:rPr>
      </w:pPr>
      <w:r>
        <w:rPr>
          <w:rFonts w:ascii="Arial" w:cs="Arial" w:eastAsia="Arial" w:hAnsi="Arial"/>
          <w:sz w:val="18"/>
          <w:szCs w:val="18"/>
          <w:color w:val="auto"/>
        </w:rPr>
        <w:t xml:space="preserve">In August 2018, the FASB issued Accounting Standards Update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which eliminates, adds and modifies certain disclosure requirements for fair value measurements. The modified standard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9" w:name="page10"/>
    <w:bookmarkEnd w:id="9"/>
    <w:p>
      <w:pPr>
        <w:spacing w:after="0" w:line="255" w:lineRule="auto"/>
        <w:rPr>
          <w:sz w:val="20"/>
          <w:szCs w:val="20"/>
          <w:color w:val="auto"/>
        </w:rPr>
      </w:pPr>
      <w:r>
        <w:rPr>
          <w:rFonts w:ascii="Arial" w:cs="Arial" w:eastAsia="Arial" w:hAnsi="Arial"/>
          <w:sz w:val="18"/>
          <w:szCs w:val="18"/>
          <w:color w:val="auto"/>
        </w:rPr>
        <w:t>eliminates the requirement to disclose changes in unrealized gains and losses included in earnings for recurring Level 3 fair value measurements and requires changes in unrealized gains and losses be included in other comprehensive income for recurring Level 3 fair value measurements of instruments. The standard also requires the disclosure of the range and weighted average used to develop significant unobservable inputs and how weighted average is calculate for recurring and nonrecurring Level 3 fair value measurements. The amendment is effective for fiscal years beginning after December 15, 2019 and interim periods within that fiscal year with early adoption permitted. We do not expect the standard to have a material impact on our consolidated financial statements.</w:t>
      </w:r>
    </w:p>
    <w:p>
      <w:pPr>
        <w:spacing w:after="0" w:line="85" w:lineRule="exact"/>
        <w:rPr>
          <w:sz w:val="20"/>
          <w:szCs w:val="20"/>
          <w:color w:val="auto"/>
        </w:rPr>
      </w:pPr>
    </w:p>
    <w:p>
      <w:pPr>
        <w:ind w:right="100" w:firstLine="761"/>
        <w:spacing w:after="0" w:line="257" w:lineRule="auto"/>
        <w:rPr>
          <w:sz w:val="20"/>
          <w:szCs w:val="20"/>
          <w:color w:val="auto"/>
        </w:rPr>
      </w:pPr>
      <w:r>
        <w:rPr>
          <w:rFonts w:ascii="Arial" w:cs="Arial" w:eastAsia="Arial" w:hAnsi="Arial"/>
          <w:sz w:val="18"/>
          <w:szCs w:val="18"/>
          <w:color w:val="auto"/>
        </w:rPr>
        <w:t>In February 2016, the FASB issued ASU 2016-02, Leases, which introduces the recognition of lease assets and lease liabilities by lessees for those leases classified as operating leases under previous guidance. The new standard establishes a right-of-use (ROU) model that requires a lessee to record an ROU asset and a lease liability on the balance sheet for all leases with terms longer than 12 months. The new standard is effective for fiscal years beginning after December 15, 2018 and interim periods within those fiscal years with early adoption permitted. We are evaluating the impact the adoption of this standard will have on our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right="60" w:firstLine="678"/>
        <w:spacing w:after="0" w:line="273" w:lineRule="auto"/>
        <w:rPr>
          <w:sz w:val="20"/>
          <w:szCs w:val="20"/>
          <w:color w:val="auto"/>
        </w:rPr>
      </w:pPr>
      <w:r>
        <w:rPr>
          <w:rFonts w:ascii="Arial" w:cs="Arial" w:eastAsia="Arial" w:hAnsi="Arial"/>
          <w:sz w:val="17"/>
          <w:szCs w:val="17"/>
          <w:color w:val="auto"/>
        </w:rPr>
        <w:t>Revenues consist mainly of research and development services performed under a contract with a customer. The Company evaluates the separate performance obligation(s) under each contract, allocates the transaction price to each performance obligation considering the estimated stand-alone selling prices of the services and recognizes revenue upon the satisfaction of such obligations over time or at a point in time dependent on the satisfaction of one of the following criteria: (1) the customer simultaneously receives and consumes the economic benefits provided by the vendor’s performance (2) the vendor creates or enhances an asset controlled by the customer (3) the vendor’s performance does not create an asset for which the vendor has an alternative use, and the vendor has an enforceable right to payment for performance completed to date.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right="60" w:firstLine="678"/>
        <w:spacing w:after="0" w:line="270" w:lineRule="auto"/>
        <w:rPr>
          <w:sz w:val="20"/>
          <w:szCs w:val="20"/>
          <w:color w:val="auto"/>
        </w:rPr>
      </w:pPr>
      <w:r>
        <w:rPr>
          <w:rFonts w:ascii="Arial" w:cs="Arial" w:eastAsia="Arial" w:hAnsi="Arial"/>
          <w:sz w:val="17"/>
          <w:szCs w:val="17"/>
          <w:color w:val="auto"/>
        </w:rPr>
        <w:t>In October 2011, the Company entered into a collaboration agreement with Kissei Pharmaceutical Co., Ltd., (“Kissei”), to perform research and development services relating to MN-221 in exchange for a non-refundable upfront payment of $2.5 million. Under the terms of the agreement, the Company is responsible for all costs to be incurred in the performance of these services. The Company assessed the services in accordance with the authoritative guidance and concluded that the two studies to be performed under the agreement represented two separate performance obligations. The transaction price was allocated among the two studies that were deemed separate performance obligations based on the expected costs to be incurred for each obligation. Revenue is recognized proportional to the total costs expected for each performance obligation as incurred over the service period. The first study was completed in 2013 and the timing of the second study is undetermined as of September 30, 2018. The amount received from Kissei and allocated, net of the amount recorded as revenue, is included on the balance sheet as long-term deferred revenue and will be recognized as revenue as the remaining performance obligation is satisfied. No revenue was recognized for the three and nine months ended September 30, 2018 and 2017 in connection with the collaboration agreement with Kissei.</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31" w:lineRule="exact"/>
        <w:rPr>
          <w:sz w:val="20"/>
          <w:szCs w:val="20"/>
          <w:color w:val="auto"/>
        </w:rPr>
      </w:pPr>
    </w:p>
    <w:p>
      <w:pPr>
        <w:ind w:left="1240" w:right="1000" w:hanging="647"/>
        <w:spacing w:after="0" w:line="277" w:lineRule="auto"/>
        <w:rPr>
          <w:sz w:val="20"/>
          <w:szCs w:val="20"/>
          <w:color w:val="auto"/>
        </w:rPr>
      </w:pPr>
      <w:r>
        <w:rPr>
          <w:rFonts w:ascii="Arial" w:cs="Arial" w:eastAsia="Arial" w:hAnsi="Arial"/>
          <w:sz w:val="18"/>
          <w:szCs w:val="18"/>
          <w:color w:val="auto"/>
        </w:rPr>
        <w:t>Level 2: Inputs are quoted prices for similar items in active markets or quoted prices for identical or similar items in markets that are not active near the measurement date; and</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3: Unobservable inputs due to little or no market data, which require the reporting entity to develop its own assumptions.</w:t>
      </w:r>
    </w:p>
    <w:p>
      <w:pPr>
        <w:spacing w:after="0" w:line="225"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Cash and cash equivalents, including money market accounts of $674,057 and $666,265 measured at fair value as of September 30, 2018 and December 31, 2017, respectively, are classified within Level 1 of the fair value hierarchy.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Joint Venture</w:t>
      </w:r>
    </w:p>
    <w:p>
      <w:pPr>
        <w:spacing w:after="0" w:line="121" w:lineRule="exact"/>
        <w:rPr>
          <w:sz w:val="20"/>
          <w:szCs w:val="20"/>
          <w:color w:val="auto"/>
        </w:rPr>
      </w:pPr>
    </w:p>
    <w:p>
      <w:pPr>
        <w:ind w:right="800" w:firstLine="650"/>
        <w:spacing w:after="0" w:line="277" w:lineRule="auto"/>
        <w:rPr>
          <w:sz w:val="20"/>
          <w:szCs w:val="20"/>
          <w:color w:val="auto"/>
        </w:rPr>
      </w:pPr>
      <w:r>
        <w:rPr>
          <w:rFonts w:ascii="Arial" w:cs="Arial" w:eastAsia="Arial" w:hAnsi="Arial"/>
          <w:sz w:val="18"/>
          <w:szCs w:val="18"/>
          <w:color w:val="auto"/>
        </w:rPr>
        <w:t>The Company entered into an agreement to form a joint venture company with Zhejiang Medicine Co., Ltd. and Beijing Medfron Medical Technologies Co., Ltd. (formerly Beijing Make-Friend Medicine Technology Co., Ltd.) effective September 27,</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 w:name="page11"/>
    <w:bookmarkEnd w:id="10"/>
    <w:p>
      <w:pPr>
        <w:jc w:val="both"/>
        <w:ind w:right="40"/>
        <w:spacing w:after="0" w:line="286" w:lineRule="auto"/>
        <w:rPr>
          <w:sz w:val="20"/>
          <w:szCs w:val="20"/>
          <w:color w:val="auto"/>
        </w:rPr>
      </w:pPr>
      <w:r>
        <w:rPr>
          <w:rFonts w:ascii="Arial" w:cs="Arial" w:eastAsia="Arial" w:hAnsi="Arial"/>
          <w:sz w:val="17"/>
          <w:szCs w:val="17"/>
          <w:color w:val="auto"/>
        </w:rPr>
        <w:t>2011. In August 2014, the Chinese government approved the amendment to the joint venture agreement to allow for the departure of Zhejiang Medicine Co., Ltd. The amended joint venture agreement provided for the joint venture company, Zhejiang Sunmy Bio-Medical Co., Ltd. (Zhejiang Sunmy), to develop and commercialize MN-221 in China and pursue additional compounds to develop, each with a 50% interest in Zhejiang Sunmy.</w:t>
      </w:r>
    </w:p>
    <w:p>
      <w:pPr>
        <w:spacing w:after="0" w:line="166"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Zhejiang Sunmy was a variable interest entity for which the Company was not the primary beneficiary as the Company did not have a majority of the board seats and did not have power to direct or significantly influence the actions of the entity. The activities of Zhejiang Sunmy were accounted for under the equity method whereby the Company absorbed any loss or income generated by Zhejiang Sunmy according to the Company’s percentage ownership.</w:t>
      </w:r>
    </w:p>
    <w:p>
      <w:pPr>
        <w:spacing w:after="0" w:line="160" w:lineRule="exact"/>
        <w:rPr>
          <w:sz w:val="20"/>
          <w:szCs w:val="20"/>
          <w:color w:val="auto"/>
        </w:rPr>
      </w:pPr>
    </w:p>
    <w:p>
      <w:pPr>
        <w:ind w:right="100" w:firstLine="650"/>
        <w:spacing w:after="0" w:line="302" w:lineRule="auto"/>
        <w:rPr>
          <w:sz w:val="20"/>
          <w:szCs w:val="20"/>
          <w:color w:val="auto"/>
        </w:rPr>
      </w:pPr>
      <w:r>
        <w:rPr>
          <w:rFonts w:ascii="Arial" w:cs="Arial" w:eastAsia="Arial" w:hAnsi="Arial"/>
          <w:sz w:val="16"/>
          <w:szCs w:val="16"/>
          <w:color w:val="auto"/>
        </w:rPr>
        <w:t>On July 24, 2017, the Company and Beijing Medfron Medical Technologies Co., Ltd. agreed to dissolve Zhejiang Sunmy, subject to approval by applicable Chinese regulatory authorities which was granted on December 11, 2017. At December 31, 2017, the Company reflected a long-term asset on the Company’s consolidated balance sheet which represented the Company’s investment in Zhejiang Sunmy, net of the Company’s portion of any generated loss or income. In April 2018, the Company received proceeds of $0.6 million from the dissolution of the joint venture and liquidation of its investment.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60" w:firstLine="518"/>
        <w:spacing w:after="0" w:line="289" w:lineRule="auto"/>
        <w:rPr>
          <w:sz w:val="20"/>
          <w:szCs w:val="20"/>
          <w:color w:val="auto"/>
        </w:rPr>
      </w:pPr>
      <w:r>
        <w:rPr>
          <w:rFonts w:ascii="Arial" w:cs="Arial" w:eastAsia="Arial" w:hAnsi="Arial"/>
          <w:sz w:val="16"/>
          <w:szCs w:val="16"/>
          <w:color w:val="auto"/>
        </w:rPr>
        <w:t>In June 2013, the Company adopted the 2013 Equity Incentive Plan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(2004 Plan). A total of 5,200,000 shares of common stock are reserved for issuance under the 2013 Plan.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September 30, 2018, 1,494,592 shares remain available for future grants under the 2013 Plan.</w:t>
      </w:r>
    </w:p>
    <w:p>
      <w:pPr>
        <w:spacing w:after="0" w:line="167"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Company occasionally issues employee performance-based stock options, the vesting of which is based on a determination made by the board of directors as to the achievement of certain corporate objectives at the end of the performance period. The grant date of such awards is the date on which the board of directors makes its determination. For periods preceding the grant date, the expense related to these awards is measured based on their fair value at each reporting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Options granted under the 2013 Plan and the 2004 Plan have terms of ten years from the date of grant and generally vest over a three or four year period. The exercise price of all options granted through September 30, 2018 and in 2017, was equal to the market value of the Company’s common stock on the date of grant.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related information as of September 30, 2018 is as follows:</w:t>
      </w:r>
    </w:p>
    <w:p>
      <w:pPr>
        <w:spacing w:after="0" w:line="218" w:lineRule="exact"/>
        <w:rPr>
          <w:sz w:val="20"/>
          <w:szCs w:val="20"/>
          <w:color w:val="auto"/>
        </w:rPr>
      </w:pPr>
    </w:p>
    <w:tbl>
      <w:tblPr>
        <w:tblLayout w:type="fixed"/>
        <w:tblInd w:w="1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4"/>
                <w:szCs w:val="14"/>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Option 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5,514,038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1,222,000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(125,391)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Cancelled</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2018</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6,609,647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Exercisable at September 30, 2018</w:t>
            </w: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5,367,313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During the nine months ended September 30, 2018 and 2017, 125,391 and 36,512 options were exercised, from which the Company received gross proceeds of $0.4 million and $0.1 million, respectively.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0" w:firstLine="518"/>
        <w:spacing w:after="0" w:line="273" w:lineRule="auto"/>
        <w:rPr>
          <w:sz w:val="20"/>
          <w:szCs w:val="20"/>
          <w:color w:val="auto"/>
        </w:rPr>
      </w:pPr>
      <w:r>
        <w:rPr>
          <w:rFonts w:ascii="Arial" w:cs="Arial" w:eastAsia="Arial" w:hAnsi="Arial"/>
          <w:sz w:val="17"/>
          <w:szCs w:val="17"/>
          <w:color w:val="auto"/>
        </w:rPr>
        <w:t>Under the Company’s 2007 Employee Stock Purchase Plan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 included in the Company’s statement of operations.</w:t>
      </w:r>
    </w:p>
    <w:p>
      <w:pPr>
        <w:spacing w:after="0" w:line="178"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For the nine months ended September 30, 2018, an aggregate of 7,094 shares were issued under the ESPP. As of September 30, 2018, there were 191,878 shares available for future issuance under the ESPP.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Stock-based compensation expense for stock option awards and ESPP shares are reflected in total operating expenses for each respective year. For the three months ended September 30, 2018 and 2017, stock-based compensation expense related to stock options and the ESPP was $4.7 million and $1.5 million, respectively.</w:t>
      </w:r>
    </w:p>
    <w:p>
      <w:pPr>
        <w:spacing w:after="0" w:line="73"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For the nine months ended September 30, 2018 and 2017, stock-based compensation expense related to stock options and the ESPP was $8.1 million and $3.5 million, respectively.</w:t>
      </w:r>
    </w:p>
    <w:p>
      <w:pPr>
        <w:spacing w:after="0" w:line="170"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Company uses the Black-Scholes valuation model for determining the estimated fair value for stock-based awards granted to employees. The following table provides the assumptions for stock option grants used in the Black-Scholes valuation model used to estimate the fair value of options granted during the nine months ended September 30, 2018 and 2017, and to estimate the fair value of performance-based stock options as of September 30, 2018 and 2017.</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3040" w:type="dxa"/>
            <w:vAlign w:val="bottom"/>
            <w:gridSpan w:val="2"/>
          </w:tcPr>
          <w:p>
            <w:pPr>
              <w:ind w:left="720"/>
              <w:spacing w:after="0"/>
              <w:rPr>
                <w:sz w:val="20"/>
                <w:szCs w:val="20"/>
                <w:color w:val="auto"/>
              </w:rPr>
            </w:pPr>
            <w:r>
              <w:rPr>
                <w:rFonts w:ascii="Arial" w:cs="Arial" w:eastAsia="Arial" w:hAnsi="Arial"/>
                <w:sz w:val="14"/>
                <w:szCs w:val="14"/>
                <w:b w:val="1"/>
                <w:bCs w:val="1"/>
                <w:color w:val="auto"/>
              </w:rPr>
              <w:t>Nine months ended</w:t>
            </w:r>
          </w:p>
        </w:tc>
        <w:tc>
          <w:tcPr>
            <w:tcW w:w="2720" w:type="dxa"/>
            <w:vAlign w:val="bottom"/>
            <w:gridSpan w:val="2"/>
          </w:tcPr>
          <w:p>
            <w:pPr>
              <w:ind w:left="7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660" w:type="dxa"/>
            <w:vAlign w:val="bottom"/>
          </w:tcPr>
          <w:p>
            <w:pPr>
              <w:spacing w:after="0"/>
              <w:rPr>
                <w:sz w:val="14"/>
                <w:szCs w:val="14"/>
                <w:color w:val="auto"/>
              </w:rPr>
            </w:pPr>
          </w:p>
        </w:tc>
        <w:tc>
          <w:tcPr>
            <w:tcW w:w="3040" w:type="dxa"/>
            <w:vAlign w:val="bottom"/>
            <w:gridSpan w:val="2"/>
          </w:tcPr>
          <w:p>
            <w:pPr>
              <w:ind w:left="700"/>
              <w:spacing w:after="0"/>
              <w:rPr>
                <w:sz w:val="20"/>
                <w:szCs w:val="20"/>
                <w:color w:val="auto"/>
              </w:rPr>
            </w:pPr>
            <w:r>
              <w:rPr>
                <w:rFonts w:ascii="Arial" w:cs="Arial" w:eastAsia="Arial" w:hAnsi="Arial"/>
                <w:sz w:val="14"/>
                <w:szCs w:val="14"/>
                <w:b w:val="1"/>
                <w:bCs w:val="1"/>
                <w:color w:val="auto"/>
              </w:rPr>
              <w:t>September 30, 2018</w:t>
            </w:r>
          </w:p>
        </w:tc>
        <w:tc>
          <w:tcPr>
            <w:tcW w:w="2720" w:type="dxa"/>
            <w:vAlign w:val="bottom"/>
            <w:gridSpan w:val="2"/>
          </w:tcPr>
          <w:p>
            <w:pPr>
              <w:ind w:left="700"/>
              <w:spacing w:after="0"/>
              <w:rPr>
                <w:sz w:val="20"/>
                <w:szCs w:val="20"/>
                <w:color w:val="auto"/>
              </w:rPr>
            </w:pPr>
            <w:r>
              <w:rPr>
                <w:rFonts w:ascii="Arial" w:cs="Arial" w:eastAsia="Arial" w:hAnsi="Arial"/>
                <w:sz w:val="14"/>
                <w:szCs w:val="14"/>
                <w:b w:val="1"/>
                <w:bCs w:val="1"/>
                <w:color w:val="auto"/>
              </w:rPr>
              <w:t>September 30, 2017</w:t>
            </w: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 assumptions:</w:t>
            </w:r>
          </w:p>
        </w:tc>
        <w:tc>
          <w:tcPr>
            <w:tcW w:w="26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2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2.77 - 2.94%</w:t>
            </w:r>
          </w:p>
        </w:tc>
        <w:tc>
          <w:tcPr>
            <w:tcW w:w="42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1.75 - 1.92%</w:t>
            </w: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60.82 - 66.70%</w:t>
            </w:r>
          </w:p>
        </w:tc>
        <w:tc>
          <w:tcPr>
            <w:tcW w:w="420" w:type="dxa"/>
            <w:vAlign w:val="bottom"/>
            <w:shd w:val="clear" w:color="auto" w:fill="CFF0FC"/>
          </w:tcPr>
          <w:p>
            <w:pPr>
              <w:spacing w:after="0"/>
              <w:rPr>
                <w:sz w:val="19"/>
                <w:szCs w:val="19"/>
                <w:color w:val="auto"/>
              </w:rPr>
            </w:pP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65.72 - 70.93%</w:t>
            </w:r>
          </w:p>
        </w:tc>
        <w:tc>
          <w:tcPr>
            <w:tcW w:w="10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Dividend yield</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42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4.8 - 5.3</w:t>
            </w:r>
          </w:p>
        </w:tc>
        <w:tc>
          <w:tcPr>
            <w:tcW w:w="420" w:type="dxa"/>
            <w:vAlign w:val="bottom"/>
            <w:shd w:val="clear" w:color="auto" w:fill="CFF0FC"/>
          </w:tcPr>
          <w:p>
            <w:pPr>
              <w:spacing w:after="0"/>
              <w:rPr>
                <w:sz w:val="19"/>
                <w:szCs w:val="19"/>
                <w:color w:val="auto"/>
              </w:rPr>
            </w:pP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4.8 - 5.3</w:t>
            </w:r>
          </w:p>
        </w:tc>
        <w:tc>
          <w:tcPr>
            <w:tcW w:w="100" w:type="dxa"/>
            <w:vAlign w:val="bottom"/>
            <w:shd w:val="clear" w:color="auto" w:fill="CFF0FC"/>
          </w:tcPr>
          <w:p>
            <w:pPr>
              <w:spacing w:after="0"/>
              <w:rPr>
                <w:sz w:val="19"/>
                <w:szCs w:val="19"/>
                <w:color w:val="auto"/>
              </w:rPr>
            </w:pPr>
          </w:p>
        </w:tc>
      </w:tr>
      <w:tr>
        <w:trPr>
          <w:trHeight w:val="243"/>
        </w:trPr>
        <w:tc>
          <w:tcPr>
            <w:tcW w:w="5660" w:type="dxa"/>
            <w:vAlign w:val="bottom"/>
          </w:tcPr>
          <w:p>
            <w:pPr>
              <w:spacing w:after="0"/>
              <w:rPr>
                <w:sz w:val="20"/>
                <w:szCs w:val="20"/>
                <w:color w:val="auto"/>
              </w:rPr>
            </w:pPr>
            <w:r>
              <w:rPr>
                <w:rFonts w:ascii="Arial" w:cs="Arial" w:eastAsia="Arial" w:hAnsi="Arial"/>
                <w:sz w:val="18"/>
                <w:szCs w:val="18"/>
                <w:b w:val="1"/>
                <w:bCs w:val="1"/>
                <w:color w:val="auto"/>
              </w:rPr>
              <w:t>ESPP assumptions:</w:t>
            </w:r>
          </w:p>
        </w:tc>
        <w:tc>
          <w:tcPr>
            <w:tcW w:w="26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1.92%</w:t>
            </w:r>
          </w:p>
        </w:tc>
        <w:tc>
          <w:tcPr>
            <w:tcW w:w="420" w:type="dxa"/>
            <w:vAlign w:val="bottom"/>
            <w:shd w:val="clear" w:color="auto" w:fill="CFF0FC"/>
          </w:tcPr>
          <w:p>
            <w:pPr>
              <w:spacing w:after="0"/>
              <w:rPr>
                <w:sz w:val="19"/>
                <w:szCs w:val="19"/>
                <w:color w:val="auto"/>
              </w:rPr>
            </w:pP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0.92%</w:t>
            </w:r>
          </w:p>
        </w:tc>
        <w:tc>
          <w:tcPr>
            <w:tcW w:w="10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76.8%</w:t>
            </w:r>
          </w:p>
        </w:tc>
        <w:tc>
          <w:tcPr>
            <w:tcW w:w="42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34.9%</w:t>
            </w:r>
          </w:p>
        </w:tc>
        <w:tc>
          <w:tcPr>
            <w:tcW w:w="10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420" w:type="dxa"/>
            <w:vAlign w:val="bottom"/>
            <w:shd w:val="clear" w:color="auto" w:fill="CFF0FC"/>
          </w:tcPr>
          <w:p>
            <w:pPr>
              <w:spacing w:after="0"/>
              <w:rPr>
                <w:sz w:val="19"/>
                <w:szCs w:val="19"/>
                <w:color w:val="auto"/>
              </w:rPr>
            </w:pP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100" w:type="dxa"/>
            <w:vAlign w:val="bottom"/>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620" w:type="dxa"/>
            <w:vAlign w:val="bottom"/>
          </w:tcPr>
          <w:p>
            <w:pPr>
              <w:jc w:val="right"/>
              <w:ind w:right="1054"/>
              <w:spacing w:after="0"/>
              <w:rPr>
                <w:sz w:val="20"/>
                <w:szCs w:val="20"/>
                <w:color w:val="auto"/>
              </w:rPr>
            </w:pPr>
            <w:r>
              <w:rPr>
                <w:rFonts w:ascii="Arial" w:cs="Arial" w:eastAsia="Arial" w:hAnsi="Arial"/>
                <w:sz w:val="18"/>
                <w:szCs w:val="18"/>
                <w:color w:val="auto"/>
              </w:rPr>
              <w:t>0.5</w:t>
            </w:r>
          </w:p>
        </w:tc>
        <w:tc>
          <w:tcPr>
            <w:tcW w:w="420" w:type="dxa"/>
            <w:vAlign w:val="bottom"/>
          </w:tcPr>
          <w:p>
            <w:pPr>
              <w:spacing w:after="0"/>
              <w:rPr>
                <w:sz w:val="20"/>
                <w:szCs w:val="20"/>
                <w:color w:val="auto"/>
              </w:rPr>
            </w:pPr>
          </w:p>
        </w:tc>
        <w:tc>
          <w:tcPr>
            <w:tcW w:w="2620" w:type="dxa"/>
            <w:vAlign w:val="bottom"/>
          </w:tcPr>
          <w:p>
            <w:pPr>
              <w:jc w:val="right"/>
              <w:ind w:right="107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right="160" w:firstLine="518"/>
        <w:spacing w:after="0" w:line="258" w:lineRule="auto"/>
        <w:rPr>
          <w:sz w:val="20"/>
          <w:szCs w:val="20"/>
          <w:color w:val="auto"/>
        </w:rPr>
      </w:pPr>
      <w:r>
        <w:rPr>
          <w:rFonts w:ascii="Arial" w:cs="Arial" w:eastAsia="Arial" w:hAnsi="Arial"/>
          <w:sz w:val="18"/>
          <w:szCs w:val="18"/>
          <w:color w:val="auto"/>
        </w:rPr>
        <w:t>As of September 30, 2018, there was $2.9 million of unamortized compensation cost related to unvested stock option awards which is expected to be recognized over a remaining weighted-average vesting period of 0.29 years, on a straight-line basis.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Agreements</w:t>
      </w:r>
    </w:p>
    <w:p>
      <w:pPr>
        <w:spacing w:after="0" w:line="117"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On May 22, 2015, the Company entered into an at-the-market issuance sales agreement (the “ATM Agreement”) with MLV &amp; Co. LLC (MLV), pursuant to which the Company may sell common stock through MLV from time to time up to an aggregate offering price of $30.0 million. Sales of the Company’s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the Company’s prior approval. The Company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jc w:val="both"/>
        <w:ind w:right="120" w:firstLine="518"/>
        <w:spacing w:after="0" w:line="264" w:lineRule="auto"/>
        <w:rPr>
          <w:sz w:val="20"/>
          <w:szCs w:val="20"/>
          <w:color w:val="auto"/>
        </w:rPr>
      </w:pPr>
      <w:r>
        <w:rPr>
          <w:rFonts w:ascii="Arial" w:cs="Arial" w:eastAsia="Arial" w:hAnsi="Arial"/>
          <w:sz w:val="18"/>
          <w:szCs w:val="18"/>
          <w:color w:val="auto"/>
        </w:rPr>
        <w:t>The Company is not obligated to make any sales of common stock under the sales agreement and may terminate the sales agreement at any time upon written notice. On September 16, 2016, the Company amended the original sales agreement with MLV to also include FBR Capital Markets &amp; Co. as a sales agent.</w:t>
      </w:r>
    </w:p>
    <w:p>
      <w:pPr>
        <w:spacing w:after="0" w:line="181" w:lineRule="exact"/>
        <w:rPr>
          <w:sz w:val="20"/>
          <w:szCs w:val="20"/>
          <w:color w:val="auto"/>
        </w:rPr>
      </w:pPr>
    </w:p>
    <w:p>
      <w:pPr>
        <w:jc w:val="both"/>
        <w:ind w:right="80" w:firstLine="563"/>
        <w:spacing w:after="0" w:line="264" w:lineRule="auto"/>
        <w:rPr>
          <w:sz w:val="20"/>
          <w:szCs w:val="20"/>
          <w:color w:val="auto"/>
        </w:rPr>
      </w:pPr>
      <w:r>
        <w:rPr>
          <w:rFonts w:ascii="Arial" w:cs="Arial" w:eastAsia="Arial" w:hAnsi="Arial"/>
          <w:sz w:val="18"/>
          <w:szCs w:val="18"/>
          <w:color w:val="auto"/>
        </w:rPr>
        <w:t>No shares of common stock were sold under this agreement in the nine months ended September 30, 2018. For the nine months ended September 30, 2017, the Company generated gross proceeds of $6.4 million and incurred issuance costs of $0.3 million under this agreement on sales of 1,096,922 shares of the Company’s common stock at a weighted average price of $5.79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w:t>
      </w:r>
    </w:p>
    <w:p>
      <w:pPr>
        <w:spacing w:after="0" w:line="117" w:lineRule="exact"/>
        <w:rPr>
          <w:sz w:val="20"/>
          <w:szCs w:val="20"/>
          <w:color w:val="auto"/>
        </w:rPr>
      </w:pPr>
    </w:p>
    <w:p>
      <w:pPr>
        <w:ind w:right="280" w:firstLine="761"/>
        <w:spacing w:after="0" w:line="297" w:lineRule="auto"/>
        <w:rPr>
          <w:sz w:val="20"/>
          <w:szCs w:val="20"/>
          <w:color w:val="auto"/>
        </w:rPr>
      </w:pPr>
      <w:r>
        <w:rPr>
          <w:rFonts w:ascii="Arial" w:cs="Arial" w:eastAsia="Arial" w:hAnsi="Arial"/>
          <w:sz w:val="16"/>
          <w:szCs w:val="16"/>
          <w:color w:val="auto"/>
        </w:rPr>
        <w:t>On February 12, 2018, the Company completed a firm-commitment underwritten public offering of 4,419,890 shares of common stock at a purchase price of $9.05 per share for aggregate gross proceeds of $40.0 million and received aggregate net proceeds of approximately $37.4 million, net of underwriting discounts and commissions and offering expenses. Additionally, the Company granted the underwriters a 30-day option to purchase up to an additional 662,983 shares of commons stock at the public offering price, and on February 21, 2018, the Company sold an additional 126,038 shares of Common Stock for gross proceeds of $1.1 million pursuant to the partial exercise by the underwriters of their over-allotment option.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Net Loss Per Share</w:t>
      </w:r>
    </w:p>
    <w:p>
      <w:pPr>
        <w:spacing w:after="0" w:line="121"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and warrants. Common share equivalents are excluded from the diluted net loss per share calculation if their effect is anti-dilutive.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potentially dilutive outstanding securities were excluded from diluted net loss per common share because of their anti-dilutive effect:</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7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4"/>
                <w:szCs w:val="14"/>
                <w:color w:val="auto"/>
              </w:rPr>
            </w:pPr>
          </w:p>
        </w:tc>
        <w:tc>
          <w:tcPr>
            <w:tcW w:w="3200" w:type="dxa"/>
            <w:vAlign w:val="bottom"/>
          </w:tcPr>
          <w:p>
            <w:pPr>
              <w:spacing w:after="0"/>
              <w:rPr>
                <w:sz w:val="14"/>
                <w:szCs w:val="14"/>
                <w:color w:val="auto"/>
              </w:rPr>
            </w:pPr>
          </w:p>
        </w:tc>
      </w:tr>
      <w:tr>
        <w:trPr>
          <w:trHeight w:val="156"/>
        </w:trPr>
        <w:tc>
          <w:tcPr>
            <w:tcW w:w="3180" w:type="dxa"/>
            <w:vAlign w:val="bottom"/>
          </w:tcPr>
          <w:p>
            <w:pPr>
              <w:spacing w:after="0"/>
              <w:rPr>
                <w:sz w:val="13"/>
                <w:szCs w:val="13"/>
                <w:color w:val="auto"/>
              </w:rPr>
            </w:pPr>
          </w:p>
        </w:tc>
        <w:tc>
          <w:tcPr>
            <w:tcW w:w="228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2017</w:t>
            </w:r>
          </w:p>
        </w:tc>
        <w:tc>
          <w:tcPr>
            <w:tcW w:w="3200" w:type="dxa"/>
            <w:vAlign w:val="bottom"/>
          </w:tcPr>
          <w:p>
            <w:pPr>
              <w:spacing w:after="0"/>
              <w:rPr>
                <w:sz w:val="13"/>
                <w:szCs w:val="13"/>
                <w:color w:val="auto"/>
              </w:rPr>
            </w:pPr>
          </w:p>
        </w:tc>
      </w:tr>
      <w:tr>
        <w:trPr>
          <w:trHeight w:val="237"/>
        </w:trPr>
        <w:tc>
          <w:tcPr>
            <w:tcW w:w="3180" w:type="dxa"/>
            <w:vAlign w:val="bottom"/>
          </w:tcPr>
          <w:p>
            <w:pPr>
              <w:spacing w:after="0"/>
              <w:rPr>
                <w:sz w:val="20"/>
                <w:szCs w:val="20"/>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6,609,647</w:t>
            </w:r>
          </w:p>
        </w:tc>
        <w:tc>
          <w:tcPr>
            <w:tcW w:w="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5,548,105</w:t>
            </w:r>
          </w:p>
        </w:tc>
        <w:tc>
          <w:tcPr>
            <w:tcW w:w="3200" w:type="dxa"/>
            <w:vAlign w:val="bottom"/>
          </w:tcPr>
          <w:p>
            <w:pPr>
              <w:spacing w:after="0"/>
              <w:rPr>
                <w:sz w:val="20"/>
                <w:szCs w:val="20"/>
                <w:color w:val="auto"/>
              </w:rPr>
            </w:pPr>
          </w:p>
        </w:tc>
      </w:tr>
      <w:tr>
        <w:trPr>
          <w:trHeight w:val="257"/>
        </w:trPr>
        <w:tc>
          <w:tcPr>
            <w:tcW w:w="3180" w:type="dxa"/>
            <w:vAlign w:val="bottom"/>
          </w:tcPr>
          <w:p>
            <w:pPr>
              <w:spacing w:after="0"/>
              <w:rPr>
                <w:sz w:val="22"/>
                <w:szCs w:val="22"/>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Warrants</w:t>
            </w:r>
          </w:p>
        </w:tc>
        <w:tc>
          <w:tcPr>
            <w:tcW w:w="1700" w:type="dxa"/>
            <w:vAlign w:val="bottom"/>
            <w:gridSpan w:val="3"/>
          </w:tcPr>
          <w:p>
            <w:pPr>
              <w:jc w:val="right"/>
              <w:ind w:right="66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869,047</w:t>
            </w:r>
          </w:p>
        </w:tc>
        <w:tc>
          <w:tcPr>
            <w:tcW w:w="3200" w:type="dxa"/>
            <w:vAlign w:val="bottom"/>
          </w:tcPr>
          <w:p>
            <w:pPr>
              <w:spacing w:after="0"/>
              <w:rPr>
                <w:sz w:val="22"/>
                <w:szCs w:val="22"/>
                <w:color w:val="auto"/>
              </w:rPr>
            </w:pPr>
          </w:p>
        </w:tc>
      </w:tr>
      <w:tr>
        <w:trPr>
          <w:trHeight w:val="223"/>
        </w:trPr>
        <w:tc>
          <w:tcPr>
            <w:tcW w:w="3180" w:type="dxa"/>
            <w:vAlign w:val="bottom"/>
          </w:tcPr>
          <w:p>
            <w:pPr>
              <w:spacing w:after="0"/>
              <w:rPr>
                <w:sz w:val="19"/>
                <w:szCs w:val="19"/>
                <w:color w:val="auto"/>
              </w:rPr>
            </w:pPr>
          </w:p>
        </w:tc>
        <w:tc>
          <w:tcPr>
            <w:tcW w:w="2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6,609,647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6,417,152</w:t>
            </w:r>
          </w:p>
        </w:tc>
        <w:tc>
          <w:tcPr>
            <w:tcW w:w="3200" w:type="dxa"/>
            <w:vAlign w:val="bottom"/>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872"/>
        </w:trPr>
        <w:tc>
          <w:tcPr>
            <w:tcW w:w="3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120" w:type="dxa"/>
            <w:vAlign w:val="bottom"/>
          </w:tcPr>
          <w:p>
            <w:pPr>
              <w:jc w:val="right"/>
              <w:ind w:right="699"/>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15"/>
        </w:trPr>
        <w:tc>
          <w:tcPr>
            <w:tcW w:w="31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3" w:name="page14"/>
    <w:bookmarkEnd w:id="13"/>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2017 included in our Annual Report on Form 10-K filed with the Securities and Exchange Commission, or SEC, on February 13, 2018. Past operating results are not necessarily indicative of results that may occur in future periods.</w:t>
      </w:r>
    </w:p>
    <w:p>
      <w:pPr>
        <w:spacing w:after="0" w:line="17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are a biopharmaceutical company focused on acquiring and developing novel, small molecule therapeutics for the treatment of serious diseases with unmet medical needs and a commercial focus on the U.S. market. Our current strategy is to focus our development activities on MN-166 (ibudilast) for neurological disorders such as progressive multiple sclerosis (MS), amyotrophic lateral sclerosis (ALS), chemotherapy-induced peripheral neuropathy, degenerative cervical myelopathy, glioblastoma, and substance dependence and addiction (e.g., methamphetamine dependence, opioid dependence, and alcohol dependence), and MN-001 (tipelukast) for fibrotic diseases such as nonalcoholic steatohepatitis (NASH) and idiopathic pulmonary fibrosis (IPF). Our pipeline also includes MN-221 (bedoradrine) for the treatment of acute exacerbation of asthma and MN-029 (denibulin) for solid tumor cancers. We were incorporated in Delaware in September 2000.</w:t>
      </w:r>
    </w:p>
    <w:p>
      <w:pPr>
        <w:spacing w:after="0" w:line="189"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We have incurred significant net losses since our inception. As of September 30, 2018, we had an accumulated deficit of $355.9 million and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4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62" w:lineRule="exact"/>
        <w:rPr>
          <w:sz w:val="20"/>
          <w:szCs w:val="20"/>
          <w:color w:val="auto"/>
        </w:rPr>
      </w:pPr>
    </w:p>
    <w:p>
      <w:pPr>
        <w:ind w:left="1040" w:hanging="519"/>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225" w:lineRule="exact"/>
        <w:rPr>
          <w:rFonts w:ascii="Arial" w:cs="Arial" w:eastAsia="Arial" w:hAnsi="Arial"/>
          <w:sz w:val="18"/>
          <w:szCs w:val="18"/>
          <w:color w:val="auto"/>
        </w:rPr>
      </w:pPr>
    </w:p>
    <w:p>
      <w:pPr>
        <w:ind w:left="1040" w:right="40"/>
        <w:spacing w:after="0" w:line="255" w:lineRule="auto"/>
        <w:rPr>
          <w:rFonts w:ascii="Arial" w:cs="Arial" w:eastAsia="Arial" w:hAnsi="Arial"/>
          <w:sz w:val="18"/>
          <w:szCs w:val="18"/>
          <w:color w:val="auto"/>
        </w:rPr>
      </w:pPr>
      <w:r>
        <w:rPr>
          <w:rFonts w:ascii="Arial" w:cs="Arial" w:eastAsia="Arial" w:hAnsi="Arial"/>
          <w:sz w:val="18"/>
          <w:szCs w:val="18"/>
          <w:color w:val="auto"/>
        </w:rPr>
        <w:t>We intend to advance our diverse MN-166 (ibudilast) program through a combination of investigator-sponsored clinical trials, trials funded through government grants or other grants, and trials funded by us. In addition to providing drug supply and regulatory support, we are funding portions of the consortium-sponsored trials. For example, we contributed financially to the Secondary and Primary Progressive Ibudilast NeuroNEXT Trial in Multiple Sclerosis (SPRINT-MS) Phase 2b clinical trial of MN-166 (ibudilast) for the treatment of progressive MS, which was primarily funded by the National Institutes of Health (“NIH”). In addition, we contributed financially to the clinical trial of MN-166 (ibudilast) for the treatment of ALS as well as the ongoing ALS / Biomarker study. We intend to pursue additional strategic alliances to help support further clinical development of MN-166 (ibudilast).</w:t>
      </w:r>
    </w:p>
    <w:p>
      <w:pPr>
        <w:spacing w:after="0" w:line="81" w:lineRule="exact"/>
        <w:rPr>
          <w:rFonts w:ascii="Arial" w:cs="Arial" w:eastAsia="Arial" w:hAnsi="Arial"/>
          <w:sz w:val="18"/>
          <w:szCs w:val="18"/>
          <w:color w:val="auto"/>
        </w:rPr>
      </w:pPr>
    </w:p>
    <w:p>
      <w:pPr>
        <w:ind w:left="1040" w:hanging="55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(tipelukast) for fibrotic diseases such as NASH and IPF.</w:t>
      </w:r>
    </w:p>
    <w:p>
      <w:pPr>
        <w:spacing w:after="0" w:line="117" w:lineRule="exact"/>
        <w:rPr>
          <w:rFonts w:ascii="Arial" w:cs="Arial" w:eastAsia="Arial" w:hAnsi="Arial"/>
          <w:sz w:val="18"/>
          <w:szCs w:val="18"/>
          <w:color w:val="auto"/>
        </w:rPr>
      </w:pPr>
    </w:p>
    <w:p>
      <w:pPr>
        <w:ind w:left="1040" w:right="40"/>
        <w:spacing w:after="0" w:line="277" w:lineRule="auto"/>
        <w:rPr>
          <w:rFonts w:ascii="Arial" w:cs="Arial" w:eastAsia="Arial" w:hAnsi="Arial"/>
          <w:sz w:val="18"/>
          <w:szCs w:val="18"/>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ind w:left="1040" w:right="76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Consider strategic partnerships with one or more leading pharmaceutical companies to complete late-stage product development and successfully commercialize our products.</w:t>
      </w:r>
    </w:p>
    <w:p>
      <w:pPr>
        <w:spacing w:after="0" w:line="170" w:lineRule="exact"/>
        <w:rPr>
          <w:rFonts w:ascii="Arial" w:cs="Arial" w:eastAsia="Arial" w:hAnsi="Arial"/>
          <w:sz w:val="18"/>
          <w:szCs w:val="18"/>
          <w:color w:val="auto"/>
        </w:rPr>
      </w:pPr>
    </w:p>
    <w:p>
      <w:pPr>
        <w:ind w:left="1060" w:right="380"/>
        <w:spacing w:after="0" w:line="259" w:lineRule="auto"/>
        <w:rPr>
          <w:rFonts w:ascii="Arial" w:cs="Arial" w:eastAsia="Arial" w:hAnsi="Arial"/>
          <w:sz w:val="18"/>
          <w:szCs w:val="18"/>
          <w:color w:val="auto"/>
        </w:rPr>
      </w:pPr>
      <w:r>
        <w:rPr>
          <w:rFonts w:ascii="Arial" w:cs="Arial" w:eastAsia="Arial" w:hAnsi="Arial"/>
          <w:sz w:val="18"/>
          <w:szCs w:val="18"/>
          <w:color w:val="auto"/>
        </w:rPr>
        <w:t>We develop and maintain relationships with pharmaceutical companies that are therapeutic category leaders. Upon completion of proof-of-concept Phase 2 clinical trials, we intend to discuss strategic alliances with leading pharmaceutical companies who seek late-stage product candidates, such as MN-166, MN-001, MN-221 and MN-029, which could support further clinical development and product commercialization.</w:t>
      </w: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17"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In October 2011, we entered into a collaboration agreement with Kissei Pharmaceutical Co., Ltd., or Kissei, to perform research and development services relating to MN-221 in exchange for a non-refundable upfront payment of $2.5 million. Under the terms of the agreement, we are responsible for all costs to be incurred in the performance of these services. The Company assessed the services in accordance with the authoritative guidance and concluded that the two studies to be performed under the agreement represented two separate performance obligations. The transaction price was allocated among the two studies that were deemed separate performance obligations based on the expected costs to be incurred for each obligation. Revenue is recognized proportional to the total costs expected for each performance obligation as incurred over the service period. The first study was completed in 2013 and the second study has not begun as of September 30, 2018. The Company expects that the study will be completed after 2018. The amount received from Kissei and allocated, net of the amount recorded as revenue, is included on the balance sheet as long-term deferred revenue and will be recognized as revenue as the remaining performance obligation is satisfied. No revenue was recognized in the three and nine months ended September 30, 2018 and 2017, in connection with the collaboration agreement with Kissei.</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 Expenses</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Our research, development and patents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patents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patents costs are expensed as incurred and we expect to increase such costs throughout 2018 as our development programs progress.</w:t>
      </w:r>
    </w:p>
    <w:p>
      <w:pPr>
        <w:spacing w:after="0" w:line="182"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following table summarizes our research, development and patents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980" w:type="dxa"/>
            <w:vAlign w:val="bottom"/>
            <w:gridSpan w:val="5"/>
          </w:tcPr>
          <w:p>
            <w:pPr>
              <w:ind w:left="240"/>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4"/>
                <w:szCs w:val="14"/>
                <w:color w:val="auto"/>
              </w:rPr>
            </w:pPr>
          </w:p>
        </w:tc>
      </w:tr>
      <w:tr>
        <w:trPr>
          <w:trHeight w:val="171"/>
        </w:trPr>
        <w:tc>
          <w:tcPr>
            <w:tcW w:w="13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56"/>
        </w:trPr>
        <w:tc>
          <w:tcPr>
            <w:tcW w:w="1300" w:type="dxa"/>
            <w:vAlign w:val="bottom"/>
          </w:tcPr>
          <w:p>
            <w:pPr>
              <w:spacing w:after="0"/>
              <w:rPr>
                <w:sz w:val="13"/>
                <w:szCs w:val="13"/>
                <w:color w:val="auto"/>
              </w:rPr>
            </w:pPr>
          </w:p>
        </w:tc>
        <w:tc>
          <w:tcPr>
            <w:tcW w:w="43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FF0FC"/>
            </w:tcBorders>
          </w:tcPr>
          <w:p>
            <w:pPr>
              <w:spacing w:after="0"/>
              <w:rPr>
                <w:sz w:val="13"/>
                <w:szCs w:val="13"/>
                <w:color w:val="auto"/>
              </w:rPr>
            </w:pPr>
          </w:p>
        </w:tc>
        <w:tc>
          <w:tcPr>
            <w:tcW w:w="1320" w:type="dxa"/>
            <w:vAlign w:val="bottom"/>
          </w:tcPr>
          <w:p>
            <w:pPr>
              <w:spacing w:after="0"/>
              <w:rPr>
                <w:sz w:val="13"/>
                <w:szCs w:val="13"/>
                <w:color w:val="auto"/>
              </w:rPr>
            </w:pPr>
          </w:p>
        </w:tc>
      </w:tr>
      <w:tr>
        <w:trPr>
          <w:trHeight w:val="223"/>
        </w:trPr>
        <w:tc>
          <w:tcPr>
            <w:tcW w:w="130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320" w:type="dxa"/>
            <w:vAlign w:val="bottom"/>
          </w:tcPr>
          <w:p>
            <w:pPr>
              <w:ind w:left="380"/>
              <w:spacing w:after="0"/>
              <w:rPr>
                <w:sz w:val="20"/>
                <w:szCs w:val="20"/>
                <w:color w:val="auto"/>
              </w:rPr>
            </w:pPr>
            <w:r>
              <w:rPr>
                <w:rFonts w:ascii="Arial" w:cs="Arial" w:eastAsia="Arial" w:hAnsi="Arial"/>
                <w:sz w:val="18"/>
                <w:szCs w:val="18"/>
                <w:color w:val="auto"/>
              </w:rPr>
              <w:t>MN-221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56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MN-166</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FF0FC"/>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320" w:type="dxa"/>
            <w:vAlign w:val="bottom"/>
          </w:tcPr>
          <w:p>
            <w:pPr>
              <w:ind w:left="380"/>
              <w:spacing w:after="0"/>
              <w:rPr>
                <w:sz w:val="20"/>
                <w:szCs w:val="20"/>
                <w:color w:val="auto"/>
              </w:rPr>
            </w:pPr>
            <w:r>
              <w:rPr>
                <w:rFonts w:ascii="Arial" w:cs="Arial" w:eastAsia="Arial" w:hAnsi="Arial"/>
                <w:sz w:val="18"/>
                <w:szCs w:val="18"/>
                <w:color w:val="auto"/>
              </w:rPr>
              <w:t>MN-001</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MN-029</w:t>
            </w:r>
          </w:p>
        </w:tc>
        <w:tc>
          <w:tcPr>
            <w:tcW w:w="2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320" w:type="dxa"/>
            <w:vAlign w:val="bottom"/>
          </w:tcPr>
          <w:p>
            <w:pPr>
              <w:spacing w:after="0"/>
              <w:rPr>
                <w:sz w:val="19"/>
                <w:szCs w:val="19"/>
                <w:color w:val="auto"/>
              </w:rPr>
            </w:pPr>
          </w:p>
        </w:tc>
      </w:tr>
      <w:tr>
        <w:trPr>
          <w:trHeight w:val="223"/>
        </w:trPr>
        <w:tc>
          <w:tcPr>
            <w:tcW w:w="130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 external development expense</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R&amp;D personnel expense</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CFF0FC"/>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R&amp;D facility and depreciation expense</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Patent expenses</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R&amp;D expense</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FF0FC"/>
            </w:tcBorders>
          </w:tcPr>
          <w:p>
            <w:pPr>
              <w:spacing w:after="0"/>
              <w:rPr>
                <w:sz w:val="19"/>
                <w:szCs w:val="19"/>
                <w:color w:val="auto"/>
              </w:rPr>
            </w:pPr>
          </w:p>
        </w:tc>
        <w:tc>
          <w:tcPr>
            <w:tcW w:w="1320" w:type="dxa"/>
            <w:vAlign w:val="bottom"/>
          </w:tcPr>
          <w:p>
            <w:pPr>
              <w:spacing w:after="0"/>
              <w:rPr>
                <w:sz w:val="19"/>
                <w:szCs w:val="19"/>
                <w:color w:val="auto"/>
              </w:rPr>
            </w:pPr>
          </w:p>
        </w:tc>
      </w:tr>
      <w:tr>
        <w:trPr>
          <w:trHeight w:val="223"/>
        </w:trPr>
        <w:tc>
          <w:tcPr>
            <w:tcW w:w="1300" w:type="dxa"/>
            <w:vAlign w:val="bottom"/>
          </w:tcPr>
          <w:p>
            <w:pPr>
              <w:spacing w:after="0"/>
              <w:rPr>
                <w:sz w:val="19"/>
                <w:szCs w:val="19"/>
                <w:color w:val="auto"/>
              </w:rPr>
            </w:pPr>
          </w:p>
        </w:tc>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development and patent expense</w:t>
            </w: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5,411</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3,066</w:t>
            </w:r>
          </w:p>
        </w:tc>
        <w:tc>
          <w:tcPr>
            <w:tcW w:w="100" w:type="dxa"/>
            <w:vAlign w:val="bottom"/>
            <w:tcBorders>
              <w:bottom w:val="single" w:sz="8" w:color="CFF0FC"/>
            </w:tcBorders>
            <w:shd w:val="clear" w:color="auto" w:fill="CFF0FC"/>
          </w:tcPr>
          <w:p>
            <w:pPr>
              <w:spacing w:after="0"/>
              <w:rPr>
                <w:sz w:val="19"/>
                <w:szCs w:val="19"/>
                <w:color w:val="auto"/>
              </w:rPr>
            </w:pPr>
          </w:p>
        </w:tc>
        <w:tc>
          <w:tcPr>
            <w:tcW w:w="1320" w:type="dxa"/>
            <w:vAlign w:val="bottom"/>
          </w:tcPr>
          <w:p>
            <w:pPr>
              <w:spacing w:after="0"/>
              <w:rPr>
                <w:sz w:val="19"/>
                <w:szCs w:val="19"/>
                <w:color w:val="auto"/>
              </w:rPr>
            </w:pPr>
          </w:p>
        </w:tc>
      </w:tr>
      <w:tr>
        <w:trPr>
          <w:trHeight w:val="20"/>
        </w:trPr>
        <w:tc>
          <w:tcPr>
            <w:tcW w:w="13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656"/>
        </w:trPr>
        <w:tc>
          <w:tcPr>
            <w:tcW w:w="13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130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81"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is based upon financial statements that have been prepared in accordance with accounting principles generally accepted in the United States (GAAP). The preparation of these financial statements requires management to make estimates and judgments that affect the reported amounts of assets, liabilities and expenses, and related disclosures. On an on-going basis, we evaluate these estimates, including those related to research and development and patent expense, stock-based compensation, goodwill and purchased intangibles, lease related activities, investments, and fixed assets. Estimates are based on historical experience, information received from third parties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items in our financial statements requiring significant estimates and judgments are as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 Expenses</w:t>
      </w:r>
    </w:p>
    <w:p>
      <w:pPr>
        <w:spacing w:after="0" w:line="117" w:lineRule="exact"/>
        <w:rPr>
          <w:sz w:val="20"/>
          <w:szCs w:val="20"/>
          <w:color w:val="auto"/>
        </w:rPr>
      </w:pPr>
    </w:p>
    <w:p>
      <w:pPr>
        <w:ind w:right="200" w:firstLine="518"/>
        <w:spacing w:after="0" w:line="286" w:lineRule="auto"/>
        <w:rPr>
          <w:sz w:val="20"/>
          <w:szCs w:val="20"/>
          <w:color w:val="auto"/>
        </w:rPr>
      </w:pPr>
      <w:r>
        <w:rPr>
          <w:rFonts w:ascii="Arial" w:cs="Arial" w:eastAsia="Arial" w:hAnsi="Arial"/>
          <w:sz w:val="17"/>
          <w:szCs w:val="17"/>
          <w:color w:val="auto"/>
        </w:rPr>
        <w:t>Research, development and patents costs are expensed as incurred based on contractual factors such as estimates of work performed, milestones achieved, patient enrollment and experience with similar contracts. As actual costs become known, accruals are adjusted. To date, our accrued research, development and patents expenses have not differed significantly from the actual expenses incurred.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We grant options to purchase our common stock to our employees and directors under our 2013 Stock Incentive Plan. Additionally, we have outstanding stock options that were granted under our Amended and Restated 2004 Stock Incentive Plan. Under our 2007 Employee Stock Purchase Plan, full-time employees are permitted to purchase common stock through payroll deductions at the lower of 85% of fair market value at the beginning of the offering period or the end of each six-month offering period. The benefits provided under all of these plans require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performance-based stock options, the vesting of which is based on a determination made by our board of directors as to the achievement of certain corporate objectives. The grant date of such awards is the date on which our board of directors makes its determination. For periods preceding the grant date, the expenses related to these awards is measured based on their fair value at each reporting date.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75"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Valuation of our stock option grants requires us to estimate certain variables, such as estimated volatility and expected life. If any of our estimations change, such changes could have a significant impact on the amount of stock-based compensation expense that we recognize.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Goodwill is recorded when the consideration paid for an acquisition exceeds the fair value of the identified net tangible and intangible assets of an acquired business. The allocation of purchase price for acquisitions requires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such as in-process research and development (“IPR&amp;D”) are not amortized but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ind w:right="80"/>
        <w:spacing w:after="0" w:line="264" w:lineRule="auto"/>
        <w:rPr>
          <w:sz w:val="20"/>
          <w:szCs w:val="20"/>
          <w:color w:val="auto"/>
        </w:rPr>
      </w:pPr>
      <w:r>
        <w:rPr>
          <w:rFonts w:ascii="Arial" w:cs="Arial" w:eastAsia="Arial" w:hAnsi="Arial"/>
          <w:sz w:val="18"/>
          <w:szCs w:val="18"/>
          <w:color w:val="auto"/>
        </w:rPr>
        <w:t>are subject to annual impairment tests. The amounts and useful lives assigned to intangible assets that have finite useful lives require the use of estimates and the exercise of judgment. These judgments can significantly affect our net operating results. As of September 30, 2018, goodwill and IPR&amp;D, were $9.6 million and $4.8 million, respectively.</w:t>
      </w:r>
    </w:p>
    <w:p>
      <w:pPr>
        <w:spacing w:after="0" w:line="181" w:lineRule="exact"/>
        <w:rPr>
          <w:sz w:val="20"/>
          <w:szCs w:val="20"/>
          <w:color w:val="auto"/>
        </w:rPr>
      </w:pPr>
    </w:p>
    <w:p>
      <w:pPr>
        <w:jc w:val="both"/>
        <w:ind w:right="520" w:firstLine="518"/>
        <w:spacing w:after="0" w:line="302" w:lineRule="auto"/>
        <w:rPr>
          <w:sz w:val="20"/>
          <w:szCs w:val="20"/>
          <w:color w:val="auto"/>
        </w:rPr>
      </w:pPr>
      <w:r>
        <w:rPr>
          <w:rFonts w:ascii="Arial" w:cs="Arial" w:eastAsia="Arial" w:hAnsi="Arial"/>
          <w:sz w:val="16"/>
          <w:szCs w:val="16"/>
          <w:color w:val="auto"/>
        </w:rPr>
        <w:t>We periodically re-evaluate the original assumptions and rationale utilized in the establishment of the carrying value and estimated lives of our indefinite-lived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2018 and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Patents Expenses</w:t>
      </w:r>
    </w:p>
    <w:p>
      <w:pPr>
        <w:spacing w:after="0" w:line="225" w:lineRule="exact"/>
        <w:rPr>
          <w:sz w:val="20"/>
          <w:szCs w:val="20"/>
          <w:color w:val="auto"/>
        </w:rPr>
      </w:pPr>
    </w:p>
    <w:p>
      <w:pPr>
        <w:ind w:right="60" w:firstLine="761"/>
        <w:spacing w:after="0" w:line="264" w:lineRule="auto"/>
        <w:rPr>
          <w:sz w:val="20"/>
          <w:szCs w:val="20"/>
          <w:color w:val="auto"/>
        </w:rPr>
      </w:pPr>
      <w:r>
        <w:rPr>
          <w:rFonts w:ascii="Arial" w:cs="Arial" w:eastAsia="Arial" w:hAnsi="Arial"/>
          <w:sz w:val="18"/>
          <w:szCs w:val="18"/>
          <w:color w:val="auto"/>
        </w:rPr>
        <w:t>Research, development and patents expenses were $2.4 million and $1.3 million for the three months ended September 30, 2018 and 2017, respectively. The increase of $1.1 million was driven by increased clinical research study costs for MN-166 as well as higher stock compensation expense for performance-based stock options due in part to an increase in our stock price.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right="240" w:firstLine="761"/>
        <w:spacing w:after="0" w:line="264" w:lineRule="auto"/>
        <w:rPr>
          <w:sz w:val="20"/>
          <w:szCs w:val="20"/>
          <w:color w:val="auto"/>
        </w:rPr>
      </w:pPr>
      <w:r>
        <w:rPr>
          <w:rFonts w:ascii="Arial" w:cs="Arial" w:eastAsia="Arial" w:hAnsi="Arial"/>
          <w:sz w:val="18"/>
          <w:szCs w:val="18"/>
          <w:color w:val="auto"/>
        </w:rPr>
        <w:t>General and administrative expenses were $4.7 million and $2.5 million for the three months ended September 30, 2018 and 2017, respectively. The increase of $2.2 million was primarily due to higher stock compensation expense for performance-based stock options due in part to an increase in our stock price.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2018 and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Patents Expenses</w:t>
      </w:r>
    </w:p>
    <w:p>
      <w:pPr>
        <w:spacing w:after="0" w:line="117" w:lineRule="exact"/>
        <w:rPr>
          <w:sz w:val="20"/>
          <w:szCs w:val="20"/>
          <w:color w:val="auto"/>
        </w:rPr>
      </w:pPr>
    </w:p>
    <w:p>
      <w:pPr>
        <w:ind w:right="480" w:firstLine="558"/>
        <w:spacing w:after="0" w:line="264" w:lineRule="auto"/>
        <w:rPr>
          <w:sz w:val="20"/>
          <w:szCs w:val="20"/>
          <w:color w:val="auto"/>
        </w:rPr>
      </w:pPr>
      <w:r>
        <w:rPr>
          <w:rFonts w:ascii="Arial" w:cs="Arial" w:eastAsia="Arial" w:hAnsi="Arial"/>
          <w:sz w:val="18"/>
          <w:szCs w:val="18"/>
          <w:color w:val="auto"/>
        </w:rPr>
        <w:t>Research, development and patents expenses were $5.4 million and $3.1 million for the nine months ended September 30, 2018 and 2017, respectively. The $2.3 million increase was due to increased clinical research study costs for MN-166 as well as higher stock compensation expense for performance-based stock options due to an increase in our stock price.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00" w:firstLine="558"/>
        <w:spacing w:after="0" w:line="342" w:lineRule="auto"/>
        <w:rPr>
          <w:sz w:val="20"/>
          <w:szCs w:val="20"/>
          <w:color w:val="auto"/>
        </w:rPr>
      </w:pPr>
      <w:r>
        <w:rPr>
          <w:rFonts w:ascii="Arial" w:cs="Arial" w:eastAsia="Arial" w:hAnsi="Arial"/>
          <w:sz w:val="16"/>
          <w:szCs w:val="16"/>
          <w:color w:val="auto"/>
        </w:rPr>
        <w:t>General and administrative expenses were $9.7 million and $6.6 million for the nine months ended September 30, 2018 and 2017, respectively. The increase of $3.1 million was due to higher stock compensation expense for performance-based stock options due to an increase in our stock price.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Net cash used in operating activities during the nine months ended September 30, 2018 was $7.5 million compared to $5.9 million during the same period in 2017. Net cash used in operating activities primarily reflects the net loss and changes in operating assets and liabilities for those periods, which was partially offset by non-cash stock-based compensation expense.</w:t>
      </w:r>
    </w:p>
    <w:p>
      <w:pPr>
        <w:spacing w:after="0" w:line="73"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Net cash provided by investing activities during the nine months ended September 30, 2018 was $0.6 million. Net cash provided by investing activities was primarily from proceeds received from the dissolution of the joint venture and liquidation of its investment. There were no cash flow from investing activities for the nine months ended September 30, 2017.</w:t>
      </w:r>
    </w:p>
    <w:p>
      <w:pPr>
        <w:spacing w:after="0" w:line="181" w:lineRule="exact"/>
        <w:rPr>
          <w:sz w:val="20"/>
          <w:szCs w:val="20"/>
          <w:color w:val="auto"/>
        </w:rPr>
      </w:pPr>
    </w:p>
    <w:p>
      <w:pPr>
        <w:ind w:right="260" w:firstLine="518"/>
        <w:spacing w:after="0" w:line="302" w:lineRule="auto"/>
        <w:rPr>
          <w:sz w:val="20"/>
          <w:szCs w:val="20"/>
          <w:color w:val="auto"/>
        </w:rPr>
      </w:pPr>
      <w:r>
        <w:rPr>
          <w:rFonts w:ascii="Arial" w:cs="Arial" w:eastAsia="Arial" w:hAnsi="Arial"/>
          <w:sz w:val="16"/>
          <w:szCs w:val="16"/>
          <w:color w:val="auto"/>
        </w:rPr>
        <w:t>Net cash provided by financing activities was $41.3 million during the nine months ended September 30, 2018 compared to $6.3 million during the same period in 2017. Net cash provided by financing activities during the nine months ended September 30, 2018 is primarily due to the public offering of 4,545,928 shares of common stock for net proceeds of approximately $38.5 million and cash proceeds of $2.4 million from the exercise of warrants to purchase 750,000 shares of common stock. Cash proceeds from financing activities are used for working capital and general corporate purposes.</w:t>
      </w:r>
    </w:p>
    <w:p>
      <w:pPr>
        <w:spacing w:after="0" w:line="154"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On May 22, 2015, we entered into an at-the-market issuance sales agreement (the “ATM Agreement”) with MLV &amp; Co. LLC (MLV), pursuant to which we may sell common stock through MLV from time to time up to an aggregate offering price of $30.0 million. Sales of our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7" w:name="page18"/>
    <w:bookmarkEnd w:id="17"/>
    <w:p>
      <w:pPr>
        <w:ind w:right="60"/>
        <w:spacing w:after="0" w:line="257" w:lineRule="auto"/>
        <w:rPr>
          <w:sz w:val="20"/>
          <w:szCs w:val="20"/>
          <w:color w:val="auto"/>
        </w:rPr>
      </w:pPr>
      <w:r>
        <w:rPr>
          <w:rFonts w:ascii="Arial" w:cs="Arial" w:eastAsia="Arial" w:hAnsi="Arial"/>
          <w:sz w:val="18"/>
          <w:szCs w:val="18"/>
          <w:color w:val="auto"/>
        </w:rPr>
        <w:t>common stock in privately negotiated transactions, subject to our prior approval. We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We are not obligated to make any sales of common stock under the sales agreement and may terminate the sales agreement at any time upon written notice. On September 16, 2016, we amended the ATM agreement to also include FBR Capital Markets &amp; Co. as a sales agent.</w:t>
      </w:r>
    </w:p>
    <w:p>
      <w:pPr>
        <w:spacing w:after="0" w:line="188" w:lineRule="exact"/>
        <w:rPr>
          <w:sz w:val="20"/>
          <w:szCs w:val="20"/>
          <w:color w:val="auto"/>
        </w:rPr>
      </w:pPr>
    </w:p>
    <w:p>
      <w:pPr>
        <w:jc w:val="both"/>
        <w:ind w:right="60" w:firstLine="563"/>
        <w:spacing w:after="0" w:line="264" w:lineRule="auto"/>
        <w:rPr>
          <w:sz w:val="20"/>
          <w:szCs w:val="20"/>
          <w:color w:val="auto"/>
        </w:rPr>
      </w:pPr>
      <w:r>
        <w:rPr>
          <w:rFonts w:ascii="Arial" w:cs="Arial" w:eastAsia="Arial" w:hAnsi="Arial"/>
          <w:sz w:val="18"/>
          <w:szCs w:val="18"/>
          <w:color w:val="auto"/>
        </w:rPr>
        <w:t>No shares of common stock were sold under this agreement in the nine months ended September 30, 2018. For the nine months ended September 30, 2017, the Company generated gross proceeds of $6.4 million and incurred issuance costs of $0.3 million under this agreement on sales of 1,096,922 shares of the Company’s common stock at a weighted average price of $5.79 per share.</w:t>
      </w:r>
    </w:p>
    <w:p>
      <w:pPr>
        <w:spacing w:after="0" w:line="181"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On February 12, 2018, we completed a firm-commitment underwritten public offering of 4,419,890 shares of common stock at a purchase price of $9.05 per share for aggregate gross proceeds of $40.0 million, and received aggregate net proceeds of approximately $37.4 million, net of underwriting discounts and commissions and offering expenses. Additionally, we granted the underwriters a 30-day option to purchase up to an additional 662,983 shares of commons stock at the public offering price, and on February 21, 2018, we sold an additional 126,038 shares of common stock for gross proceeds of $1.1 million pursuant to the partial exercise by the underwriters of their over-allotment option.</w:t>
      </w:r>
    </w:p>
    <w:p>
      <w:pPr>
        <w:spacing w:after="0" w:line="173"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As of September 30, 2018, we had available cash and cash equivalents of $62.4 million and working capital of $61.0 million. As of the date of this report, we believe we have working capital sufficient to fund operations at least through December 31, 2019. However, we cannot provide assurance that these capital resources will be sufficient to conduct all our research and development programs as planned.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At September 30, 2018,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3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primary exposure to market risks are due to changes in interest rates, which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interest-rate sensitive financial instruments due to their relatively short-term nature.</w:t>
      </w:r>
    </w:p>
    <w:p>
      <w:pPr>
        <w:spacing w:after="0" w:line="193"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Cash and cash equivalents as of September 30, 2018 were $62.4 million and were primarily invested in money market interest bearing accounts and money market funds. A hypothetical 10% adverse change in the average interest rate on our cash and cash equivalents would have had no material effect on net loss for the three and nine months ended September 30, 2018.</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7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We are not involved in any material legal proceedings as of September 30, 2018.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2017,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There have been no material changes from the risk factors previously disclosed in our Annual Report on Form 10-K for the year ended December 31, 2017.</w:t>
      </w:r>
    </w:p>
    <w:p>
      <w:pPr>
        <w:spacing w:after="0" w:line="29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ITEM 5.</w:t>
            </w:r>
          </w:p>
        </w:tc>
        <w:tc>
          <w:tcPr>
            <w:tcW w:w="10600" w:type="dxa"/>
            <w:vAlign w:val="bottom"/>
            <w:gridSpan w:val="9"/>
          </w:tcPr>
          <w:p>
            <w:pPr>
              <w:ind w:left="34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324"/>
        </w:trPr>
        <w:tc>
          <w:tcPr>
            <w:tcW w:w="11420" w:type="dxa"/>
            <w:vAlign w:val="bottom"/>
            <w:gridSpan w:val="11"/>
          </w:tcPr>
          <w:p>
            <w:pPr>
              <w:ind w:left="5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540"/>
        </w:trPr>
        <w:tc>
          <w:tcPr>
            <w:tcW w:w="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ITEM 6.</w:t>
            </w:r>
          </w:p>
        </w:tc>
        <w:tc>
          <w:tcPr>
            <w:tcW w:w="10600" w:type="dxa"/>
            <w:vAlign w:val="bottom"/>
            <w:gridSpan w:val="9"/>
          </w:tcPr>
          <w:p>
            <w:pPr>
              <w:ind w:left="3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2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300" w:type="dxa"/>
            <w:vAlign w:val="bottom"/>
            <w:gridSpan w:val="7"/>
            <w:vMerge w:val="restart"/>
          </w:tcPr>
          <w:p>
            <w:pPr>
              <w:ind w:left="1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2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3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7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440" w:type="dxa"/>
            <w:vAlign w:val="bottom"/>
            <w:tcBorders>
              <w:top w:val="single" w:sz="8" w:color="auto"/>
              <w:bottom w:val="single" w:sz="8" w:color="0000EE"/>
            </w:tcBorders>
            <w:gridSpan w:val="7"/>
          </w:tcPr>
          <w:p>
            <w:pPr>
              <w:spacing w:after="0"/>
              <w:rPr>
                <w:rFonts w:ascii="Arial" w:cs="Arial" w:eastAsia="Arial" w:hAnsi="Arial"/>
                <w:sz w:val="18"/>
                <w:szCs w:val="18"/>
                <w:color w:val="0000EE"/>
                <w:w w:val="90"/>
              </w:rPr>
            </w:pPr>
            <w:hyperlink r:id="rId36">
              <w:r>
                <w:rPr>
                  <w:rFonts w:ascii="Arial" w:cs="Arial" w:eastAsia="Arial" w:hAnsi="Arial"/>
                  <w:sz w:val="18"/>
                  <w:szCs w:val="18"/>
                  <w:color w:val="0000EE"/>
                  <w:w w:val="90"/>
                </w:rPr>
                <w:t>Restated Certificate of Incorporation of the Registrant, as amended (incorporated by reference to Exhibit 3.1 of the Registrant’s Quarterly Report</w:t>
              </w:r>
            </w:hyperlink>
          </w:p>
        </w:tc>
        <w:tc>
          <w:tcPr>
            <w:tcW w:w="160" w:type="dxa"/>
            <w:vAlign w:val="bottom"/>
            <w:tcBorders>
              <w:top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vMerge w:val="restart"/>
          </w:tcPr>
          <w:p>
            <w:pPr>
              <w:spacing w:after="0" w:line="196" w:lineRule="exact"/>
              <w:rPr>
                <w:rFonts w:ascii="Arial" w:cs="Arial" w:eastAsia="Arial" w:hAnsi="Arial"/>
                <w:sz w:val="18"/>
                <w:szCs w:val="18"/>
                <w:color w:val="0000EE"/>
                <w:w w:val="91"/>
              </w:rPr>
            </w:pPr>
            <w:hyperlink r:id="rId36">
              <w:r>
                <w:rPr>
                  <w:rFonts w:ascii="Arial" w:cs="Arial" w:eastAsia="Arial" w:hAnsi="Arial"/>
                  <w:sz w:val="18"/>
                  <w:szCs w:val="18"/>
                  <w:color w:val="0000EE"/>
                  <w:w w:val="91"/>
                </w:rPr>
                <w:t>on Form 10-Q filed August 9, 2012).</w:t>
              </w:r>
            </w:hyperlink>
          </w:p>
        </w:tc>
        <w:tc>
          <w:tcPr>
            <w:tcW w:w="7940" w:type="dxa"/>
            <w:vAlign w:val="bottom"/>
            <w:gridSpan w:val="8"/>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60" w:type="dxa"/>
            <w:vAlign w:val="bottom"/>
            <w:tcBorders>
              <w:bottom w:val="single" w:sz="8" w:color="0000EE"/>
            </w:tcBorders>
            <w:vMerge w:val="continue"/>
          </w:tcPr>
          <w:p>
            <w:pPr>
              <w:spacing w:after="0"/>
              <w:rPr>
                <w:sz w:val="5"/>
                <w:szCs w:val="5"/>
                <w:color w:val="auto"/>
              </w:rPr>
            </w:pPr>
          </w:p>
        </w:tc>
        <w:tc>
          <w:tcPr>
            <w:tcW w:w="79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700" w:type="dxa"/>
            <w:vAlign w:val="bottom"/>
            <w:vMerge w:val="restart"/>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500" w:type="dxa"/>
            <w:vAlign w:val="bottom"/>
            <w:tcBorders>
              <w:bottom w:val="single" w:sz="8" w:color="0000EE"/>
            </w:tcBorders>
            <w:gridSpan w:val="8"/>
          </w:tcPr>
          <w:p>
            <w:pPr>
              <w:spacing w:after="0"/>
              <w:rPr>
                <w:rFonts w:ascii="Arial" w:cs="Arial" w:eastAsia="Arial" w:hAnsi="Arial"/>
                <w:sz w:val="18"/>
                <w:szCs w:val="18"/>
                <w:color w:val="0000EE"/>
                <w:w w:val="90"/>
              </w:rPr>
            </w:pPr>
            <w:hyperlink r:id="rId37">
              <w:r>
                <w:rPr>
                  <w:rFonts w:ascii="Arial" w:cs="Arial" w:eastAsia="Arial" w:hAnsi="Arial"/>
                  <w:sz w:val="18"/>
                  <w:szCs w:val="18"/>
                  <w:color w:val="0000EE"/>
                  <w:w w:val="90"/>
                </w:rPr>
                <w:t>Amended and Restated Bylaws of the Registrant (incorporated by reference to Exhibit 3.4 of the Registrant’s Registration Statement on Form S-1</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600" w:type="dxa"/>
            <w:vAlign w:val="bottom"/>
            <w:gridSpan w:val="9"/>
            <w:vMerge w:val="restart"/>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(File No. 333-119433) filed October 1, 2004).</w:t>
              </w:r>
            </w:hyperlink>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gridSpan w:val="2"/>
            <w:shd w:val="clear" w:color="auto" w:fill="0000EE"/>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600" w:type="dxa"/>
            <w:vAlign w:val="bottom"/>
            <w:gridSpan w:val="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Certification of the Principal Executive Officer pursuant to Section 302 of the Sarbanes-Oxley Act of 2002.</w:t>
              </w:r>
            </w:hyperlink>
          </w:p>
        </w:tc>
        <w:tc>
          <w:tcPr>
            <w:tcW w:w="0" w:type="dxa"/>
            <w:vAlign w:val="bottom"/>
          </w:tcPr>
          <w:p>
            <w:pPr>
              <w:spacing w:after="0"/>
              <w:rPr>
                <w:sz w:val="1"/>
                <w:szCs w:val="1"/>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77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Certification of the Principal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28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600" w:type="dxa"/>
            <w:vAlign w:val="bottom"/>
            <w:gridSpan w:val="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Certification of Principal Executive Officer pursuant to 18 U.S.C. Section 1350 (Section 906 of the Sarbanes-Oxley Act of 2002).</w:t>
              </w:r>
            </w:hyperlink>
          </w:p>
        </w:tc>
        <w:tc>
          <w:tcPr>
            <w:tcW w:w="0" w:type="dxa"/>
            <w:vAlign w:val="bottom"/>
          </w:tcPr>
          <w:p>
            <w:pPr>
              <w:spacing w:after="0"/>
              <w:rPr>
                <w:sz w:val="1"/>
                <w:szCs w:val="1"/>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Certification of Principal Financial Officer pursuant to 18 U.S.C. Section 1350 (Section 906 of the Sarbanes-Oxley Act of 2002).</w:t>
              </w:r>
            </w:hyperlink>
          </w:p>
        </w:tc>
        <w:tc>
          <w:tcPr>
            <w:tcW w:w="40" w:type="dxa"/>
            <w:vAlign w:val="bottom"/>
            <w:tcBorders>
              <w:top w:val="single" w:sz="8" w:color="0000EE"/>
            </w:tcBorders>
          </w:tcPr>
          <w:p>
            <w:pPr>
              <w:spacing w:after="0"/>
              <w:rPr>
                <w:sz w:val="24"/>
                <w:szCs w:val="24"/>
                <w:color w:val="auto"/>
              </w:rPr>
            </w:pPr>
          </w:p>
        </w:tc>
        <w:tc>
          <w:tcPr>
            <w:tcW w:w="1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820" w:hanging="812"/>
        <w:spacing w:after="0" w:line="259"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following financial statements from the MediciNova, Inc. Quarterly Report on Form 10-Q for the quarter ended September 30, 2018 formatted in Extensible Business Reporting Language (XBRL): (i) Consolidated Balance Sheets; (ii) Consolidated Statements of Operations and Comprehensive Loss; (iii) Consolidated Statements of Stockholders’ Equity; (iv) Consolidated Statements of Cash Flows; and (v)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MEDICINOVA, INC.</w:t>
      </w:r>
    </w:p>
    <w:p>
      <w:pPr>
        <w:spacing w:after="0" w:line="256" w:lineRule="exact"/>
        <w:rPr>
          <w:sz w:val="20"/>
          <w:szCs w:val="20"/>
          <w:color w:val="auto"/>
        </w:rPr>
      </w:pPr>
    </w:p>
    <w:p>
      <w:pPr>
        <w:spacing w:after="0"/>
        <w:tabs>
          <w:tab w:leader="none" w:pos="6520" w:val="left"/>
          <w:tab w:leader="none" w:pos="8480" w:val="left"/>
          <w:tab w:leader="none" w:pos="8820" w:val="left"/>
        </w:tabs>
        <w:rPr>
          <w:sz w:val="20"/>
          <w:szCs w:val="20"/>
          <w:color w:val="auto"/>
        </w:rPr>
      </w:pPr>
      <w:r>
        <w:rPr>
          <w:rFonts w:ascii="Arial" w:cs="Arial" w:eastAsia="Arial" w:hAnsi="Arial"/>
          <w:sz w:val="18"/>
          <w:szCs w:val="18"/>
          <w:color w:val="auto"/>
        </w:rPr>
        <w:t>Date: October 25,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23" w:lineRule="exact"/>
        <w:rPr>
          <w:sz w:val="20"/>
          <w:szCs w:val="20"/>
          <w:color w:val="auto"/>
        </w:rPr>
      </w:pPr>
    </w:p>
    <w:p>
      <w:pPr>
        <w:ind w:left="6540"/>
        <w:spacing w:after="0"/>
        <w:tabs>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w:t>
      </w:r>
      <w:r>
        <w:rPr>
          <w:rFonts w:ascii="Arial" w:cs="Arial" w:eastAsia="Arial" w:hAnsi="Arial"/>
          <w:sz w:val="13"/>
          <w:szCs w:val="13"/>
          <w:color w:val="auto"/>
        </w:rPr>
        <w:t>ARLA</w:t>
      </w:r>
      <w:r>
        <w:rPr>
          <w:rFonts w:ascii="Arial" w:cs="Arial" w:eastAsia="Arial" w:hAnsi="Arial"/>
          <w:sz w:val="18"/>
          <w:szCs w:val="18"/>
          <w:color w:val="auto"/>
        </w:rPr>
        <w:t xml:space="preserve"> R</w:t>
      </w:r>
      <w:r>
        <w:rPr>
          <w:rFonts w:ascii="Arial" w:cs="Arial" w:eastAsia="Arial" w:hAnsi="Arial"/>
          <w:sz w:val="13"/>
          <w:szCs w:val="13"/>
          <w:color w:val="auto"/>
        </w:rPr>
        <w:t>EYES</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Carla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00"/>
          </w:cols>
          <w:pgMar w:left="240" w:top="337" w:right="85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700" w:hanging="174"/>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2018 of MediciNova, Inc.;</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October 25, 2018</w:t>
      </w:r>
    </w:p>
    <w:p>
      <w:pPr>
        <w:spacing w:after="0" w:line="252" w:lineRule="exact"/>
        <w:rPr>
          <w:sz w:val="20"/>
          <w:szCs w:val="20"/>
          <w:color w:val="auto"/>
        </w:rPr>
      </w:pPr>
    </w:p>
    <w:p>
      <w:pPr>
        <w:ind w:left="6860"/>
        <w:spacing w:after="0"/>
        <w:tabs>
          <w:tab w:leader="none" w:pos="7400" w:val="left"/>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ind w:left="74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Carla Reyes, certify that:</w:t>
      </w:r>
    </w:p>
    <w:p>
      <w:pPr>
        <w:spacing w:after="0" w:line="117" w:lineRule="exact"/>
        <w:rPr>
          <w:sz w:val="20"/>
          <w:szCs w:val="20"/>
          <w:color w:val="auto"/>
        </w:rPr>
      </w:pPr>
    </w:p>
    <w:p>
      <w:pPr>
        <w:ind w:left="700" w:hanging="17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2018 of MediciNova, Inc.;</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October 25, 2018</w:t>
      </w:r>
    </w:p>
    <w:p>
      <w:pPr>
        <w:spacing w:after="0" w:line="252" w:lineRule="exact"/>
        <w:rPr>
          <w:sz w:val="20"/>
          <w:szCs w:val="20"/>
          <w:color w:val="auto"/>
        </w:rPr>
      </w:pPr>
    </w:p>
    <w:p>
      <w:pPr>
        <w:ind w:left="6860"/>
        <w:spacing w:after="0"/>
        <w:tabs>
          <w:tab w:leader="none" w:pos="7400" w:val="left"/>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Carla Reyes</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Carla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Chief Financial Officer</w:t>
      </w:r>
    </w:p>
    <w:p>
      <w:pPr>
        <w:ind w:left="74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September 30, 2018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October 25, 2018</w:t>
      </w:r>
    </w:p>
    <w:p>
      <w:pPr>
        <w:spacing w:after="0" w:line="252" w:lineRule="exact"/>
        <w:rPr>
          <w:sz w:val="20"/>
          <w:szCs w:val="20"/>
          <w:color w:val="auto"/>
        </w:rPr>
      </w:pPr>
    </w:p>
    <w:p>
      <w:pPr>
        <w:ind w:left="6860"/>
        <w:spacing w:after="0"/>
        <w:tabs>
          <w:tab w:leader="none" w:pos="8780" w:val="left"/>
          <w:tab w:leader="none" w:pos="9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2"/>
          <w:szCs w:val="12"/>
          <w:color w:val="auto"/>
        </w:rPr>
        <w:t>UICHI</w:t>
      </w:r>
      <w:r>
        <w:rPr>
          <w:rFonts w:ascii="Arial" w:cs="Arial" w:eastAsia="Arial" w:hAnsi="Arial"/>
          <w:sz w:val="18"/>
          <w:szCs w:val="18"/>
          <w:color w:val="auto"/>
        </w:rPr>
        <w:t xml:space="preserve"> I</w:t>
      </w:r>
      <w:r>
        <w:rPr>
          <w:rFonts w:ascii="Arial" w:cs="Arial" w:eastAsia="Arial" w:hAnsi="Arial"/>
          <w:sz w:val="12"/>
          <w:szCs w:val="12"/>
          <w:color w:val="auto"/>
        </w:rPr>
        <w:t>WAKI</w:t>
      </w:r>
    </w:p>
    <w:p>
      <w:pPr>
        <w:spacing w:after="0" w:line="18"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jc w:val="cente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420"/>
        <w:spacing w:after="0"/>
        <w:rPr>
          <w:sz w:val="20"/>
          <w:szCs w:val="20"/>
          <w:color w:val="auto"/>
        </w:rPr>
      </w:pPr>
      <w:r>
        <w:rPr>
          <w:rFonts w:ascii="Arial" w:cs="Arial" w:eastAsia="Arial" w:hAnsi="Arial"/>
          <w:sz w:val="14"/>
          <w:szCs w:val="14"/>
          <w:b w:val="1"/>
          <w:bCs w:val="1"/>
          <w:color w:val="auto"/>
        </w:rPr>
        <w:t>(Principal Executive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337"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September 30, 2018, as filed with the Securities and Exchange Commission on the date hereof (the “Report”), I, Carla Reyes, as Chief Financial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October 25, 2018</w:t>
      </w:r>
    </w:p>
    <w:p>
      <w:pPr>
        <w:spacing w:after="0" w:line="252" w:lineRule="exact"/>
        <w:rPr>
          <w:sz w:val="20"/>
          <w:szCs w:val="20"/>
          <w:color w:val="auto"/>
        </w:rPr>
      </w:pPr>
    </w:p>
    <w:p>
      <w:pPr>
        <w:ind w:left="6860"/>
        <w:spacing w:after="0"/>
        <w:tabs>
          <w:tab w:leader="none" w:pos="8740" w:val="left"/>
          <w:tab w:leader="none" w:pos="9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Carla Reyes</w:t>
      </w:r>
    </w:p>
    <w:p>
      <w:pPr>
        <w:spacing w:after="0" w:line="18"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Carla Reyes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-97790</wp:posOffset>
            </wp:positionV>
            <wp:extent cx="26073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jc w:val="center"/>
        <w:ind w:left="732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7320"/>
        <w:spacing w:after="0"/>
        <w:rPr>
          <w:sz w:val="20"/>
          <w:szCs w:val="20"/>
          <w:color w:val="auto"/>
        </w:rPr>
      </w:pPr>
      <w:r>
        <w:rPr>
          <w:rFonts w:ascii="Arial" w:cs="Arial" w:eastAsia="Arial" w:hAnsi="Arial"/>
          <w:sz w:val="14"/>
          <w:szCs w:val="14"/>
          <w:b w:val="1"/>
          <w:bCs w:val="1"/>
          <w:color w:val="auto"/>
        </w:rPr>
        <w:t>(Principal Financial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0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36" Type="http://schemas.openxmlformats.org/officeDocument/2006/relationships/hyperlink" Target="http://www.sec.gov/Archives/edgar/data/1226616/000119312512347932/d344794dex31.htm" TargetMode="External"/><Relationship Id="rId37" Type="http://schemas.openxmlformats.org/officeDocument/2006/relationships/hyperlink" Target="http://www.sec.gov/Archives/edgar/data/1226616/000119312504164964/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2019-12-28T19:00:15Z</dcterms:created>
  <dcterms:modified xsi:type="dcterms:W3CDTF">2019-12-28T19:00:15Z</dcterms:modified>
</cp:coreProperties>
</file>