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49" w:lineRule="exact"/>
        <w:rPr>
          <w:sz w:val="24"/>
          <w:szCs w:val="24"/>
          <w:color w:val="auto"/>
        </w:rPr>
      </w:pPr>
    </w:p>
    <w:p>
      <w:pPr>
        <w:ind w:left="520" w:right="2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355" w:right="37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000"/>
          </w:cols>
          <w:pgMar w:left="240" w:top="355" w:right="3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type w:val="continuous"/>
        </w:sect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MEDICINOVA, INC.</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3"/>
              </w:rPr>
              <w:t>Delaware</w:t>
            </w:r>
          </w:p>
        </w:tc>
        <w:tc>
          <w:tcPr>
            <w:tcW w:w="13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300" w:type="dxa"/>
            <w:vAlign w:val="bottom"/>
          </w:tcPr>
          <w:p>
            <w:pPr>
              <w:jc w:val="center"/>
              <w:ind w:right="36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5"/>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89"/>
              </w:rPr>
              <w:t>4275 Executive Square, Suite 300</w:t>
            </w:r>
          </w:p>
        </w:tc>
        <w:tc>
          <w:tcPr>
            <w:tcW w:w="1340" w:type="dxa"/>
            <w:vAlign w:val="bottom"/>
          </w:tcPr>
          <w:p>
            <w:pPr>
              <w:spacing w:after="0"/>
              <w:rPr>
                <w:sz w:val="24"/>
                <w:szCs w:val="24"/>
                <w:color w:val="auto"/>
              </w:rPr>
            </w:pPr>
          </w:p>
        </w:tc>
      </w:t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5"/>
              </w:rPr>
              <w:t>La Jolla, CA</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4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76"/>
        </w:trPr>
        <w:tc>
          <w:tcPr>
            <w:tcW w:w="6300" w:type="dxa"/>
            <w:vAlign w:val="bottom"/>
          </w:tcPr>
          <w:p>
            <w:pPr>
              <w:jc w:val="right"/>
              <w:ind w:right="1539"/>
              <w:spacing w:after="0"/>
              <w:rPr>
                <w:sz w:val="20"/>
                <w:szCs w:val="20"/>
                <w:color w:val="auto"/>
              </w:rPr>
            </w:pPr>
            <w:r>
              <w:rPr>
                <w:rFonts w:ascii="Arial" w:cs="Arial" w:eastAsia="Arial" w:hAnsi="Arial"/>
                <w:sz w:val="16"/>
                <w:szCs w:val="16"/>
                <w:b w:val="1"/>
                <w:bCs w:val="1"/>
                <w:color w:val="auto"/>
              </w:rPr>
              <w:t>(858) 373-1500</w:t>
            </w:r>
          </w:p>
        </w:tc>
        <w:tc>
          <w:tcPr>
            <w:tcW w:w="1340" w:type="dxa"/>
            <w:vAlign w:val="bottom"/>
          </w:tcPr>
          <w:p>
            <w:pPr>
              <w:spacing w:after="0"/>
              <w:rPr>
                <w:sz w:val="24"/>
                <w:szCs w:val="24"/>
                <w:color w:val="auto"/>
              </w:rPr>
            </w:pPr>
          </w:p>
        </w:tc>
      </w:tr>
      <w:tr>
        <w:trPr>
          <w:trHeight w:val="210"/>
        </w:trPr>
        <w:tc>
          <w:tcPr>
            <w:tcW w:w="6300" w:type="dxa"/>
            <w:vAlign w:val="bottom"/>
          </w:tcPr>
          <w:p>
            <w:pPr>
              <w:jc w:val="center"/>
              <w:ind w:left="1959"/>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13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106680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0" w:lineRule="exact"/>
        <w:rPr>
          <w:sz w:val="24"/>
          <w:szCs w:val="24"/>
          <w:color w:val="auto"/>
        </w:rPr>
      </w:pPr>
    </w:p>
    <w:p>
      <w:pPr>
        <w:ind w:right="1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30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 (Check one):</w:t>
      </w:r>
    </w:p>
    <w:p>
      <w:pPr>
        <w:sectPr>
          <w:pgSz w:w="11900" w:h="16838" w:orient="portrait"/>
          <w:cols w:equalWidth="0" w:num="1">
            <w:col w:w="11280"/>
          </w:cols>
          <w:pgMar w:left="240" w:top="355" w:right="379" w:bottom="1440" w:gutter="0" w:footer="0" w:header="0"/>
          <w:type w:val="continuous"/>
        </w:sectPr>
      </w:pPr>
    </w:p>
    <w:p>
      <w:pPr>
        <w:spacing w:after="0" w:line="171"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1800" w:space="720"/>
            <w:col w:w="4840" w:space="720"/>
            <w:col w:w="2340" w:space="720"/>
            <w:col w:w="140"/>
          </w:cols>
          <w:pgMar w:left="240" w:top="355" w:right="3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800" w:space="720"/>
            <w:col w:w="140" w:space="80"/>
            <w:col w:w="4620" w:space="720"/>
            <w:col w:w="2340" w:space="720"/>
            <w:col w:w="140"/>
          </w:cols>
          <w:pgMar w:left="240" w:top="355" w:right="379" w:bottom="1440" w:gutter="0" w:footer="0" w:header="0"/>
          <w:type w:val="continuous"/>
        </w:sectPr>
      </w:pPr>
    </w:p>
    <w:p>
      <w:pPr>
        <w:spacing w:after="0" w:line="14" w:lineRule="exact"/>
        <w:rPr>
          <w:sz w:val="24"/>
          <w:szCs w:val="24"/>
          <w:color w:val="auto"/>
        </w:rPr>
      </w:pPr>
    </w:p>
    <w:p>
      <w:pPr>
        <w:ind w:left="7780"/>
        <w:spacing w:after="0" w:line="184" w:lineRule="exact"/>
        <w:tabs>
          <w:tab w:leader="none" w:pos="106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80"/>
          </w:cols>
          <w:pgMar w:left="240" w:top="355" w:right="379" w:bottom="1440" w:gutter="0" w:footer="0" w:header="0"/>
          <w:type w:val="continuous"/>
        </w:sectPr>
      </w:pP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w:t>
      </w:r>
    </w:p>
    <w:p>
      <w:pPr>
        <w:spacing w:after="0" w:line="24" w:lineRule="exact"/>
        <w:rPr>
          <w:sz w:val="24"/>
          <w:szCs w:val="24"/>
          <w:color w:val="auto"/>
        </w:rPr>
      </w:pPr>
    </w:p>
    <w:p>
      <w:pPr>
        <w:spacing w:after="0" w:line="184" w:lineRule="exact"/>
        <w:tabs>
          <w:tab w:leader="none" w:pos="7120" w:val="left"/>
        </w:tabs>
        <w:rPr>
          <w:sz w:val="20"/>
          <w:szCs w:val="20"/>
          <w:color w:val="auto"/>
        </w:rPr>
      </w:pPr>
      <w:r>
        <w:rPr>
          <w:rFonts w:ascii="Arial" w:cs="Arial" w:eastAsia="Arial" w:hAnsi="Arial"/>
          <w:sz w:val="16"/>
          <w:szCs w:val="16"/>
          <w:color w:val="auto"/>
        </w:rPr>
        <w:t>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187" w:lineRule="exact"/>
        <w:rPr>
          <w:sz w:val="24"/>
          <w:szCs w:val="24"/>
          <w:color w:val="auto"/>
        </w:rPr>
      </w:pPr>
    </w:p>
    <w:p>
      <w:pPr>
        <w:ind w:left="520" w:right="218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20, 2018, the registrant had 41,879,073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93"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30" w:lineRule="exact"/>
        <w:rPr>
          <w:rFonts w:ascii="Arial" w:cs="Arial" w:eastAsia="Arial" w:hAnsi="Arial"/>
          <w:sz w:val="18"/>
          <w:szCs w:val="18"/>
          <w:color w:val="auto"/>
        </w:rPr>
      </w:pPr>
    </w:p>
    <w:p>
      <w:pPr>
        <w:ind w:left="1100" w:right="172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Food and Drug Administration or foreign regulatory approval for our product candidates in a timely manner;</w:t>
      </w:r>
    </w:p>
    <w:p>
      <w:pPr>
        <w:spacing w:after="0" w:line="89" w:lineRule="exact"/>
        <w:rPr>
          <w:rFonts w:ascii="Arial" w:cs="Arial" w:eastAsia="Arial" w:hAnsi="Arial"/>
          <w:sz w:val="18"/>
          <w:szCs w:val="18"/>
          <w:color w:val="auto"/>
        </w:rPr>
      </w:pPr>
    </w:p>
    <w:p>
      <w:pPr>
        <w:ind w:left="1100" w:right="222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30" w:lineRule="exact"/>
        <w:rPr>
          <w:rFonts w:ascii="Arial" w:cs="Arial" w:eastAsia="Arial" w:hAnsi="Arial"/>
          <w:sz w:val="18"/>
          <w:szCs w:val="18"/>
          <w:color w:val="auto"/>
        </w:rPr>
      </w:pPr>
    </w:p>
    <w:p>
      <w:pPr>
        <w:ind w:left="1100" w:right="216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30" w:lineRule="exact"/>
        <w:rPr>
          <w:rFonts w:ascii="Arial" w:cs="Arial" w:eastAsia="Arial" w:hAnsi="Arial"/>
          <w:sz w:val="18"/>
          <w:szCs w:val="18"/>
          <w:color w:val="auto"/>
        </w:rPr>
      </w:pPr>
    </w:p>
    <w:p>
      <w:pPr>
        <w:ind w:left="1100" w:right="218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ind w:left="606" w:hanging="606"/>
        <w:spacing w:after="0"/>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30" w:lineRule="exact"/>
        <w:rPr>
          <w:rFonts w:ascii="Arial" w:cs="Arial" w:eastAsia="Arial" w:hAnsi="Arial"/>
          <w:sz w:val="18"/>
          <w:szCs w:val="18"/>
          <w:color w:val="auto"/>
        </w:rPr>
      </w:pPr>
    </w:p>
    <w:p>
      <w:pPr>
        <w:ind w:left="606" w:hanging="606"/>
        <w:spacing w:after="0"/>
        <w:tabs>
          <w:tab w:leader="none" w:pos="606"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foreign exchange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725"/>
          </w:cols>
          <w:pgMar w:left="734" w:top="44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gridSpan w:val="5"/>
          </w:tcPr>
          <w:p>
            <w:pPr>
              <w:jc w:val="center"/>
              <w:ind w:right="3680"/>
              <w:spacing w:after="0"/>
              <w:rPr>
                <w:sz w:val="20"/>
                <w:szCs w:val="20"/>
                <w:color w:val="auto"/>
              </w:rPr>
            </w:pPr>
            <w:r>
              <w:rPr>
                <w:rFonts w:ascii="Arial" w:cs="Arial" w:eastAsia="Arial" w:hAnsi="Arial"/>
                <w:sz w:val="18"/>
                <w:szCs w:val="18"/>
                <w:b w:val="1"/>
                <w:bCs w:val="1"/>
                <w:color w:val="auto"/>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gridSpan w:val="5"/>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PART I. FINANCIAL INFORMATION</w:t>
              </w:r>
            </w:hyperlink>
          </w:p>
        </w:tc>
        <w:tc>
          <w:tcPr>
            <w:tcW w:w="77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4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FINANCIAL STATEMENTS (unaudited)</w:t>
              </w:r>
            </w:hyperlink>
          </w:p>
        </w:tc>
        <w:tc>
          <w:tcPr>
            <w:tcW w:w="50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MANAGEMENT’S DISCUSSION AND ANALYSIS OF FINANCIAL CONDITION AND RESULTS OF OPERATIONS</w:t>
              </w:r>
            </w:hyperlink>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QUANTITATIVE AND QUALITATIVE DISCLOSURES ABOUT MARKET RISK</w:t>
              </w:r>
            </w:hyperlink>
          </w:p>
        </w:tc>
        <w:tc>
          <w:tcPr>
            <w:tcW w:w="33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CONTROLS AND PROCEDURES</w:t>
              </w:r>
            </w:hyperlink>
          </w:p>
        </w:tc>
        <w:tc>
          <w:tcPr>
            <w:tcW w:w="684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5"/>
        </w:trPr>
        <w:tc>
          <w:tcPr>
            <w:tcW w:w="1068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LEGAL PROCEEDINGS</w:t>
              </w:r>
            </w:hyperlink>
          </w:p>
        </w:tc>
        <w:tc>
          <w:tcPr>
            <w:tcW w:w="75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44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944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060" w:type="dxa"/>
            <w:vAlign w:val="bottom"/>
            <w:tcBorders>
              <w:top w:val="single" w:sz="8" w:color="0000EE"/>
            </w:tcBorders>
            <w:gridSpan w:val="1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33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MINE SAFETY DISCLOSURES</w:t>
              </w:r>
            </w:hyperlink>
          </w:p>
        </w:tc>
        <w:tc>
          <w:tcPr>
            <w:tcW w:w="740" w:type="dxa"/>
            <w:vAlign w:val="bottom"/>
            <w:tcBorders>
              <w:top w:val="single" w:sz="8" w:color="0000EE"/>
            </w:tcBorders>
            <w:gridSpan w:val="2"/>
          </w:tcPr>
          <w:p>
            <w:pPr>
              <w:spacing w:after="0"/>
              <w:rPr>
                <w:sz w:val="18"/>
                <w:szCs w:val="18"/>
                <w:color w:val="auto"/>
              </w:rPr>
            </w:pPr>
          </w:p>
        </w:tc>
        <w:tc>
          <w:tcPr>
            <w:tcW w:w="626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944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756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5"/>
        </w:trPr>
        <w:tc>
          <w:tcPr>
            <w:tcW w:w="1240" w:type="dxa"/>
            <w:vAlign w:val="bottom"/>
            <w:gridSpan w:val="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540" w:type="dxa"/>
            <w:vAlign w:val="bottom"/>
          </w:tcPr>
          <w:p>
            <w:pPr>
              <w:jc w:val="center"/>
              <w:ind w:left="255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6540" w:type="dxa"/>
            <w:vAlign w:val="bottom"/>
          </w:tcPr>
          <w:p>
            <w:pPr>
              <w:jc w:val="center"/>
              <w:ind w:left="2550"/>
              <w:spacing w:after="0"/>
              <w:rPr>
                <w:sz w:val="20"/>
                <w:szCs w:val="20"/>
                <w:color w:val="auto"/>
              </w:rPr>
            </w:pPr>
            <w:r>
              <w:rPr>
                <w:rFonts w:ascii="Arial" w:cs="Arial" w:eastAsia="Arial" w:hAnsi="Arial"/>
                <w:sz w:val="18"/>
                <w:szCs w:val="18"/>
                <w:b w:val="1"/>
                <w:bCs w:val="1"/>
                <w:color w:val="auto"/>
              </w:rPr>
              <w:t>MEDICINOVA, INC.</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540" w:type="dxa"/>
            <w:vAlign w:val="bottom"/>
          </w:tcPr>
          <w:p>
            <w:pPr>
              <w:jc w:val="center"/>
              <w:ind w:left="25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center"/>
              <w:ind w:right="232"/>
              <w:spacing w:after="0" w:line="155" w:lineRule="exact"/>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64,162,778</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27,991,743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443,022</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336,580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64,605,800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28,328,323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9,600,240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9,600,240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8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616,657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5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79,076,687</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43,419,064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351,866</w:t>
            </w:r>
          </w:p>
        </w:tc>
        <w:tc>
          <w:tcPr>
            <w:tcW w:w="22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1,520,225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1,216,279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1,360,744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1,568,145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2,880,969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rent</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201,792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201,792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revenue</w:t>
            </w:r>
          </w:p>
        </w:tc>
        <w:tc>
          <w:tcPr>
            <w:tcW w:w="2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w w:val="97"/>
              </w:rPr>
              <w:t>Total liabilities</w:t>
            </w:r>
          </w:p>
        </w:tc>
        <w:tc>
          <w:tcPr>
            <w:tcW w:w="6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3,487,784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4,776,924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3"/>
              </w:rPr>
              <w:t>Common stock, $0.001 par value;100,000,000 shares authorized at June 30, 2018 and December</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5"/>
              </w:rPr>
              <w:t>31, 2017;</w:t>
            </w:r>
          </w:p>
        </w:tc>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41,879,073 and 36,452,893 shares issued and outstanding at June 30, 2018 and</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December 31, 2017, respectively</w:t>
            </w: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41,879</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424,783,220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380,156,510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(92,806)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(94,623)</w:t>
            </w:r>
          </w:p>
        </w:tc>
        <w:tc>
          <w:tcPr>
            <w:tcW w:w="0" w:type="dxa"/>
            <w:vAlign w:val="bottom"/>
          </w:tcPr>
          <w:p>
            <w:pPr>
              <w:spacing w:after="0"/>
              <w:rPr>
                <w:sz w:val="1"/>
                <w:szCs w:val="1"/>
                <w:color w:val="auto"/>
              </w:rPr>
            </w:pPr>
          </w:p>
        </w:tc>
      </w:tr>
      <w:tr>
        <w:trPr>
          <w:trHeight w:val="230"/>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(349,143,390)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(341,456,200)</w:t>
            </w:r>
          </w:p>
        </w:tc>
        <w:tc>
          <w:tcPr>
            <w:tcW w:w="0" w:type="dxa"/>
            <w:vAlign w:val="bottom"/>
          </w:tcPr>
          <w:p>
            <w:pPr>
              <w:spacing w:after="0"/>
              <w:rPr>
                <w:sz w:val="1"/>
                <w:szCs w:val="1"/>
                <w:color w:val="auto"/>
              </w:rPr>
            </w:pPr>
          </w:p>
        </w:tc>
      </w:tr>
      <w:tr>
        <w:trPr>
          <w:trHeight w:val="223"/>
        </w:trPr>
        <w:tc>
          <w:tcPr>
            <w:tcW w:w="7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75,588,903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38,642,140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79,076,687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43,419,064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2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ind w:left="380"/>
              <w:spacing w:after="0"/>
              <w:rPr>
                <w:sz w:val="20"/>
                <w:szCs w:val="20"/>
                <w:color w:val="auto"/>
              </w:rPr>
            </w:pPr>
            <w:r>
              <w:rPr>
                <w:rFonts w:ascii="Arial" w:cs="Arial" w:eastAsia="Arial" w:hAnsi="Arial"/>
                <w:sz w:val="18"/>
                <w:szCs w:val="18"/>
                <w:color w:val="auto"/>
              </w:rPr>
              <w:t>Research, development and patents</w:t>
            </w:r>
          </w:p>
        </w:tc>
        <w:tc>
          <w:tcPr>
            <w:tcW w:w="16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1,379,454</w:t>
            </w:r>
          </w:p>
        </w:tc>
        <w:tc>
          <w:tcPr>
            <w:tcW w:w="14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897,208</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3,041,300</w:t>
            </w:r>
          </w:p>
        </w:tc>
        <w:tc>
          <w:tcPr>
            <w:tcW w:w="22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1,797,869</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2,020,828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1,907,780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5,025,563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4,030,641</w:t>
            </w:r>
          </w:p>
        </w:tc>
        <w:tc>
          <w:tcPr>
            <w:tcW w:w="12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3,400,282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2,804,988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8,066,863</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5,828,510</w:t>
            </w:r>
          </w:p>
        </w:tc>
        <w:tc>
          <w:tcPr>
            <w:tcW w:w="12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(3,400,282)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(2,804,988)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(8,066,863)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(5,828,510)</w:t>
            </w: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Interest Income</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250,231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381,576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39,913</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(10,474)</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(3,142,232)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(2,786,607)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(7,685,283)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(5,799,071)</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(2,030)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(1,907)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(6,090)</w:t>
            </w:r>
          </w:p>
        </w:tc>
      </w:tr>
      <w:tr>
        <w:trPr>
          <w:trHeight w:val="26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14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(3,144,139</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(2,788,637)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(7,687,190</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(5,805,161</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8"/>
                <w:szCs w:val="18"/>
                <w:color w:val="auto"/>
              </w:rPr>
            </w:pPr>
          </w:p>
        </w:tc>
      </w:tr>
      <w:tr>
        <w:trPr>
          <w:trHeight w:val="215"/>
        </w:trPr>
        <w:tc>
          <w:tcPr>
            <w:tcW w:w="472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41,557,644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34,646,670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40,351,585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34,587,216</w:t>
            </w:r>
          </w:p>
        </w:tc>
        <w:tc>
          <w:tcPr>
            <w:tcW w:w="120" w:type="dxa"/>
            <w:vAlign w:val="bottom"/>
          </w:tcPr>
          <w:p>
            <w:pPr>
              <w:spacing w:after="0"/>
              <w:rPr>
                <w:sz w:val="20"/>
                <w:szCs w:val="20"/>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6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(3,144,139)</w:t>
            </w: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(2,788,637)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(7,687,190)</w:t>
            </w: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(5,805,161)</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FF0FC"/>
          </w:tcPr>
          <w:p>
            <w:pPr>
              <w:spacing w:after="0"/>
              <w:rPr>
                <w:sz w:val="19"/>
                <w:szCs w:val="19"/>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Comprehensive loss</w:t>
            </w:r>
          </w:p>
        </w:tc>
        <w:tc>
          <w:tcPr>
            <w:tcW w:w="1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(3,148,152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(2,789,138)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(7,685,373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(5,803,946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6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paid-in</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000" w:type="dxa"/>
            <w:vAlign w:val="bottom"/>
            <w:tcBorders>
              <w:top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1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1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412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2017</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36,452,893</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36,453</w:t>
            </w:r>
          </w:p>
        </w:tc>
        <w:tc>
          <w:tcPr>
            <w:tcW w:w="2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   380,156,510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(94,623)</w:t>
            </w:r>
          </w:p>
        </w:tc>
        <w:tc>
          <w:tcPr>
            <w:tcW w:w="20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5"/>
              </w:rPr>
              <w:t>$   (341,456,200)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38,642,140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3,353,637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3,353,637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w w:val="97"/>
              </w:rPr>
              <w:t>Issuance of shares under an employee stock purchase plan (ESPP)</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Issuance of common stock, net of offering costs</w:t>
            </w:r>
          </w:p>
        </w:tc>
        <w:tc>
          <w:tcPr>
            <w:tcW w:w="1000" w:type="dxa"/>
            <w:vAlign w:val="bottom"/>
          </w:tcPr>
          <w:p>
            <w:pPr>
              <w:jc w:val="right"/>
              <w:spacing w:after="0"/>
              <w:rPr>
                <w:sz w:val="20"/>
                <w:szCs w:val="20"/>
                <w:color w:val="auto"/>
              </w:rPr>
            </w:pPr>
            <w:r>
              <w:rPr>
                <w:rFonts w:ascii="Arial" w:cs="Arial" w:eastAsia="Arial" w:hAnsi="Arial"/>
                <w:sz w:val="14"/>
                <w:szCs w:val="14"/>
                <w:color w:val="auto"/>
              </w:rPr>
              <w:t>4,545,928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4,546</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38,476,355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38,480,901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125,391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407,071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407,196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Exercise of warrants</w:t>
            </w:r>
          </w:p>
        </w:tc>
        <w:tc>
          <w:tcPr>
            <w:tcW w:w="1000" w:type="dxa"/>
            <w:vAlign w:val="bottom"/>
          </w:tcPr>
          <w:p>
            <w:pPr>
              <w:jc w:val="right"/>
              <w:spacing w:after="0"/>
              <w:rPr>
                <w:sz w:val="20"/>
                <w:szCs w:val="20"/>
                <w:color w:val="auto"/>
              </w:rPr>
            </w:pPr>
            <w:r>
              <w:rPr>
                <w:rFonts w:ascii="Arial" w:cs="Arial" w:eastAsia="Arial" w:hAnsi="Arial"/>
                <w:sz w:val="14"/>
                <w:szCs w:val="14"/>
                <w:color w:val="auto"/>
              </w:rPr>
              <w:t>750,000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750</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2,361,750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2,362,500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(7,687,190)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(7,687,190)</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1,817</w:t>
            </w:r>
          </w:p>
        </w:tc>
        <w:tc>
          <w:tcPr>
            <w:tcW w:w="2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June 30, 2018</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41,879,073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41,879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424,783,220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(92,806)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(349,143,390)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75,588,903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3820"/>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4"/>
          </w:tcPr>
          <w:p>
            <w:pPr>
              <w:jc w:val="right"/>
              <w:ind w:right="25"/>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9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90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(7,687,190)</w:t>
            </w:r>
          </w:p>
        </w:tc>
        <w:tc>
          <w:tcPr>
            <w:tcW w:w="60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(5,805,161)</w:t>
            </w:r>
          </w:p>
        </w:tc>
        <w:tc>
          <w:tcPr>
            <w:tcW w:w="0" w:type="dxa"/>
            <w:vAlign w:val="bottom"/>
          </w:tcPr>
          <w:p>
            <w:pPr>
              <w:spacing w:after="0"/>
              <w:rPr>
                <w:sz w:val="1"/>
                <w:szCs w:val="1"/>
                <w:color w:val="auto"/>
              </w:rPr>
            </w:pPr>
          </w:p>
        </w:tc>
      </w:tr>
      <w:tr>
        <w:trPr>
          <w:trHeight w:val="215"/>
        </w:trPr>
        <w:tc>
          <w:tcPr>
            <w:tcW w:w="7900" w:type="dxa"/>
            <w:vAlign w:val="bottom"/>
          </w:tcPr>
          <w:p>
            <w:pPr>
              <w:ind w:left="380"/>
              <w:spacing w:after="0"/>
              <w:rPr>
                <w:sz w:val="20"/>
                <w:szCs w:val="20"/>
                <w:color w:val="auto"/>
              </w:rPr>
            </w:pPr>
            <w:r>
              <w:rPr>
                <w:rFonts w:ascii="Arial" w:cs="Arial" w:eastAsia="Arial" w:hAnsi="Arial"/>
                <w:sz w:val="18"/>
                <w:szCs w:val="18"/>
                <w:color w:val="auto"/>
              </w:rPr>
              <w:t>Adjustments to reconcile net loss to net cash used in operating</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20"/>
              <w:spacing w:after="0"/>
              <w:rPr>
                <w:sz w:val="20"/>
                <w:szCs w:val="20"/>
                <w:color w:val="auto"/>
              </w:rPr>
            </w:pPr>
            <w:r>
              <w:rPr>
                <w:rFonts w:ascii="Arial" w:cs="Arial" w:eastAsia="Arial" w:hAnsi="Arial"/>
                <w:sz w:val="18"/>
                <w:szCs w:val="18"/>
                <w:color w:val="auto"/>
              </w:rPr>
              <w:t>activities: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stock-based compensation</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3,353,637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 in joint venture investment</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(19,867)</w:t>
            </w: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(104,307)</w:t>
            </w: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120"/>
              <w:spacing w:after="0"/>
              <w:rPr>
                <w:sz w:val="20"/>
                <w:szCs w:val="20"/>
                <w:color w:val="auto"/>
              </w:rPr>
            </w:pPr>
            <w:r>
              <w:rPr>
                <w:rFonts w:ascii="Arial" w:cs="Arial" w:eastAsia="Arial" w:hAnsi="Arial"/>
                <w:sz w:val="18"/>
                <w:szCs w:val="18"/>
                <w:color w:val="auto"/>
              </w:rPr>
              <w:t>Accounts payable, accrued liabilities and other liabilities</w:t>
            </w:r>
          </w:p>
        </w:tc>
        <w:tc>
          <w:tcPr>
            <w:tcW w:w="3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(1,290,513)</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(214,784)</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(5,734,761)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(3,958,519)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(10,207)</w:t>
            </w: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Proceeds from dissolution of joint venture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636,524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626,317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common stock, exercise of common</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options and warrants, net of issuance costs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41,250,597</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2,665,225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41,278,499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36,171,035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27,991,743</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24,118,037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64,162,778</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22,890,047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taxes paid</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w:t>
            </w: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chemotherapy-induced peripheral neuropathy and substance dependence and addiction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financial statements should be read in conjunction with the audited consolidated financial statements and notes thereto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included in the Company’s Annual Report on Form 10-K filed with the SEC. The results of operations for the interim period shown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report are not necessarily indicative of the results that may be expected for any other interim period or for the full year. The balance sheet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has been derived from the audited financial statements at that date, but does not include all of the information and footnotes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for complete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160" w:firstLine="558"/>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$1.3 million and $0.8 million for the three months ended June 30, 2018 and 2017, respectively. Research and development costs totaled $2.9 million and $1.7 million for the six months ended June 30, 2018 and 2017, respectively.</w:t>
      </w:r>
    </w:p>
    <w:p>
      <w:pPr>
        <w:spacing w:after="0" w:line="187"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each of the three and six months ended June 30, 2018 and 2017,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360" w:firstLine="761"/>
        <w:spacing w:after="0" w:line="277" w:lineRule="auto"/>
        <w:rPr>
          <w:sz w:val="20"/>
          <w:szCs w:val="20"/>
          <w:color w:val="auto"/>
        </w:rPr>
      </w:pPr>
      <w:r>
        <w:rPr>
          <w:rFonts w:ascii="Arial" w:cs="Arial" w:eastAsia="Arial" w:hAnsi="Arial"/>
          <w:sz w:val="18"/>
          <w:szCs w:val="18"/>
          <w:color w:val="auto"/>
        </w:rPr>
        <w:t xml:space="preserve">In June 2018, the FASB issued Accounting Standards Update (“ASU”) No.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which expands the scope of ASC 718 to include all share-based payment arrangements related to the acquisition of goods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 w:name="page10"/>
    <w:bookmarkEnd w:id="9"/>
    <w:p>
      <w:pPr>
        <w:jc w:val="both"/>
        <w:ind w:right="320"/>
        <w:spacing w:after="0" w:line="264" w:lineRule="auto"/>
        <w:rPr>
          <w:sz w:val="20"/>
          <w:szCs w:val="20"/>
          <w:color w:val="auto"/>
        </w:rPr>
      </w:pPr>
      <w:r>
        <w:rPr>
          <w:rFonts w:ascii="Arial" w:cs="Arial" w:eastAsia="Arial" w:hAnsi="Arial"/>
          <w:sz w:val="18"/>
          <w:szCs w:val="18"/>
          <w:color w:val="auto"/>
        </w:rPr>
        <w:t>and services from both nonemployees and employees. The amendment is effective for fiscal years beginning after December 15, 2018, including interim periods within that fiscal year with early adoption permitted. We are evaluating the impact that the adoption of this amendment will have on our financial statements.</w:t>
      </w:r>
    </w:p>
    <w:p>
      <w:pPr>
        <w:spacing w:after="0" w:line="73" w:lineRule="exact"/>
        <w:rPr>
          <w:sz w:val="20"/>
          <w:szCs w:val="20"/>
          <w:color w:val="auto"/>
        </w:rPr>
      </w:pPr>
    </w:p>
    <w:p>
      <w:pPr>
        <w:ind w:right="40" w:firstLine="761"/>
        <w:spacing w:after="0" w:line="257" w:lineRule="auto"/>
        <w:rPr>
          <w:sz w:val="20"/>
          <w:szCs w:val="20"/>
          <w:color w:val="auto"/>
        </w:rPr>
      </w:pPr>
      <w:r>
        <w:rPr>
          <w:rFonts w:ascii="Arial" w:cs="Arial" w:eastAsia="Arial" w:hAnsi="Arial"/>
          <w:sz w:val="18"/>
          <w:szCs w:val="18"/>
          <w:color w:val="auto"/>
        </w:rPr>
        <w:t>In February 2016, the FASB issued ASU 2016-02, Leases, which introduces the recognition of lease assets and lease liabilities by lessees for those leases classified as operating leases under previous guidance. The new standard establishes a right-of-use (ROU) model that requires a lessee to record an ROU asset and a lease liability on the balance sheet for all leases with terms longer than 12 months. The new standard is effective for fiscal years beginning after December 15, 2018 and interim periods within those fiscal years with early adoption permitted. We are evaluating the impact that the adoption of this standard will have on our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firstLine="678"/>
        <w:spacing w:after="0" w:line="273" w:lineRule="auto"/>
        <w:rPr>
          <w:sz w:val="20"/>
          <w:szCs w:val="20"/>
          <w:color w:val="auto"/>
        </w:rPr>
      </w:pPr>
      <w:r>
        <w:rPr>
          <w:rFonts w:ascii="Arial" w:cs="Arial" w:eastAsia="Arial" w:hAnsi="Arial"/>
          <w:sz w:val="17"/>
          <w:szCs w:val="17"/>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the vendor has an enforceable right to payment for performance completed to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678"/>
        <w:spacing w:after="0" w:line="273" w:lineRule="auto"/>
        <w:rPr>
          <w:sz w:val="20"/>
          <w:szCs w:val="20"/>
          <w:color w:val="auto"/>
        </w:rPr>
      </w:pPr>
      <w:r>
        <w:rPr>
          <w:rFonts w:ascii="Arial" w:cs="Arial" w:eastAsia="Arial" w:hAnsi="Arial"/>
          <w:sz w:val="17"/>
          <w:szCs w:val="17"/>
          <w:color w:val="auto"/>
        </w:rPr>
        <w:t>In October 2011, the Company entered into a collaboration agreement with Kissei Pharmaceutical Co., Ltd., (“Kissei”), to perform research and development services relating to MN-221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2012 and the second study has not begun as of June 30, 2018. The Company expects that the study will be completed after 2018. The amount received from Kissei and allocated, net of the amount recorded as revenue, is included on the balance sheet as long-term deferred revenue and will be recognized as revenue as the remaining performance obligation is satisfied. No revenue was recognized for the three and six months ended June 30, 2018 and 2017 in connection with the collaboration agreement with Kissei.</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40" w:right="94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Cash and cash equivalents, including money market accounts of $670,988 and $666,265 measured at fair value as of June 30, 2018 and December 31, 2017, respectively, are classified within Level 1 of the fair value hierarchy.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right="280" w:firstLine="650"/>
        <w:spacing w:after="0" w:line="259" w:lineRule="auto"/>
        <w:rPr>
          <w:sz w:val="20"/>
          <w:szCs w:val="20"/>
          <w:color w:val="auto"/>
        </w:rPr>
      </w:pPr>
      <w:r>
        <w:rPr>
          <w:rFonts w:ascii="Arial" w:cs="Arial" w:eastAsia="Arial" w:hAnsi="Arial"/>
          <w:sz w:val="18"/>
          <w:szCs w:val="18"/>
          <w:color w:val="auto"/>
        </w:rPr>
        <w:t>The Company entered into an agreement to form a joint venture company with Zhejiang Medicine Co., Ltd. and Beijing Medfron Medical Technologies Co., Ltd. (formerly Beijing Make-Friend Medicine Technology Co., Ltd.) effective September 27, 2011. In August 2014, the Chinese government approved the amendment to the joint venture agreement to allow for the departure of Zhejiang Medicine Co., Ltd. The amended joint venture agreement provides for the joint venture company, Zhejiang Sunmy Bio-</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t>Medical Co., Ltd. (Zhejiang Sunmy), to develop and commercialize MN-221 in China and pursue additional compounds to develop, each with a 50% interest in Zhejiang Sunmy.</w:t>
      </w:r>
    </w:p>
    <w:p>
      <w:pPr>
        <w:spacing w:after="0" w:line="170"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Zhejiang Sunmy was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w:t>
      </w:r>
    </w:p>
    <w:p>
      <w:pPr>
        <w:spacing w:after="0" w:line="160" w:lineRule="exact"/>
        <w:rPr>
          <w:sz w:val="20"/>
          <w:szCs w:val="20"/>
          <w:color w:val="auto"/>
        </w:rPr>
      </w:pPr>
    </w:p>
    <w:p>
      <w:pPr>
        <w:ind w:right="80" w:firstLine="650"/>
        <w:spacing w:after="0" w:line="302" w:lineRule="auto"/>
        <w:rPr>
          <w:sz w:val="20"/>
          <w:szCs w:val="20"/>
          <w:color w:val="auto"/>
        </w:rPr>
      </w:pPr>
      <w:r>
        <w:rPr>
          <w:rFonts w:ascii="Arial" w:cs="Arial" w:eastAsia="Arial" w:hAnsi="Arial"/>
          <w:sz w:val="16"/>
          <w:szCs w:val="16"/>
          <w:color w:val="auto"/>
        </w:rPr>
        <w:t>On July 24, 2017, the Company and Beijing Medfron Medical Technologies Co., Ltd. agreed to dissolve Zhejiang Sunmy, subject to approval by applicable Chinese regulatory authorities which was granted on December 11, 2017. At December 31, 2017, the Company reflected a long-term asset on the Company’s consolidated balance sheet which represented the Company’s investment in Zhejiang Sunmy, net of the Company’s portion of any generated loss or income. In April 2018, the Company received proceeds of $0.6 million from the dissolution of the joint venture and liquidation of its investment.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In June 2013, the Company adopted the 2013 Equity Incentive Plan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(2004 Plan). A total of 5,200,000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June 30, 2018, 1,494,592 shares remain available for future grants under the 2013 Plan.</w:t>
      </w:r>
    </w:p>
    <w:p>
      <w:pPr>
        <w:spacing w:after="0" w:line="16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occasionally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and generally vest over a three or four year period. The exercise price of all options granted through June 30, 2018 and in 2017 was equal to the market value of the Company’s common stock on the date of grant.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June 30, 2018 is as follows:</w:t>
      </w:r>
    </w:p>
    <w:p>
      <w:pPr>
        <w:spacing w:after="0" w:line="218"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5,514,038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1,222,000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(125,391)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30,2018</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2018</w:t>
            </w: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5,325,813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During the six months ended June 30, 2018, 125,391 options were exercised, from which the Company received gross proceeds of $0.4 million. No options were exercised during the six months ended June 30, 2017.</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For the six months ended June 30, 2018, an aggregate of 4,861 shares were issued under the ESPP. As of June 30, 2018, there were 194,111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Stock-based compensation expense for stock option awards and ESPP shares are reflected in total operating expenses for each respective year. For the three months ended June 30, 2018 and 2017 stock-based compensation expense related to stock options and the ESPP was $0.8 million and $0.7 million, respectively.</w:t>
      </w:r>
    </w:p>
    <w:p>
      <w:pPr>
        <w:spacing w:after="0" w:line="7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For the six months ended June 30, 2018 and 2017, stock-based compensation expense related to stock options and the ESPP was $3.4 million and $1.9 million, respectively.</w:t>
      </w:r>
    </w:p>
    <w:p>
      <w:pPr>
        <w:spacing w:after="0" w:line="170"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The Company uses the Black-Scholes valuation model for determining the estimated fair value for stock-based awards granted to employees. The following table provides the assumptions for stock option grants used in the Black-Scholes valuation model used to estimate the fair value of options granted during the six months ended June 30, 2018 and 2017 and to estimate the fair value of performance-based stock options as of June 30, 2018 and 2017.</w:t>
      </w:r>
    </w:p>
    <w:p>
      <w:pPr>
        <w:sectPr>
          <w:pgSz w:w="11900" w:h="16838" w:orient="portrait"/>
          <w:cols w:equalWidth="0" w:num="1">
            <w:col w:w="11380"/>
          </w:cols>
          <w:pgMar w:left="240" w:top="665" w:right="279" w:bottom="1440" w:gutter="0" w:footer="0" w:header="0"/>
        </w:sectPr>
      </w:pPr>
    </w:p>
    <w:p>
      <w:pPr>
        <w:spacing w:after="0" w:line="233" w:lineRule="exact"/>
        <w:rPr>
          <w:sz w:val="20"/>
          <w:szCs w:val="20"/>
          <w:color w:val="auto"/>
        </w:rPr>
      </w:pPr>
    </w:p>
    <w:p>
      <w:pPr>
        <w:jc w:val="center"/>
        <w:ind w:left="5580"/>
        <w:spacing w:after="0"/>
        <w:rPr>
          <w:sz w:val="20"/>
          <w:szCs w:val="20"/>
          <w:color w:val="auto"/>
        </w:rPr>
      </w:pPr>
      <w:r>
        <w:rPr>
          <w:rFonts w:ascii="Arial" w:cs="Arial" w:eastAsia="Arial" w:hAnsi="Arial"/>
          <w:sz w:val="12"/>
          <w:szCs w:val="12"/>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20955</wp:posOffset>
            </wp:positionV>
            <wp:extent cx="13804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8"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June 30, 2018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1640"/>
        <w:spacing w:after="0"/>
        <w:rPr>
          <w:sz w:val="20"/>
          <w:szCs w:val="20"/>
          <w:color w:val="auto"/>
        </w:rPr>
      </w:pPr>
      <w:r>
        <w:rPr>
          <w:rFonts w:ascii="Arial" w:cs="Arial" w:eastAsia="Arial" w:hAnsi="Arial"/>
          <w:sz w:val="12"/>
          <w:szCs w:val="12"/>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20955</wp:posOffset>
            </wp:positionV>
            <wp:extent cx="13804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8" w:lineRule="exact"/>
        <w:rPr>
          <w:sz w:val="20"/>
          <w:szCs w:val="20"/>
          <w:color w:val="auto"/>
        </w:rPr>
      </w:pPr>
    </w:p>
    <w:p>
      <w:pPr>
        <w:jc w:val="center"/>
        <w:ind w:right="1640"/>
        <w:spacing w:after="0"/>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sectPr>
          <w:pgSz w:w="11900" w:h="16838" w:orient="portrait"/>
          <w:cols w:equalWidth="0" w:num="2">
            <w:col w:w="7940" w:space="720"/>
            <w:col w:w="2720"/>
          </w:cols>
          <w:pgMar w:left="240" w:top="665" w:right="279" w:bottom="1440" w:gutter="0" w:footer="0" w:header="0"/>
          <w:type w:val="continuous"/>
        </w:sectPr>
      </w:pPr>
    </w:p>
    <w:tbl>
      <w:tblPr>
        <w:tblLayout w:type="fixed"/>
        <w:tblInd w:w="1040" w:type="dxa"/>
        <w:tblCellMar>
          <w:top w:w="0" w:type="dxa"/>
          <w:left w:w="0" w:type="dxa"/>
          <w:bottom w:w="0" w:type="dxa"/>
          <w:right w:w="0" w:type="dxa"/>
        </w:tblCellMar>
      </w:tblP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2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1"/>
              </w:rPr>
              <w:t>2.73-2.77%</w:t>
            </w:r>
          </w:p>
        </w:tc>
        <w:tc>
          <w:tcPr>
            <w:tcW w:w="2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1.75-1.89%</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218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59.76-66.70%</w:t>
            </w:r>
          </w:p>
        </w:tc>
        <w:tc>
          <w:tcPr>
            <w:tcW w:w="220" w:type="dxa"/>
            <w:vAlign w:val="bottom"/>
            <w:shd w:val="clear" w:color="auto" w:fill="CFF0FC"/>
          </w:tcPr>
          <w:p>
            <w:pPr>
              <w:spacing w:after="0"/>
              <w:rPr>
                <w:sz w:val="19"/>
                <w:szCs w:val="19"/>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66.33-70.93%</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Dividend yield</w:t>
            </w:r>
          </w:p>
        </w:tc>
        <w:tc>
          <w:tcPr>
            <w:tcW w:w="2180" w:type="dxa"/>
            <w:vAlign w:val="bottom"/>
          </w:tcPr>
          <w:p>
            <w:pPr>
              <w:jc w:val="center"/>
              <w:ind w:right="30"/>
              <w:spacing w:after="0"/>
              <w:rPr>
                <w:sz w:val="20"/>
                <w:szCs w:val="20"/>
                <w:color w:val="auto"/>
              </w:rPr>
            </w:pPr>
            <w:r>
              <w:rPr>
                <w:rFonts w:ascii="Arial" w:cs="Arial" w:eastAsia="Arial" w:hAnsi="Arial"/>
                <w:sz w:val="18"/>
                <w:szCs w:val="18"/>
                <w:color w:val="auto"/>
                <w:w w:val="92"/>
              </w:rPr>
              <w:t>0.0%</w:t>
            </w:r>
          </w:p>
        </w:tc>
        <w:tc>
          <w:tcPr>
            <w:tcW w:w="2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18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9"/>
              </w:rPr>
              <w:t>5.0-5.3</w:t>
            </w:r>
          </w:p>
        </w:tc>
        <w:tc>
          <w:tcPr>
            <w:tcW w:w="220" w:type="dxa"/>
            <w:vAlign w:val="bottom"/>
            <w:shd w:val="clear" w:color="auto" w:fill="CFF0FC"/>
          </w:tcPr>
          <w:p>
            <w:pPr>
              <w:spacing w:after="0"/>
              <w:rPr>
                <w:sz w:val="19"/>
                <w:szCs w:val="19"/>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5.1-5.3</w:t>
            </w:r>
          </w:p>
        </w:tc>
        <w:tc>
          <w:tcPr>
            <w:tcW w:w="100" w:type="dxa"/>
            <w:vAlign w:val="bottom"/>
            <w:shd w:val="clear" w:color="auto" w:fill="CFF0FC"/>
          </w:tcPr>
          <w:p>
            <w:pPr>
              <w:spacing w:after="0"/>
              <w:rPr>
                <w:sz w:val="19"/>
                <w:szCs w:val="19"/>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2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18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1.92%</w:t>
            </w:r>
          </w:p>
        </w:tc>
        <w:tc>
          <w:tcPr>
            <w:tcW w:w="220" w:type="dxa"/>
            <w:vAlign w:val="bottom"/>
            <w:shd w:val="clear" w:color="auto" w:fill="CFF0FC"/>
          </w:tcPr>
          <w:p>
            <w:pPr>
              <w:spacing w:after="0"/>
              <w:rPr>
                <w:sz w:val="19"/>
                <w:szCs w:val="19"/>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0.92%</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180" w:type="dxa"/>
            <w:vAlign w:val="bottom"/>
          </w:tcPr>
          <w:p>
            <w:pPr>
              <w:jc w:val="center"/>
              <w:ind w:right="30"/>
              <w:spacing w:after="0"/>
              <w:rPr>
                <w:sz w:val="20"/>
                <w:szCs w:val="20"/>
                <w:color w:val="auto"/>
              </w:rPr>
            </w:pPr>
            <w:r>
              <w:rPr>
                <w:rFonts w:ascii="Arial" w:cs="Arial" w:eastAsia="Arial" w:hAnsi="Arial"/>
                <w:sz w:val="18"/>
                <w:szCs w:val="18"/>
                <w:color w:val="auto"/>
                <w:w w:val="90"/>
              </w:rPr>
              <w:t>76.8%</w:t>
            </w:r>
          </w:p>
        </w:tc>
        <w:tc>
          <w:tcPr>
            <w:tcW w:w="2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3"/>
              </w:rPr>
              <w:t>34.9%</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18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2"/>
              </w:rPr>
              <w:t>0.0%</w:t>
            </w:r>
          </w:p>
        </w:tc>
        <w:tc>
          <w:tcPr>
            <w:tcW w:w="220" w:type="dxa"/>
            <w:vAlign w:val="bottom"/>
            <w:shd w:val="clear" w:color="auto" w:fill="CFF0FC"/>
          </w:tcPr>
          <w:p>
            <w:pPr>
              <w:spacing w:after="0"/>
              <w:rPr>
                <w:sz w:val="19"/>
                <w:szCs w:val="19"/>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0.0%</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180" w:type="dxa"/>
            <w:vAlign w:val="bottom"/>
          </w:tcPr>
          <w:p>
            <w:pPr>
              <w:jc w:val="right"/>
              <w:ind w:right="91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0"/>
                <w:szCs w:val="20"/>
                <w:color w:val="auto"/>
              </w:rPr>
            </w:pPr>
          </w:p>
        </w:tc>
        <w:tc>
          <w:tcPr>
            <w:tcW w:w="2180" w:type="dxa"/>
            <w:vAlign w:val="bottom"/>
          </w:tcPr>
          <w:p>
            <w:pPr>
              <w:jc w:val="right"/>
              <w:ind w:right="8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right="560" w:firstLine="518"/>
        <w:spacing w:after="0" w:line="258" w:lineRule="auto"/>
        <w:rPr>
          <w:sz w:val="20"/>
          <w:szCs w:val="20"/>
          <w:color w:val="auto"/>
        </w:rPr>
      </w:pPr>
      <w:r>
        <w:rPr>
          <w:rFonts w:ascii="Arial" w:cs="Arial" w:eastAsia="Arial" w:hAnsi="Arial"/>
          <w:sz w:val="18"/>
          <w:szCs w:val="18"/>
          <w:color w:val="auto"/>
        </w:rPr>
        <w:t>As of June 30, 2018, there was $3.2 million of unamortized compensation cost related to unvested stock option awards which is expected to be recognized over a remaining weighted-average vesting period of 0.54 years, on a straight-line basis.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On May 22, 2015, the Company entered into an at-the-market issuance sales agreement (the “ATM Agreement”) with MLV &amp; Co. LLC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type w:val="continuous"/>
        </w:sectPr>
      </w:pPr>
    </w:p>
    <w:bookmarkStart w:id="12" w:name="page13"/>
    <w:bookmarkEnd w:id="12"/>
    <w:p>
      <w:pPr>
        <w:jc w:val="both"/>
        <w:ind w:right="120" w:firstLine="518"/>
        <w:spacing w:after="0" w:line="264" w:lineRule="auto"/>
        <w:rPr>
          <w:sz w:val="20"/>
          <w:szCs w:val="20"/>
          <w:color w:val="auto"/>
        </w:rPr>
      </w:pPr>
      <w:r>
        <w:rPr>
          <w:rFonts w:ascii="Arial" w:cs="Arial" w:eastAsia="Arial" w:hAnsi="Arial"/>
          <w:sz w:val="18"/>
          <w:szCs w:val="18"/>
          <w:color w:val="auto"/>
        </w:rPr>
        <w:t>The Company is not obligated to make any sales of common stock under the sales agreement and may terminate the sales agreement at any time upon written notice. On September 16, 2016, the Company amended the original sales agreement with MLV to also include FBR Capital Markets &amp; Co. as a sales agent.</w:t>
      </w:r>
    </w:p>
    <w:p>
      <w:pPr>
        <w:spacing w:after="0" w:line="181" w:lineRule="exact"/>
        <w:rPr>
          <w:sz w:val="20"/>
          <w:szCs w:val="20"/>
          <w:color w:val="auto"/>
        </w:rPr>
      </w:pPr>
    </w:p>
    <w:p>
      <w:pPr>
        <w:ind w:right="60" w:firstLine="563"/>
        <w:spacing w:after="0" w:line="264" w:lineRule="auto"/>
        <w:rPr>
          <w:sz w:val="20"/>
          <w:szCs w:val="20"/>
          <w:color w:val="auto"/>
        </w:rPr>
      </w:pPr>
      <w:r>
        <w:rPr>
          <w:rFonts w:ascii="Arial" w:cs="Arial" w:eastAsia="Arial" w:hAnsi="Arial"/>
          <w:sz w:val="18"/>
          <w:szCs w:val="18"/>
          <w:color w:val="auto"/>
        </w:rPr>
        <w:t>No shares of common stock were sold under this agreement in the six month period ended June 30, 2018. For the six months ended June 30, 2017, the Company generated gross proceeds of $2.8 million and incurred issuance costs of $0.1 million under this agreement on sales of 482,187 shares of the Company’s common stock at a weighted average price of $5.78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During the six months ended June 30, 2018, warrants to purchase 750,000 shares of the Company’s common stock were exercised for gross proceeds of $2.4 million. Upon exercise of the 750,000 warrants, there were no more warrants outstanding to purchase the Company’s common stock. No warrants were exercised during the six months ended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7" w:lineRule="exact"/>
        <w:rPr>
          <w:sz w:val="20"/>
          <w:szCs w:val="20"/>
          <w:color w:val="auto"/>
        </w:rPr>
      </w:pPr>
    </w:p>
    <w:p>
      <w:pPr>
        <w:ind w:right="280" w:firstLine="761"/>
        <w:spacing w:after="0" w:line="297" w:lineRule="auto"/>
        <w:rPr>
          <w:sz w:val="20"/>
          <w:szCs w:val="20"/>
          <w:color w:val="auto"/>
        </w:rPr>
      </w:pPr>
      <w:r>
        <w:rPr>
          <w:rFonts w:ascii="Arial" w:cs="Arial" w:eastAsia="Arial" w:hAnsi="Arial"/>
          <w:sz w:val="16"/>
          <w:szCs w:val="16"/>
          <w:color w:val="auto"/>
        </w:rPr>
        <w:t>On February 12, 2018, the Company completed a firm-commitment underwritten public offering of 4,419,890 shares of common stock at a purchase price of $9.05 per share for aggregate gross proceeds of $40.0 million and received aggregate net proceeds of approximately $37.4 million, net of underwriting discounts and commissions and offering expenses. Additionally, the Company granted the underwriters a 30-day option to purchase up to an additional 662,983 shares of commons stock at the public offering price, and on February 21, 2018, the Company sold an additional 126,038 shares of Common Stock for gross proceeds of $1.1 million pursuant to the partial exercise by the underwriters of their over-allotment option.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if their effect is anti-dilutive.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potentially dilutive outstanding securities were excluded from diluted net loss per common share because of their anti-dilutive effect: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3500" w:type="dxa"/>
            <w:vAlign w:val="bottom"/>
          </w:tcPr>
          <w:p>
            <w:pPr>
              <w:spacing w:after="0"/>
              <w:rPr>
                <w:sz w:val="14"/>
                <w:szCs w:val="14"/>
                <w:color w:val="auto"/>
              </w:rPr>
            </w:pPr>
          </w:p>
        </w:tc>
      </w:tr>
      <w:tr>
        <w:trPr>
          <w:trHeight w:val="156"/>
        </w:trPr>
        <w:tc>
          <w:tcPr>
            <w:tcW w:w="3480" w:type="dxa"/>
            <w:vAlign w:val="bottom"/>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3500" w:type="dxa"/>
            <w:vAlign w:val="bottom"/>
          </w:tcPr>
          <w:p>
            <w:pPr>
              <w:spacing w:after="0"/>
              <w:rPr>
                <w:sz w:val="13"/>
                <w:szCs w:val="13"/>
                <w:color w:val="auto"/>
              </w:rPr>
            </w:pPr>
          </w:p>
        </w:tc>
      </w:tr>
      <w:tr>
        <w:trPr>
          <w:trHeight w:val="237"/>
        </w:trPr>
        <w:tc>
          <w:tcPr>
            <w:tcW w:w="3480" w:type="dxa"/>
            <w:vAlign w:val="bottom"/>
          </w:tcPr>
          <w:p>
            <w:pPr>
              <w:spacing w:after="0"/>
              <w:rPr>
                <w:sz w:val="20"/>
                <w:szCs w:val="20"/>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2"/>
              </w:rPr>
              <w:t>5,587,017</w:t>
            </w:r>
          </w:p>
        </w:tc>
        <w:tc>
          <w:tcPr>
            <w:tcW w:w="3500" w:type="dxa"/>
            <w:vAlign w:val="bottom"/>
          </w:tcPr>
          <w:p>
            <w:pPr>
              <w:spacing w:after="0"/>
              <w:rPr>
                <w:sz w:val="20"/>
                <w:szCs w:val="20"/>
                <w:color w:val="auto"/>
              </w:rPr>
            </w:pPr>
          </w:p>
        </w:tc>
      </w:tr>
      <w:tr>
        <w:trPr>
          <w:trHeight w:val="257"/>
        </w:trPr>
        <w:tc>
          <w:tcPr>
            <w:tcW w:w="5040" w:type="dxa"/>
            <w:vAlign w:val="bottom"/>
            <w:gridSpan w:val="2"/>
          </w:tcPr>
          <w:p>
            <w:pPr>
              <w:ind w:left="3480"/>
              <w:spacing w:after="0"/>
              <w:rPr>
                <w:sz w:val="20"/>
                <w:szCs w:val="20"/>
                <w:color w:val="auto"/>
              </w:rPr>
            </w:pPr>
            <w:r>
              <w:rPr>
                <w:rFonts w:ascii="Arial" w:cs="Arial" w:eastAsia="Arial" w:hAnsi="Arial"/>
                <w:sz w:val="18"/>
                <w:szCs w:val="18"/>
                <w:color w:val="auto"/>
              </w:rPr>
              <w:t>Warrants</w:t>
            </w:r>
          </w:p>
        </w:tc>
        <w:tc>
          <w:tcPr>
            <w:tcW w:w="700" w:type="dxa"/>
            <w:vAlign w:val="bottom"/>
          </w:tcPr>
          <w:p>
            <w:pPr>
              <w:spacing w:after="0"/>
              <w:rPr>
                <w:sz w:val="22"/>
                <w:szCs w:val="22"/>
                <w:color w:val="auto"/>
              </w:rPr>
            </w:pPr>
          </w:p>
        </w:tc>
        <w:tc>
          <w:tcPr>
            <w:tcW w:w="13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869,047</w:t>
            </w:r>
          </w:p>
        </w:tc>
        <w:tc>
          <w:tcPr>
            <w:tcW w:w="3500" w:type="dxa"/>
            <w:vAlign w:val="bottom"/>
          </w:tcPr>
          <w:p>
            <w:pPr>
              <w:spacing w:after="0"/>
              <w:rPr>
                <w:sz w:val="22"/>
                <w:szCs w:val="22"/>
                <w:color w:val="auto"/>
              </w:rPr>
            </w:pPr>
          </w:p>
        </w:tc>
      </w:tr>
      <w:tr>
        <w:trPr>
          <w:trHeight w:val="223"/>
        </w:trPr>
        <w:tc>
          <w:tcPr>
            <w:tcW w:w="3480" w:type="dxa"/>
            <w:vAlign w:val="bottom"/>
          </w:tcPr>
          <w:p>
            <w:pPr>
              <w:spacing w:after="0"/>
              <w:rPr>
                <w:sz w:val="19"/>
                <w:szCs w:val="19"/>
                <w:color w:val="auto"/>
              </w:rPr>
            </w:pPr>
          </w:p>
        </w:tc>
        <w:tc>
          <w:tcPr>
            <w:tcW w:w="1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2"/>
              </w:rPr>
              <w:t>6,456,064</w:t>
            </w:r>
          </w:p>
        </w:tc>
        <w:tc>
          <w:tcPr>
            <w:tcW w:w="350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872"/>
        </w:trPr>
        <w:tc>
          <w:tcPr>
            <w:tcW w:w="3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gridSpan w:val="2"/>
          </w:tcPr>
          <w:p>
            <w:pPr>
              <w:jc w:val="right"/>
              <w:ind w:right="859"/>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2017 included in our Annual Report on Form 10-K filed with the Securities and Exchange Commission, or SEC, on February 13, 2018. Past operating results are not necessarily indicative of results that may occur in future periods.</w:t>
      </w:r>
    </w:p>
    <w:p>
      <w:pPr>
        <w:spacing w:after="0" w:line="17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chemotherapy-induced peripheral neuropathy and substance dependence and addiction (e.g.,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65"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June 30, 2018, we had an accumulated deficit of $349.1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225" w:lineRule="exact"/>
        <w:rPr>
          <w:rFonts w:ascii="Arial" w:cs="Arial" w:eastAsia="Arial" w:hAnsi="Arial"/>
          <w:sz w:val="18"/>
          <w:szCs w:val="18"/>
          <w:color w:val="auto"/>
        </w:rPr>
      </w:pPr>
    </w:p>
    <w:p>
      <w:pPr>
        <w:ind w:left="1040" w:right="40"/>
        <w:spacing w:after="0" w:line="255"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are funding portions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National Institutes of Health (“NIH”). In addition, we contributed financially to the clinical trial of MN-166 (ibudilast) for the treatment of ALS as well as the ongoing ALS / Biomarker study. We intend to pursue additional strategic alliances to help support further clinical development of MN-166 (ibudilast).</w:t>
      </w:r>
    </w:p>
    <w:p>
      <w:pPr>
        <w:spacing w:after="0" w:line="81" w:lineRule="exact"/>
        <w:rPr>
          <w:rFonts w:ascii="Arial" w:cs="Arial" w:eastAsia="Arial" w:hAnsi="Arial"/>
          <w:sz w:val="18"/>
          <w:szCs w:val="18"/>
          <w:color w:val="auto"/>
        </w:rPr>
      </w:pPr>
    </w:p>
    <w:p>
      <w:pPr>
        <w:ind w:left="1040" w:hanging="55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diseases such as NASH and IPF.</w:t>
      </w:r>
    </w:p>
    <w:p>
      <w:pPr>
        <w:spacing w:after="0" w:line="117" w:lineRule="exact"/>
        <w:rPr>
          <w:rFonts w:ascii="Arial" w:cs="Arial" w:eastAsia="Arial" w:hAnsi="Arial"/>
          <w:sz w:val="18"/>
          <w:szCs w:val="18"/>
          <w:color w:val="auto"/>
        </w:rPr>
      </w:pPr>
    </w:p>
    <w:p>
      <w:pPr>
        <w:ind w:left="1040" w:right="4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ind w:left="1040" w:right="76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late-stage product development and successfully commercialize our products.</w:t>
      </w:r>
    </w:p>
    <w:p>
      <w:pPr>
        <w:spacing w:after="0" w:line="170" w:lineRule="exact"/>
        <w:rPr>
          <w:rFonts w:ascii="Arial" w:cs="Arial" w:eastAsia="Arial" w:hAnsi="Arial"/>
          <w:sz w:val="18"/>
          <w:szCs w:val="18"/>
          <w:color w:val="auto"/>
        </w:rPr>
      </w:pPr>
    </w:p>
    <w:p>
      <w:pPr>
        <w:ind w:left="1060" w:right="380"/>
        <w:spacing w:after="0" w:line="259" w:lineRule="auto"/>
        <w:rPr>
          <w:rFonts w:ascii="Arial" w:cs="Arial" w:eastAsia="Arial" w:hAnsi="Arial"/>
          <w:sz w:val="18"/>
          <w:szCs w:val="18"/>
          <w:color w:val="auto"/>
        </w:rPr>
      </w:pPr>
      <w:r>
        <w:rPr>
          <w:rFonts w:ascii="Arial" w:cs="Arial" w:eastAsia="Arial" w:hAnsi="Arial"/>
          <w:sz w:val="18"/>
          <w:szCs w:val="18"/>
          <w:color w:val="auto"/>
        </w:rPr>
        <w:t>We develop and maintain relationships with pharmaceutical companies that are therapeutic category leaders. Upon completion of proof-of-concept Phase 2 clinical trials, we intend to discuss strategic alliances with leading pharmaceutical companies who seek late-stage product candidates, such as MN-166, MN-001, MN-221 and MN-029, which could support further clinical development and product commercialization.</w:t>
      </w: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In October 2011, we entered into a collaboration agreement with Kissei Pharmaceutical Co., Ltd., or Kissei, to perform research and development services relating to MN-221 in exchange for a non-refundable upfront payment of $2.5 million. Under the terms of the agreement, we are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2012 and the second study has not begun as of June 30, 2018. The Company expects that the study will be completed after 2018. The amount received from Kissei and allocated, net of the amount recorded as revenue, is included on the balance sheet as long-term deferred revenue and will be recognized as revenue as the remaining performance obligation is satisfied. No revenue was recognized in the three and six months ended June 30, 2018 and 2017 in connection with the collaboration agreement with Kissei.</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throughout 2018 as our development programs progress.</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320" w:type="dxa"/>
            <w:vAlign w:val="bottom"/>
          </w:tcPr>
          <w:p>
            <w:pPr>
              <w:spacing w:after="0"/>
              <w:rPr>
                <w:sz w:val="14"/>
                <w:szCs w:val="14"/>
                <w:color w:val="auto"/>
              </w:rPr>
            </w:pPr>
          </w:p>
        </w:tc>
      </w:tr>
      <w:tr>
        <w:trPr>
          <w:trHeight w:val="156"/>
        </w:trPr>
        <w:tc>
          <w:tcPr>
            <w:tcW w:w="1300" w:type="dxa"/>
            <w:vAlign w:val="bottom"/>
          </w:tcPr>
          <w:p>
            <w:pPr>
              <w:spacing w:after="0"/>
              <w:rPr>
                <w:sz w:val="13"/>
                <w:szCs w:val="13"/>
                <w:color w:val="auto"/>
              </w:rPr>
            </w:pPr>
          </w:p>
        </w:tc>
        <w:tc>
          <w:tcPr>
            <w:tcW w:w="392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2017</w:t>
            </w:r>
          </w:p>
        </w:tc>
        <w:tc>
          <w:tcPr>
            <w:tcW w:w="1320" w:type="dxa"/>
            <w:vAlign w:val="bottom"/>
          </w:tcPr>
          <w:p>
            <w:pPr>
              <w:spacing w:after="0"/>
              <w:rPr>
                <w:sz w:val="13"/>
                <w:szCs w:val="13"/>
                <w:color w:val="auto"/>
              </w:rPr>
            </w:pPr>
          </w:p>
        </w:tc>
      </w:tr>
      <w:tr>
        <w:trPr>
          <w:trHeight w:val="223"/>
        </w:trPr>
        <w:tc>
          <w:tcPr>
            <w:tcW w:w="130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920" w:type="dxa"/>
            <w:vAlign w:val="bottom"/>
          </w:tcPr>
          <w:p>
            <w:pPr>
              <w:ind w:left="380"/>
              <w:spacing w:after="0"/>
              <w:rPr>
                <w:sz w:val="20"/>
                <w:szCs w:val="20"/>
                <w:color w:val="auto"/>
              </w:rPr>
            </w:pPr>
            <w:r>
              <w:rPr>
                <w:rFonts w:ascii="Arial" w:cs="Arial" w:eastAsia="Arial" w:hAnsi="Arial"/>
                <w:sz w:val="18"/>
                <w:szCs w:val="18"/>
                <w:color w:val="auto"/>
              </w:rPr>
              <w:t>MN-221</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920" w:type="dxa"/>
            <w:vAlign w:val="bottom"/>
          </w:tcPr>
          <w:p>
            <w:pPr>
              <w:ind w:left="380"/>
              <w:spacing w:after="0"/>
              <w:rPr>
                <w:sz w:val="20"/>
                <w:szCs w:val="20"/>
                <w:color w:val="auto"/>
              </w:rPr>
            </w:pPr>
            <w:r>
              <w:rPr>
                <w:rFonts w:ascii="Arial" w:cs="Arial" w:eastAsia="Arial" w:hAnsi="Arial"/>
                <w:sz w:val="18"/>
                <w:szCs w:val="18"/>
                <w:color w:val="auto"/>
              </w:rPr>
              <w:t>MN-001</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w:t>
            </w: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4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32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Total research, development and patents expense</w:t>
            </w:r>
          </w:p>
        </w:tc>
        <w:tc>
          <w:tcPr>
            <w:tcW w:w="4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1,798</w:t>
            </w:r>
          </w:p>
        </w:tc>
        <w:tc>
          <w:tcPr>
            <w:tcW w:w="132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56"/>
        </w:trPr>
        <w:tc>
          <w:tcPr>
            <w:tcW w:w="1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20" w:type="dxa"/>
            <w:vAlign w:val="bottom"/>
            <w:gridSpan w:val="2"/>
          </w:tcPr>
          <w:p>
            <w:pPr>
              <w:jc w:val="right"/>
              <w:ind w:right="65"/>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Research, development and patents costs are expensed as incurred based on contractual factors such as estimates of work performed, milestones achieved, patient enrollment and experience with similar contracts. As actual costs become known, accruals are adjusted. To date, our accrued research, development and patents expenses have not differed significantly from the actual expenses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all of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expenses related to these awards is measured based on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75"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such as in-process research and development (“IPR&amp;D”) are not amortized, but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are subject to annual impairment tests. The amounts and useful lives assigned to intangible assets that have finite useful lives require the use of estimates and the exercise of judgment. These judgments can significantly affect our net operating results. As of June 30, 2018, goodwill and IPR&amp;D, were $9.6 million and $4.8 million, respectively.</w:t>
      </w:r>
    </w:p>
    <w:p>
      <w:pPr>
        <w:spacing w:after="0" w:line="181"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333"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Research, development and patents expenses were $1.4 million and $0.9 million for the three months ended June 30, 2018 and 2017, respectively. The increase of $0.5 million was primarily due to increased clinical research study costs for MN-166.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$2.0 million and $1.9 million for the three months ended June 30, 2018 and 2017,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117" w:lineRule="exact"/>
        <w:rPr>
          <w:sz w:val="20"/>
          <w:szCs w:val="20"/>
          <w:color w:val="auto"/>
        </w:rPr>
      </w:pPr>
    </w:p>
    <w:p>
      <w:pPr>
        <w:ind w:right="160" w:firstLine="558"/>
        <w:spacing w:after="0" w:line="264" w:lineRule="auto"/>
        <w:rPr>
          <w:sz w:val="20"/>
          <w:szCs w:val="20"/>
          <w:color w:val="auto"/>
        </w:rPr>
      </w:pPr>
      <w:r>
        <w:rPr>
          <w:rFonts w:ascii="Arial" w:cs="Arial" w:eastAsia="Arial" w:hAnsi="Arial"/>
          <w:sz w:val="18"/>
          <w:szCs w:val="18"/>
          <w:color w:val="auto"/>
        </w:rPr>
        <w:t>Research, development and patents expenses were $3.0 million and $1.8 million for the six months ended June 30, 2018 and 2017, respectively. The $1.2 million increase was due to increased clinical research study costs for MN-166 and MN-001 as well as higher stock compensation expense for performance-based stock options for the six months ended June 30, 2018 relative to the same period in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20" w:firstLine="558"/>
        <w:spacing w:after="0" w:line="264" w:lineRule="auto"/>
        <w:rPr>
          <w:sz w:val="20"/>
          <w:szCs w:val="20"/>
          <w:color w:val="auto"/>
        </w:rPr>
      </w:pPr>
      <w:r>
        <w:rPr>
          <w:rFonts w:ascii="Arial" w:cs="Arial" w:eastAsia="Arial" w:hAnsi="Arial"/>
          <w:sz w:val="18"/>
          <w:szCs w:val="18"/>
          <w:color w:val="auto"/>
        </w:rPr>
        <w:t>General and administrative expenses were $5.0 million and $4.0 million for the six months ended June 30, 2018 and 2017, respectively. The increase of $1.0 million was due to higher stock compensation expense for performance-based stock options for the six months ended June 30, 2018 relative to the same period in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Net cash used in operating activities during the six months ended June 30, 2018 was $5.7 million compared to $4.0 million during the same period in 2017. Net cash used in operating activities primarily reflects the net loss and changes in operating assets and liabilities for those periods, which was partially offset by non-cash stock-based compensation expense.</w:t>
      </w:r>
    </w:p>
    <w:p>
      <w:pPr>
        <w:spacing w:after="0" w:line="73"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Net cash provided by investing activities during the six months ended June 30, 2018 was $0.6 million. Net cash provided by investing activities was primarily from proceeds received from the dissolution of the joint venture and liquidation of its investment. There were no cash flow from investing activities for the six months ended June 30, 2017.</w:t>
      </w:r>
    </w:p>
    <w:p>
      <w:pPr>
        <w:spacing w:after="0" w:line="181" w:lineRule="exact"/>
        <w:rPr>
          <w:sz w:val="20"/>
          <w:szCs w:val="20"/>
          <w:color w:val="auto"/>
        </w:rPr>
      </w:pPr>
    </w:p>
    <w:p>
      <w:pPr>
        <w:jc w:val="both"/>
        <w:ind w:right="400" w:firstLine="518"/>
        <w:spacing w:after="0" w:line="279" w:lineRule="auto"/>
        <w:rPr>
          <w:sz w:val="20"/>
          <w:szCs w:val="20"/>
          <w:color w:val="auto"/>
        </w:rPr>
      </w:pPr>
      <w:r>
        <w:rPr>
          <w:rFonts w:ascii="Arial" w:cs="Arial" w:eastAsia="Arial" w:hAnsi="Arial"/>
          <w:sz w:val="17"/>
          <w:szCs w:val="17"/>
          <w:color w:val="auto"/>
        </w:rPr>
        <w:t>Net cash provided by financing activities was $41.3 million during the six months ended June 30, 2018 compared to $2.7 million during the same period in 2017. Net cash provided by financing activities during the six months ended June 30, 2018 is primarily due to the public offering of 4,545,928 shares of common stock for net proceeds of $38.5 million and cash proceeds of $2.4 million from the exercise of warrants to purchase 750,000 shares of common stock. Cash proceeds from financing activities are used for working capital and general corporate purposes.</w:t>
      </w:r>
    </w:p>
    <w:p>
      <w:pPr>
        <w:spacing w:after="0" w:line="17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May 22, 2015, we entered into an at-the-market issuance sales agreement (the “ATM Agreement”) with MLV &amp; Co. LLC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8"/>
          <w:szCs w:val="18"/>
          <w:color w:val="auto"/>
        </w:rPr>
        <w:t>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On September 16, 2016, we amended the ATM agreement to also include FBR Capital Markets &amp; Co. as a sales agent.</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No shares of common stock were sold under this agreement in the six months ended June 30, 2018. For the six months ended June 30, 2017, we generated gross proceeds of $2.8 million and incurred issuance costs of $0.1 million under this agreement on sales of 482,187 shares of our common stock at a weighted average price of $5.78 per share.</w:t>
      </w:r>
    </w:p>
    <w:p>
      <w:pPr>
        <w:spacing w:after="0" w:line="18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On February 12, 2018, we completed a firm-commitment underwritten public offering of 4,419,890 shares of common stock at a purchase price of $9.05 per share for aggregate gross proceeds of $40.0 million, and received aggregate net proceeds of approximately $37.4 million, net of underwriting discounts and commissions and offering expenses. Additionally, we granted the underwriters a 30-day option to purchase up to an additional 662,983 shares of commons stock at the public offering price, and on February 21, 2018, we sold an additional 126,038 shares of common stock for gross proceeds of $1.1 million pursuant to the partial exercise by the underwriters of their over-allotment option.</w:t>
      </w:r>
    </w:p>
    <w:p>
      <w:pPr>
        <w:spacing w:after="0" w:line="173"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As of June 30, 2018, we had available cash and cash equivalents of $64.2 million and working capital of $63.0 million. As of the date of this report, we believe we have working capital sufficient to fund operations at least through December 31, 2019. However, we cannot provide assurance that these capital resources will be sufficient to conduct all of our research and development programs as planned.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At June 30, 2018,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primary exposure to market risks are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 term nature.</w:t>
      </w:r>
    </w:p>
    <w:p>
      <w:pPr>
        <w:spacing w:after="0" w:line="193"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Cash and cash equivalents as of June 30, 2018 were $64.2 million and were primarily invested in money market interest bearing accounts and money market funds. A hypothetical 10% adverse change in the average interest rate on our cash and cash equivalents would have had no material effect on net loss for the three and six months ended June 30, 2018.</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June 30, 2018.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2017,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2017.</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5.</w:t>
            </w:r>
          </w:p>
        </w:tc>
        <w:tc>
          <w:tcPr>
            <w:tcW w:w="10600" w:type="dxa"/>
            <w:vAlign w:val="bottom"/>
            <w:gridSpan w:val="7"/>
          </w:tcPr>
          <w:p>
            <w:pPr>
              <w:ind w:left="34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1420" w:type="dxa"/>
            <w:vAlign w:val="bottom"/>
            <w:gridSpan w:val="9"/>
          </w:tcPr>
          <w:p>
            <w:pPr>
              <w:ind w:left="5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540"/>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7"/>
          </w:tcPr>
          <w:p>
            <w:pPr>
              <w:ind w:left="3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gridSpan w:val="7"/>
            <w:vMerge w:val="restart"/>
          </w:tcPr>
          <w:p>
            <w:pPr>
              <w:ind w:left="4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6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7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600" w:type="dxa"/>
            <w:vAlign w:val="bottom"/>
            <w:tcBorders>
              <w:top w:val="single" w:sz="8" w:color="auto"/>
            </w:tcBorders>
            <w:gridSpan w:val="7"/>
          </w:tcPr>
          <w:p>
            <w:pPr>
              <w:spacing w:after="0"/>
              <w:rPr>
                <w:rFonts w:ascii="Arial" w:cs="Arial" w:eastAsia="Arial" w:hAnsi="Arial"/>
                <w:sz w:val="18"/>
                <w:szCs w:val="18"/>
                <w:color w:val="0000EE"/>
                <w:w w:val="92"/>
              </w:rPr>
            </w:pPr>
            <w:hyperlink r:id="rId38">
              <w:r>
                <w:rPr>
                  <w:rFonts w:ascii="Arial" w:cs="Arial" w:eastAsia="Arial" w:hAnsi="Arial"/>
                  <w:sz w:val="18"/>
                  <w:szCs w:val="18"/>
                  <w:color w:val="0000EE"/>
                  <w:w w:val="92"/>
                </w:rPr>
                <w:t xml:space="preserve">Restated Certificate of Incorporation of the Registrant, as amended (incorporated by reference to Exhibit 3.1 of the </w:t>
              </w:r>
            </w:hyperlink>
            <w:r>
              <w:rPr>
                <w:rFonts w:ascii="Arial" w:cs="Arial" w:eastAsia="Arial" w:hAnsi="Arial"/>
                <w:sz w:val="18"/>
                <w:szCs w:val="18"/>
                <w:color w:val="0000FF"/>
                <w:w w:val="92"/>
              </w:rPr>
              <w:t>Registrant’s</w:t>
            </w:r>
            <w:r>
              <w:rPr>
                <w:rFonts w:ascii="Arial" w:cs="Arial" w:eastAsia="Arial" w:hAnsi="Arial"/>
                <w:sz w:val="18"/>
                <w:szCs w:val="18"/>
                <w:color w:val="0000EE"/>
                <w:w w:val="92"/>
              </w:rPr>
              <w:t xml:space="preserve"> </w:t>
            </w:r>
            <w:r>
              <w:rPr>
                <w:rFonts w:ascii="Arial" w:cs="Arial" w:eastAsia="Arial" w:hAnsi="Arial"/>
                <w:sz w:val="18"/>
                <w:szCs w:val="18"/>
                <w:color w:val="0000FF"/>
                <w:w w:val="92"/>
              </w:rPr>
              <w:t>Quarterly Report</w:t>
            </w:r>
          </w:p>
        </w:tc>
        <w:tc>
          <w:tcPr>
            <w:tcW w:w="0" w:type="dxa"/>
            <w:vAlign w:val="bottom"/>
          </w:tcPr>
          <w:p>
            <w:pPr>
              <w:spacing w:after="0"/>
              <w:rPr>
                <w:sz w:val="1"/>
                <w:szCs w:val="1"/>
                <w:color w:val="auto"/>
              </w:rPr>
            </w:pPr>
          </w:p>
        </w:tc>
      </w:tr>
      <w:tr>
        <w:trPr>
          <w:trHeight w:val="129"/>
        </w:trPr>
        <w:tc>
          <w:tcPr>
            <w:tcW w:w="700" w:type="dxa"/>
            <w:vAlign w:val="bottom"/>
            <w:tcBorders>
              <w:top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260" w:type="dxa"/>
            <w:vAlign w:val="bottom"/>
            <w:tcBorders>
              <w:top w:val="single" w:sz="8" w:color="0000EE"/>
            </w:tcBorders>
            <w:gridSpan w:val="4"/>
            <w:vMerge w:val="restart"/>
          </w:tcPr>
          <w:p>
            <w:pPr>
              <w:spacing w:after="0"/>
              <w:rPr>
                <w:sz w:val="20"/>
                <w:szCs w:val="20"/>
                <w:color w:val="auto"/>
              </w:rPr>
            </w:pPr>
            <w:r>
              <w:rPr>
                <w:rFonts w:ascii="Arial" w:cs="Arial" w:eastAsia="Arial" w:hAnsi="Arial"/>
                <w:sz w:val="18"/>
                <w:szCs w:val="18"/>
                <w:color w:val="0000FF"/>
              </w:rPr>
              <w:t>on Form 10-Q filed August 9, 2012).</w:t>
            </w:r>
          </w:p>
        </w:tc>
        <w:tc>
          <w:tcPr>
            <w:tcW w:w="2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60" w:type="dxa"/>
            <w:vAlign w:val="bottom"/>
            <w:gridSpan w:val="4"/>
            <w:vMerge w:val="continue"/>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70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600" w:type="dxa"/>
            <w:vAlign w:val="bottom"/>
            <w:gridSpan w:val="7"/>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 xml:space="preserve">Amended and Restated Bylaws of the Registrant (incorporated by reference to Exhibit 3.4 of the Registrant’s </w:t>
              </w:r>
            </w:hyperlink>
            <w:r>
              <w:rPr>
                <w:rFonts w:ascii="Arial" w:cs="Arial" w:eastAsia="Arial" w:hAnsi="Arial"/>
                <w:sz w:val="18"/>
                <w:szCs w:val="18"/>
                <w:color w:val="0000FF"/>
                <w:w w:val="91"/>
              </w:rPr>
              <w:t>Registration</w:t>
            </w:r>
            <w:r>
              <w:rPr>
                <w:rFonts w:ascii="Arial" w:cs="Arial" w:eastAsia="Arial" w:hAnsi="Arial"/>
                <w:sz w:val="18"/>
                <w:szCs w:val="18"/>
                <w:color w:val="0000EE"/>
                <w:w w:val="91"/>
              </w:rPr>
              <w:t xml:space="preserve"> </w:t>
            </w:r>
            <w:r>
              <w:rPr>
                <w:rFonts w:ascii="Arial" w:cs="Arial" w:eastAsia="Arial" w:hAnsi="Arial"/>
                <w:sz w:val="18"/>
                <w:szCs w:val="18"/>
                <w:color w:val="0000FF"/>
                <w:w w:val="91"/>
              </w:rPr>
              <w:t>Statement on Form S-1</w:t>
            </w: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40" w:type="dxa"/>
            <w:vAlign w:val="bottom"/>
            <w:tcBorders>
              <w:top w:val="single" w:sz="8" w:color="0000EE"/>
            </w:tcBorders>
            <w:gridSpan w:val="3"/>
            <w:vMerge w:val="restart"/>
          </w:tcPr>
          <w:p>
            <w:pPr>
              <w:spacing w:after="0"/>
              <w:rPr>
                <w:sz w:val="20"/>
                <w:szCs w:val="20"/>
                <w:color w:val="auto"/>
              </w:rPr>
            </w:pPr>
            <w:r>
              <w:rPr>
                <w:rFonts w:ascii="Arial" w:cs="Arial" w:eastAsia="Arial" w:hAnsi="Arial"/>
                <w:sz w:val="18"/>
                <w:szCs w:val="18"/>
                <w:color w:val="0000FF"/>
              </w:rPr>
              <w:t>(File No. 333-119433) filed October 1, 2004).</w:t>
            </w:r>
          </w:p>
        </w:tc>
        <w:tc>
          <w:tcPr>
            <w:tcW w:w="2760" w:type="dxa"/>
            <w:vAlign w:val="bottom"/>
            <w:gridSpan w:val="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40" w:type="dxa"/>
            <w:vAlign w:val="bottom"/>
            <w:gridSpan w:val="3"/>
            <w:vMerge w:val="continue"/>
          </w:tcPr>
          <w:p>
            <w:pPr>
              <w:spacing w:after="0"/>
              <w:rPr>
                <w:sz w:val="9"/>
                <w:szCs w:val="9"/>
                <w:color w:val="auto"/>
              </w:rPr>
            </w:pPr>
          </w:p>
        </w:tc>
        <w:tc>
          <w:tcPr>
            <w:tcW w:w="27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600" w:type="dxa"/>
            <w:vAlign w:val="bottom"/>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Certification of the Principal Executive Officer pursuant to Section 302 of the Sarbanes-Oxley Act of 2002.</w:t>
              </w:r>
            </w:hyperlink>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770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Certification of the Principal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8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600" w:type="dxa"/>
            <w:vAlign w:val="bottom"/>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Certification of Principal Executive Officer pursuant to 18 U.S.C. Section 1350 (Section 906 of the Sarbanes-Oxley Act of 2002).</w:t>
              </w:r>
            </w:hyperlink>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of Principal Financial Officer pursuant to 18 U.S.C. Section 1350 (Section 906 of the Sarbanes-Oxley Act of 2002).</w:t>
              </w:r>
            </w:hyperlink>
          </w:p>
        </w:tc>
        <w:tc>
          <w:tcPr>
            <w:tcW w:w="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20" w:right="260" w:hanging="812"/>
        <w:spacing w:after="0" w:line="31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financial statements from the MediciNova, Inc. Quarterly Report on Form 10-Q for the quarter ended June 30, 2018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July 23,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w:t>
      </w:r>
      <w:r>
        <w:rPr>
          <w:rFonts w:ascii="Arial" w:cs="Arial" w:eastAsia="Arial" w:hAnsi="Arial"/>
          <w:sz w:val="13"/>
          <w:szCs w:val="13"/>
          <w:color w:val="auto"/>
        </w:rPr>
        <w:t>ARLA</w:t>
      </w:r>
      <w:r>
        <w:rPr>
          <w:rFonts w:ascii="Arial" w:cs="Arial" w:eastAsia="Arial" w:hAnsi="Arial"/>
          <w:sz w:val="18"/>
          <w:szCs w:val="18"/>
          <w:color w:val="auto"/>
        </w:rPr>
        <w:t xml:space="preserve"> R</w:t>
      </w:r>
      <w:r>
        <w:rPr>
          <w:rFonts w:ascii="Arial" w:cs="Arial" w:eastAsia="Arial" w:hAnsi="Arial"/>
          <w:sz w:val="13"/>
          <w:szCs w:val="13"/>
          <w:color w:val="auto"/>
        </w:rPr>
        <w:t>EYES</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00"/>
          </w:cols>
          <w:pgMar w:left="240" w:top="337" w:right="8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23, 2018</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Carla Reyes, certify that:</w:t>
      </w:r>
    </w:p>
    <w:p>
      <w:pPr>
        <w:spacing w:after="0" w:line="117" w:lineRule="exact"/>
        <w:rPr>
          <w:sz w:val="20"/>
          <w:szCs w:val="20"/>
          <w:color w:val="auto"/>
        </w:rPr>
      </w:pPr>
    </w:p>
    <w:p>
      <w:pPr>
        <w:ind w:left="700" w:hanging="1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23, 2018</w:t>
      </w:r>
    </w:p>
    <w:p>
      <w:pPr>
        <w:spacing w:after="0" w:line="252" w:lineRule="exact"/>
        <w:rPr>
          <w:sz w:val="20"/>
          <w:szCs w:val="20"/>
          <w:color w:val="auto"/>
        </w:rPr>
      </w:pPr>
    </w:p>
    <w:p>
      <w:pPr>
        <w:ind w:left="6860"/>
        <w:spacing w:after="0"/>
        <w:tabs>
          <w:tab w:leader="none" w:pos="740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Carla Reyes</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2018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23, 2018</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2018, as filed with the Securities and Exchange Commission on the date hereof (the “Report”), I, Ryan Selhorn,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23, 2018</w:t>
      </w:r>
    </w:p>
    <w:p>
      <w:pPr>
        <w:spacing w:after="0" w:line="252" w:lineRule="exact"/>
        <w:rPr>
          <w:sz w:val="20"/>
          <w:szCs w:val="20"/>
          <w:color w:val="auto"/>
        </w:rPr>
      </w:pPr>
    </w:p>
    <w:p>
      <w:pPr>
        <w:ind w:left="6860"/>
        <w:spacing w:after="0"/>
        <w:tabs>
          <w:tab w:leader="none" w:pos="8740" w:val="left"/>
          <w:tab w:leader="none" w:pos="9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Carla Reyes</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38" Type="http://schemas.openxmlformats.org/officeDocument/2006/relationships/hyperlink" Target="http://www.sec.gov/Archives/edgar/data/1226616/000119312512347932/d344794dex31.htm" TargetMode="External"/><Relationship Id="rId39" Type="http://schemas.openxmlformats.org/officeDocument/2006/relationships/hyperlink" Target="http://www.sec.gov/Archives/edgar/data/1226616/00011931250416496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2019-12-28T20:52:01Z</dcterms:created>
  <dcterms:modified xsi:type="dcterms:W3CDTF">2019-12-28T20:52:01Z</dcterms:modified>
</cp:coreProperties>
</file>