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4080" w:space="720"/>
            <w:col w:w="6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220" w:type="dxa"/>
            <w:vAlign w:val="bottom"/>
          </w:tcPr>
          <w:p>
            <w:pPr>
              <w:jc w:val="center"/>
              <w:ind w:left="4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Incorporation or Organization)</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4350 La Jolla Village Drive,</w:t>
            </w:r>
          </w:p>
        </w:tc>
        <w:tc>
          <w:tcPr>
            <w:tcW w:w="522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Suite 950, San Diego, CA</w:t>
            </w:r>
          </w:p>
        </w:tc>
        <w:tc>
          <w:tcPr>
            <w:tcW w:w="522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2380" w:type="dxa"/>
            <w:vAlign w:val="bottom"/>
          </w:tcPr>
          <w:p>
            <w:pPr>
              <w:spacing w:after="0"/>
              <w:rPr>
                <w:sz w:val="24"/>
                <w:szCs w:val="24"/>
                <w:color w:val="auto"/>
              </w:rPr>
            </w:pPr>
          </w:p>
        </w:tc>
        <w:tc>
          <w:tcPr>
            <w:tcW w:w="522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80" w:type="dxa"/>
            <w:vAlign w:val="bottom"/>
          </w:tcPr>
          <w:p>
            <w:pPr>
              <w:spacing w:after="0"/>
              <w:rPr>
                <w:sz w:val="15"/>
                <w:szCs w:val="15"/>
                <w:color w:val="auto"/>
              </w:rPr>
            </w:pPr>
          </w:p>
        </w:tc>
        <w:tc>
          <w:tcPr>
            <w:tcW w:w="52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120" w:type="dxa"/>
            <w:vAlign w:val="bottom"/>
          </w:tcPr>
          <w:p>
            <w:pPr>
              <w:ind w:left="460"/>
              <w:spacing w:after="0"/>
              <w:rPr>
                <w:sz w:val="20"/>
                <w:szCs w:val="20"/>
                <w:color w:val="auto"/>
              </w:rPr>
            </w:pPr>
            <w:r>
              <w:rPr>
                <w:rFonts w:ascii="Arial" w:cs="Arial" w:eastAsia="Arial" w:hAnsi="Arial"/>
                <w:sz w:val="18"/>
                <w:szCs w:val="18"/>
                <w:color w:val="auto"/>
                <w:w w:val="89"/>
              </w:rPr>
              <w:t>Indicate by check mark whether the registrant is an accelerated filer (as defined in Rule 12b-2 of the Exchange Act).  Yes</w:t>
            </w:r>
          </w:p>
        </w:tc>
        <w:tc>
          <w:tcPr>
            <w:tcW w:w="2300" w:type="dxa"/>
            <w:vAlign w:val="bottom"/>
          </w:tcPr>
          <w:p>
            <w:pPr>
              <w:jc w:val="center"/>
              <w:ind w:right="1372"/>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65"/>
        </w:trPr>
        <w:tc>
          <w:tcPr>
            <w:tcW w:w="9120" w:type="dxa"/>
            <w:vAlign w:val="bottom"/>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in Rule 12b-2 of the Exchange Act).  Yes </w:t>
            </w:r>
            <w:r>
              <w:rPr>
                <w:rFonts w:ascii="MS PGothic" w:cs="MS PGothic" w:eastAsia="MS PGothic" w:hAnsi="MS PGothic"/>
                <w:sz w:val="18"/>
                <w:szCs w:val="18"/>
                <w:color w:val="auto"/>
                <w:w w:val="89"/>
              </w:rPr>
              <w:t>☐</w:t>
            </w:r>
          </w:p>
        </w:tc>
        <w:tc>
          <w:tcPr>
            <w:tcW w:w="2300" w:type="dxa"/>
            <w:vAlign w:val="bottom"/>
          </w:tcPr>
          <w:p>
            <w:pPr>
              <w:jc w:val="center"/>
              <w:ind w:right="1412"/>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345"/>
        </w:trPr>
        <w:tc>
          <w:tcPr>
            <w:tcW w:w="9120" w:type="dxa"/>
            <w:vAlign w:val="bottom"/>
          </w:tcPr>
          <w:p>
            <w:pPr>
              <w:ind w:left="460"/>
              <w:spacing w:after="0"/>
              <w:rPr>
                <w:sz w:val="20"/>
                <w:szCs w:val="20"/>
                <w:color w:val="auto"/>
              </w:rPr>
            </w:pPr>
            <w:r>
              <w:rPr>
                <w:rFonts w:ascii="Arial" w:cs="Arial" w:eastAsia="Arial" w:hAnsi="Arial"/>
                <w:sz w:val="18"/>
                <w:szCs w:val="18"/>
                <w:color w:val="auto"/>
                <w:w w:val="94"/>
              </w:rPr>
              <w:t>As of November 10, 2005, the registrant had 98,855,856 shares of Common Stock ($0.001 par value) outstanding.</w:t>
            </w:r>
          </w:p>
        </w:tc>
        <w:tc>
          <w:tcPr>
            <w:tcW w:w="2300" w:type="dxa"/>
            <w:vAlign w:val="bottom"/>
          </w:tcPr>
          <w:p>
            <w:pPr>
              <w:spacing w:after="0"/>
              <w:rPr>
                <w:sz w:val="24"/>
                <w:szCs w:val="24"/>
                <w:color w:val="auto"/>
              </w:rPr>
            </w:pPr>
          </w:p>
        </w:tc>
      </w:tr>
      <w:tr>
        <w:trPr>
          <w:trHeight w:val="201"/>
        </w:trPr>
        <w:tc>
          <w:tcPr>
            <w:tcW w:w="9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880" w:type="dxa"/>
            <w:vAlign w:val="bottom"/>
            <w:gridSpan w:val="9"/>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2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9240" w:type="dxa"/>
            <w:vAlign w:val="bottom"/>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818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LEGAL PROCEEDINGS.</w:t>
              </w:r>
            </w:hyperlink>
          </w:p>
        </w:tc>
        <w:tc>
          <w:tcPr>
            <w:tcW w:w="73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59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UNREGISTERED SALES OF EQUITY SECURITIES AND USE OF PROCEEDS.</w:t>
              </w:r>
            </w:hyperlink>
          </w:p>
        </w:tc>
        <w:tc>
          <w:tcPr>
            <w:tcW w:w="326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DEFAULTS UPON SENIOR SECURITIES.</w:t>
              </w:r>
            </w:hyperlink>
          </w:p>
        </w:tc>
        <w:tc>
          <w:tcPr>
            <w:tcW w:w="60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5.</w:t>
            </w:r>
          </w:p>
        </w:tc>
        <w:tc>
          <w:tcPr>
            <w:tcW w:w="5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40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36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SIGNATURES</w:t>
              </w:r>
            </w:hyperlink>
          </w:p>
        </w:tc>
        <w:tc>
          <w:tcPr>
            <w:tcW w:w="3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3"/>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10.1</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b w:val="1"/>
          <w:bCs w:val="1"/>
          <w:color w:val="auto"/>
        </w:rPr>
        <w:t>EXHIBIT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20,101,336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38,801,328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125,076,770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1,859,689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147,037,795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51,288,904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147,963,814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3,052,665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4,967,807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Redeemable convertible preferred stock, $0.01 par value; no shares and 27,667,856 shares authorized, issued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outstanding at September 30, 2005 and December 31, 2004, respectively</w:t>
            </w:r>
          </w:p>
        </w:tc>
        <w:tc>
          <w:tcPr>
            <w:tcW w:w="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43,483,076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w w:val="92"/>
              </w:rPr>
              <w:t>Convertible preferred stock, $0.01 par value; 5,000,000 and 1,291,150 shares authorized at September 30, 2005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640"/>
              <w:spacing w:after="0"/>
              <w:rPr>
                <w:sz w:val="20"/>
                <w:szCs w:val="20"/>
                <w:color w:val="auto"/>
              </w:rPr>
            </w:pPr>
            <w:r>
              <w:rPr>
                <w:rFonts w:ascii="Arial" w:cs="Arial" w:eastAsia="Arial" w:hAnsi="Arial"/>
                <w:sz w:val="18"/>
                <w:szCs w:val="18"/>
                <w:color w:val="auto"/>
              </w:rPr>
              <w:t>and December 31, 2004, respectively; no shares and 1,291,150 shares issued and outstanding at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40"/>
              <w:spacing w:after="0"/>
              <w:rPr>
                <w:sz w:val="20"/>
                <w:szCs w:val="20"/>
                <w:color w:val="auto"/>
              </w:rPr>
            </w:pPr>
            <w:r>
              <w:rPr>
                <w:rFonts w:ascii="Arial" w:cs="Arial" w:eastAsia="Arial" w:hAnsi="Arial"/>
                <w:sz w:val="18"/>
                <w:szCs w:val="18"/>
                <w:color w:val="auto"/>
              </w:rPr>
              <w:t>September 30, 2005 and December 31, 2004, respectively</w:t>
            </w:r>
          </w:p>
        </w:tc>
        <w:tc>
          <w:tcPr>
            <w:tcW w:w="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200,000,000 and 83,000,000 shares authorized at September 30, 2005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4"/>
              </w:rPr>
              <w:t>December 31, 2004, respectively; 98,855,856 and 500,000 shares issued and outstanding at September 30,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2005 and December 31, 2004,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98,856</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257,020,903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103,603,132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employee stock-based compensation</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(880,322)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(45,598)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(113,257,304)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(94,752,701)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142,936,535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147,963,814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760" w:type="dxa"/>
            <w:vAlign w:val="bottom"/>
            <w:gridSpan w:val="2"/>
          </w:tcPr>
          <w:p>
            <w:pPr>
              <w:jc w:val="center"/>
              <w:ind w:left="2532"/>
              <w:spacing w:after="0"/>
              <w:rPr>
                <w:sz w:val="20"/>
                <w:szCs w:val="20"/>
                <w:color w:val="auto"/>
              </w:rPr>
            </w:pPr>
            <w:r>
              <w:rPr>
                <w:rFonts w:ascii="Arial" w:cs="Arial" w:eastAsia="Arial" w:hAnsi="Arial"/>
                <w:sz w:val="18"/>
                <w:szCs w:val="18"/>
                <w:color w:val="auto"/>
                <w:w w:val="85"/>
              </w:rPr>
              <w:t>See accompanying notes.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60" w:type="dxa"/>
            <w:vAlign w:val="bottom"/>
            <w:gridSpan w:val="2"/>
          </w:tcPr>
          <w:p>
            <w:pPr>
              <w:jc w:val="right"/>
              <w:ind w:right="29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-4313555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-4313555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-4313555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-4313555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-4313555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-4313555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-557530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-557530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-557530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-557530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-557530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80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5"/>
          </w:tcPr>
          <w:p>
            <w:pPr>
              <w:jc w:val="right"/>
              <w:ind w:right="122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2000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353,697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308,947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4,945,928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2,170,709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15,616,944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8,279,061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38,325,037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5,601,624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Employee stock-based compensation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ind w:left="640"/>
              <w:spacing w:after="0"/>
              <w:rPr>
                <w:sz w:val="20"/>
                <w:szCs w:val="20"/>
                <w:color w:val="auto"/>
              </w:rPr>
            </w:pPr>
            <w:r>
              <w:rPr>
                <w:rFonts w:ascii="Arial" w:cs="Arial" w:eastAsia="Arial" w:hAnsi="Arial"/>
                <w:sz w:val="18"/>
                <w:szCs w:val="18"/>
                <w:color w:val="auto"/>
              </w:rPr>
              <w:t>founders’ warrants: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227,435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8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14,737,079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131,199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34,153,237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34,318,924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7,746,052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17,896,267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21,617,579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44,823,683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86,280,966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(7,705,045)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(17,729,530)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(21,542,685)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(44,469,986)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(85,715,790)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1,262,373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89,196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3,057,771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133,048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3,821,608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(6,442,672)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(17,640,334)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(18,484,914)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(44,336,938)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(81,894,182)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feature on Series C redeemable convertible preferred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(31,264,677)</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(31,264,677)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(6,442,672)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(48,924,700)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(18,504,603)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(75,621,304)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(113,257,304)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Shares used to compute basic and diluted net loss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98,855,856</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86,061,750</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-910590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-910590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-910590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-910590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-910590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-910590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-910590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-910590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-910590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-910590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-910590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-910590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-910590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-910590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-910590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-610235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-610235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-610235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-610235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-610235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-610235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-610235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-610235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-610235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-610235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-610235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-610235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-172720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-172720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-172720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-172720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-172720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jc w:val="both"/>
        <w:ind w:left="460" w:right="12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66,782,856 shares of our common stock upon completion of our initial public offering in February 2005, there is a lack of comparability in the basic and diluted net loss per share amounts for the periods presented above. Please refer to Note 3 for the pro forma basic and diluted net loss per share calculations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2000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(18,484,914)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(44,336,938)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(81,894,182)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358,634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34,210,079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34,653,129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(492,837)</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(1,372,113)</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(1,305,654)</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(1,859,689)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3,014,976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485,326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106,142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1,047,982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(16,396,669)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(10,153,951)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(44,306,822)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(191,029,531)</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(203,029,531)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(712,091)</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(264,326)</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(1,380,318)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(113,341,622)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(264,326)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(125,815,028)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111,038,299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110,006,215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60,560,424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80,216,971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Advances received for the sale of convertible preferred stock</w:t>
            </w:r>
          </w:p>
        </w:tc>
        <w:tc>
          <w:tcPr>
            <w:tcW w:w="12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111,038,299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60,260,424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190,223,186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(18,699,992)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49,842,147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38,801,328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4,240,699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20,101,336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54,082,846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w w:val="98"/>
              </w:rPr>
              <w:t>Conversion of convertible preferred stock into common stock upon initial public offering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43,515,677</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43,515,677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accrued IPO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(1,089,420)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vMerge w:val="restart"/>
          </w:tcPr>
          <w:p>
            <w:pPr>
              <w:jc w:val="center"/>
              <w:ind w:left="4012"/>
              <w:spacing w:after="0"/>
              <w:rPr>
                <w:sz w:val="20"/>
                <w:szCs w:val="20"/>
                <w:color w:val="auto"/>
              </w:rPr>
            </w:pPr>
            <w:r>
              <w:rPr>
                <w:rFonts w:ascii="Arial" w:cs="Arial" w:eastAsia="Arial" w:hAnsi="Arial"/>
                <w:sz w:val="18"/>
                <w:szCs w:val="18"/>
                <w:color w:val="auto"/>
                <w:w w:val="85"/>
              </w:rPr>
              <w:t>See accompanying notes.</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00" w:type="dxa"/>
            <w:vAlign w:val="bottom"/>
            <w:gridSpan w:val="2"/>
          </w:tcPr>
          <w:p>
            <w:pPr>
              <w:jc w:val="right"/>
              <w:ind w:right="14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-1595120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-1595120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-1595120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-1595120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-1595120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-1595120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-1595120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-1595120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-1595120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-1157605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-1157605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-1157605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-1157605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-1157605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-1157605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-1157605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-1157605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-1157605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-857885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-857885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-857885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-857885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-857885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-857885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-857885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-857885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-857885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-557530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-557530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-557530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-557530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-557530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-557530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-557530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960" w:firstLine="8"/>
        <w:spacing w:after="0" w:line="33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were incorporated in the state of Delaware in September 2000. We are a specialty pharmaceutical company focused on the acquisition, development and commercialization of innovative pharmaceutical products. Our in-licensed compounds and our pipeline, which include several compounds in clinical testing, are intended to target a variety of prevalent medical conditions, including premature labor, cancer and asthma.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prepared the accompanying unaudited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and nine months ended September 30, 2005 are not necessarily indicative of the results that may be expected for the twelve months ending December 31, 2005 or for any other period. For further information, see the financial statements and disclosures thereto for the year ended December 31, 2004 in our Annual Report on Form 10-K filed with the Securities and Exchange Commission.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Marketable securities available-for-sale consist of certificates of deposit, high-grade auction rate securities (ARS), corporate debt securities and U.S. government debt securities. All of the corporate debt securities and U.S. government debt securities have contractual maturities of 12 months or less as of September 30, 2005. The ARS have either a stated or perpetual maturity that is structured with short-term holding periods. At the beginning of each holding period, an auction takes place which determines the coupon rate or dividend. At the end of each holding period, a new auction is held to determine the rate or dividend for the next holding period. We can offer to sell or elect to continue to hold these securities at par at each auction. In order for us to sell ARS, the auction needs to be successful whereby demand in the marketplace exceeds the supply. The length of each holding period is determined at the original issuance of each ARS. Typically, ARS holding periods range from 7 to 49 days. As of September 30, 2005, our ARS consisted of $24,000,000 of perpetual securities and $55,750,000 with stated maturity dates ranging from 2022 to 2044 and reset dates of less than 5 months.</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 2005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9"/>
              </w:rPr>
              <w:t>Amortized</w:t>
            </w: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79,750,000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79,750,000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34,687,217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(35,187)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34,652,030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9,932,151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(6,951)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9,925,200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125,122,368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(45,598)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125,076,770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62166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1665"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2005, we had unrealized losses on the certificates of deposit, corporate debt securities and U.S. government debt securities which were primarily caused by recent increases in interest rates. Based on an evaluation of the credit standing of each issuer, management believes it is probable that we will be able to collect all amounts due according to the contractual terms. We had no realized losses on sales of investment securities available-for-sale for the nine months ended September 30,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calculated net loss per share in accordance with Statement of Financial Accounting Standards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net loss per share is calculated by dividing the net loss attributable to common stockholders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Upon the completion of our initial public offering, all of our previously outstanding preferred shares converted into 66,782,856 shares of our common stock. As a result of the issuance of these common shares, there is a lack of comparability in both the basic and diluted net loss per share amounts for the periods presented. In order to provide a more relevant measure of our operating results, an unaudited pro forma net loss per share calculation has been included. The shares used to compute unaudited pro forma basic and diluted net loss per share include the assumed conversion of all outstanding shares of preferred stock into shares of common stock using the as-if converted method as of the beginning of each period presented or the date of issuance, if later.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and pro forma basic and diluted net loss per share was calculated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23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(6,442,672)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(17,640,334)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(18,484,914)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(44,336,938)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resulting from beneficial conversion feature on Series 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(31,264,677)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(31,264,677)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(6,442,672)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(48,924,700)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(18,504,603)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(75,621,304)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98,855,856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86,061,750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(6,442,672)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(48,905,011)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(18,484,914)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(75,601,615)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Shares used above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98,855,856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86,061,750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5"/>
              </w:rPr>
              <w:t>Pro forma adjustments to reflect assumed weighted average effect of conversion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47,535,652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8,561,905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34,191,697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shares used to compute basic and diluted net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98,855,856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48,035,652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94,623,655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34,691,697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Historical outstanding anti-dilutive securities not included in diluted net loss per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 calculation</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Preferred stock (as converted)</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66,782,856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66,782,856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13,356,572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13,356,572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13,356,572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13,356,572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Common stock options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1,410,833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1,510,000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1,410,833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380" w:type="dxa"/>
            <w:vAlign w:val="bottom"/>
            <w:gridSpan w:val="2"/>
          </w:tcPr>
          <w:p>
            <w:pPr>
              <w:jc w:val="right"/>
              <w:ind w:right="5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-3344545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-3344545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-3344545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-3344545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-3344545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-3344545</wp:posOffset>
            </wp:positionV>
            <wp:extent cx="119634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9634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-3344545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-2907030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-2907030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-2907030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-2907030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-2907030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-2907030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-2907030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-2907030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-2907030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-2907030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-2907030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-2907030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-2607310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-2607310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-2607310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-2607310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-2607310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-2607310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-2607310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-2607310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-2607310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-2607310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-2607310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-2607310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-2169795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-2169795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-2169795</wp:posOffset>
            </wp:positionV>
            <wp:extent cx="119634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9634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-2169795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-2169795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-2169795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-2169795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-1869440</wp:posOffset>
            </wp:positionV>
            <wp:extent cx="59563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-1869440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-1869440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-1869440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-1869440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-1869440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-1869440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-1869440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-1869440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-1869440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-1012190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-1012190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-1012190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-1012190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-1012190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-1012190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-1012190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-1012190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-1012190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-1012190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-1012190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-1012190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elected to follow Accounting Principles Board (“APB”) Opinion No. 25, </w:t>
      </w:r>
      <w:r>
        <w:rPr>
          <w:rFonts w:ascii="Arial" w:cs="Arial" w:eastAsia="Arial" w:hAnsi="Arial"/>
          <w:sz w:val="18"/>
          <w:szCs w:val="18"/>
          <w:i w:val="1"/>
          <w:iCs w:val="1"/>
          <w:color w:val="auto"/>
        </w:rPr>
        <w:t>Accounting for Stock Issued to Employee</w:t>
      </w:r>
      <w:r>
        <w:rPr>
          <w:rFonts w:ascii="Arial" w:cs="Arial" w:eastAsia="Arial" w:hAnsi="Arial"/>
          <w:sz w:val="18"/>
          <w:szCs w:val="18"/>
          <w:color w:val="auto"/>
        </w:rPr>
        <w:t xml:space="preserve">s, and related Interpretations in accounting for our employee stock options as permitted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Under APB 25, if the exercise price of our employee stock options is not less than the fair value of the underlying stock on the date of grant, no compensation expense is recognized. The following table illustrates the effect on net earnings and earnings per share as if we had applied the fair value recognition provisions of SFAS No. 123 to stock-based employee compensation: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62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85"/>
              </w:rPr>
              <w:t>September 30,</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(6,442,672)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(48,924,700)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(18,504,603)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(75,621,304)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6"/>
              </w:rPr>
              <w:t>Add: total stock-based employee compensation expense included in net loss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148,518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14,780,139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358,634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34,210,079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stock-based employee compensation expense determined under the fair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(224,430)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(14,848,600)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(452,983)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(17,852,120)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(6,518,584)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(48,993,161)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(18,598,952)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(59,263,345)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pro forma under SFAS No. 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-629285</wp:posOffset>
            </wp:positionV>
            <wp:extent cx="93916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-629285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-629285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-629285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-629285</wp:posOffset>
            </wp:positionV>
            <wp:extent cx="9906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-329565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-329565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-329565</wp:posOffset>
            </wp:positionV>
            <wp:extent cx="286004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6004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9906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9060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fair value of the options granted prior to the completion of our initial public offering was estimated at the date of grant using the minimum value pricing model and, upon completion of our initial public offering in February 2005, we began using the Black-Scholes model to estimate fair value. The estimated fair value of the options is amortized on a straight-line basis over the vesting period. The pro forma net loss for the nine months ended September 30, 2004 is less than the reported net loss due to variable measurement of the fair value of the founders’ warrants required by APB No. 25 as compared to grant date measurement of fair value required by SFAS No. 123.</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 was determined using the following weighted-average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4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540" w:type="dxa"/>
            <w:vAlign w:val="bottom"/>
          </w:tcPr>
          <w:p>
            <w:pPr>
              <w:jc w:val="right"/>
              <w:ind w:right="6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2004</w:t>
            </w:r>
          </w:p>
        </w:tc>
        <w:tc>
          <w:tcPr>
            <w:tcW w:w="700" w:type="dxa"/>
            <w:vAlign w:val="bottom"/>
          </w:tcPr>
          <w:p>
            <w:pPr>
              <w:spacing w:after="0"/>
              <w:rPr>
                <w:sz w:val="22"/>
                <w:szCs w:val="22"/>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In December 2004, the Financial Accounting Standards Board, or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No. 123R. SFAS No. 123R requires that employee stock-based compensation is measured based on its fair value on the grant date and is treated as an expense that is reflected in the financial statements over the related service period. SFAS No. 123R applies to all employee equity awards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granted after adoption and to the unvested portion of equity awards outstanding as of adoption. In April 2005, the Securities and Exchange Commission adopted an amendment to Rule 4-01(a) of Regulation S-X that delays the implementation of SFAS No. 123R until January 1, 2006 for calendar year companies. As a result, we currently anticipate adopting SFAS No. 123R using the modified-prospective method effective January 1, 2006. While we are currently evaluating the impact on our financial statements of the adoption of SFAS No. 123R, we anticipate that our adoption of SFAS No. 123R will have a significant impact on our results of operations for 2006 and future periods, although our overall total stockholders’ equity will not be affected.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approved an arrangement in September 2001, and again in November 2004, to engage Dr. Yuichi Iwaki, Chairman of the Board, as a consultant in connection with financing transactions and business development activities. Pursuant to such arrangement we pay Dr. Iwaki $20,000 per month plus other cash or stock compensation, if any, as the board of directors deems appropriate for his services rendered. Compensation earned by Dr. Iwaki during each of the three months and nine months ended September 30, 2005 and 2004 was $60,000, $60,000, $180,000 and $180,000, respectively. On July 19, 2005, the Board appointed Dr. Iwaki as our Executive Chairman, and on September 30, 2005, the Board named him as our Acting Chief Executive Officer. There was no change in Dr. Iwaki’s compensation in connection with either such appointment.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Facility Lease</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March 2005, we amended our non-cancellable operating lease for our corporate headquarters to expand our leased space from 11,375 square feet to 16,609 square feet.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are as follows at September 30, 2005:</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18"/>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2005</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jc w:val="right"/>
              <w:ind w:right="4672"/>
              <w:spacing w:after="0"/>
              <w:rPr>
                <w:sz w:val="20"/>
                <w:szCs w:val="20"/>
                <w:color w:val="auto"/>
              </w:rPr>
            </w:pPr>
            <w:r>
              <w:rPr>
                <w:rFonts w:ascii="Arial" w:cs="Arial" w:eastAsia="Arial" w:hAnsi="Arial"/>
                <w:sz w:val="18"/>
                <w:szCs w:val="18"/>
                <w:color w:val="auto"/>
              </w:rPr>
              <w:t>2006</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jc w:val="right"/>
              <w:ind w:right="4672"/>
              <w:spacing w:after="0"/>
              <w:rPr>
                <w:sz w:val="20"/>
                <w:szCs w:val="20"/>
                <w:color w:val="auto"/>
              </w:rPr>
            </w:pPr>
            <w:r>
              <w:rPr>
                <w:rFonts w:ascii="Arial" w:cs="Arial" w:eastAsia="Arial" w:hAnsi="Arial"/>
                <w:sz w:val="18"/>
                <w:szCs w:val="18"/>
                <w:color w:val="auto"/>
              </w:rPr>
              <w:t>2007</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jc w:val="right"/>
              <w:ind w:right="4672"/>
              <w:spacing w:after="0"/>
              <w:rPr>
                <w:sz w:val="20"/>
                <w:szCs w:val="20"/>
                <w:color w:val="auto"/>
              </w:rPr>
            </w:pPr>
            <w:r>
              <w:rPr>
                <w:rFonts w:ascii="Arial" w:cs="Arial" w:eastAsia="Arial" w:hAnsi="Arial"/>
                <w:sz w:val="18"/>
                <w:szCs w:val="18"/>
                <w:color w:val="auto"/>
              </w:rPr>
              <w:t>2008</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1,501,455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2" w:lineRule="exact"/>
        <w:rPr>
          <w:sz w:val="20"/>
          <w:szCs w:val="20"/>
          <w:color w:val="auto"/>
        </w:rPr>
      </w:pPr>
    </w:p>
    <w:p>
      <w:pPr>
        <w:ind w:right="6160" w:firstLine="8"/>
        <w:spacing w:after="0" w:line="332"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Equity </w:t>
      </w:r>
      <w:r>
        <w:rPr>
          <w:rFonts w:ascii="Arial" w:cs="Arial" w:eastAsia="Arial" w:hAnsi="Arial"/>
          <w:sz w:val="18"/>
          <w:szCs w:val="18"/>
          <w:b w:val="1"/>
          <w:bCs w:val="1"/>
          <w:i w:val="1"/>
          <w:iCs w:val="1"/>
          <w:color w:val="auto"/>
        </w:rPr>
        <w:t>Initial Public Offering</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February 4, 2005, we completed an initial public offering of 30,000,000 shares of common stock for proceeds to us of $104,486,895, net of underwriting discounts and commissions and offering expenses. In addition, on March 8, 2005, we closed the sale of an additional 1,573,000 shares of our common stock pursuant to the partial exercise, by our underwriters, of an over-allotment option which resulted in aggregate proceeds to us of $5,557,773, net of underwriting discounts and commissions.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our initial public offering, preferred stock outstanding as of February 4, 2005 was automatically converted into 66,782,856 shares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completion of our initial public offering on February 4, 2005, our 2004 Stock Incentive Plan became effective with 20,300,000 shares of common stock authorized for issuance thereunder. No further grants will be made from our 2000 General Stock Incentive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20"/>
        <w:spacing w:after="0" w:line="37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May Prove Inaccurate</w:t>
      </w:r>
    </w:p>
    <w:p>
      <w:pPr>
        <w:spacing w:after="0" w:line="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2004 included in our Annual Report on Form 10-K filed with the Securities and Exchange Commission on March 22, 2005. Operating results are not necessarily indicative of results that may occur in future periods.</w:t>
      </w:r>
    </w:p>
    <w:p>
      <w:pPr>
        <w:spacing w:after="0" w:line="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i w:val="1"/>
          <w:iCs w:val="1"/>
          <w:color w:val="auto"/>
        </w:rPr>
        <w:t>This report includes forward-looking statements that are subject to risks and uncertainties, many of which are beyond our control. Our actual results will differ from those anticipated in these forward looking statements as a result of various factors, including those set forth below under the caption “Risk Factors” and the differences may be material. Forward-looking statements discuss matters that are not historical facts. Forward-looking statements include, but are not limited to, discussions regarding our operating strategy, growth strategy, acquisition strategy, cost savings initiatives, industry, economic conditions, financial condition, liquidity and capital resources and results of operations. In this report, for example, we make forward-looking statements regarding our expectations about the rate of revenue growth and the reasons for that expected growth and our achievement of profitability.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While we seek to identify and acquire license rights to product candidates with extensive safety and efficacy data that are in late pre-clinical or early clinical development and that address large markets with significant opportunities for improved therapies, we are focused primarily on the development of our existing programs at the present time and do not foresee material acquisitions of product candidates in the near term.</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follow a dual pathway:</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core programs;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partnering programs.</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strategic core programs consist of product candidates for which we intend to retain the rights through final regulatory approval in the United States and commercialize directly. Our partnering programs consist of product candidates we intend to license to larger pharmaceutical companies and with respect to which we intend to retain co-promotion rights. To date, we have acquired license rights to six compounds. We currently have Phase I clinical trials ongoing and initiated a Second Phase I clinical trial for MN-029 (solid tumor) and we have Phase I clinical trials ongoing for MN-221 (premature labor) in our strategic core programs and intend to enter into a Phase I clinical trial for MN-246 (urinary incontinence; pollakisuria) during the first quarter of 2006. We currently have Phase II clinical trials ongoing for MN-305 (Generalized Anxiety Disorder), MN-001 (bronchial asthma), and MN-166 (multiple sclerosis) in our partnering programs and MN-001 (interstitial cystitis) in our strategic core programs.</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commissions and offering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initial public offering.</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are a development stage company. We have incurred significant net losses since our inception. At September 30, 2005, our accumulated deficit was approximately $113.3 million, including $34.7 million of non-cash stock-based compensation charges related to employee stock-based compensation and founders’ warrants. We expect to incur substantial net losses for the next several years as we continue to develop our existing programs, over the long-term, expand our research and development programs and acquire or in-license products, technologies or businesses that are complementary to our 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not generated any revenues from licensing, milestones or product sales to date, and we do not expect to generate any meaningful revenues within the next 12 to 18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 Argenes development management contract for at least the next 12 to 18 months based on currently anticipated clinical trials. We have completed our contract with Asahi Kasei Pharma and we do not expect to generate further revenue from that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research and development expenses primarily consist of costs associated with the feasibility studies, licensing and pre-clinical and clinical development of our six licensed compounds, one of which we are developing for the treatment of two separate indications. Although no longer a focus for us, we historically have funded research in the area of store-operated calcium channels, or SOCCs, as a novel approach to the treatment of cancer and inflammatory diseases. These research and development expenses include external costs, such as fees paid to consultants and related contract research, and internal costs of compensation and other expenses for research and development personnel, supplies, materials, facility costs and depreciation. These research and development expenses do not include employee stock-based compensation costs for research and development personnel.</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research and development expenses for the periods indicated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20" w:type="dxa"/>
            <w:vAlign w:val="bottom"/>
            <w:gridSpan w:val="3"/>
            <w:vMerge w:val="continue"/>
          </w:tcPr>
          <w:p>
            <w:pPr>
              <w:spacing w:after="0"/>
              <w:rPr>
                <w:sz w:val="7"/>
                <w:szCs w:val="7"/>
                <w:color w:val="auto"/>
              </w:rPr>
            </w:pPr>
          </w:p>
        </w:tc>
        <w:tc>
          <w:tcPr>
            <w:tcW w:w="6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Candidate</w:t>
            </w:r>
          </w:p>
        </w:tc>
        <w:tc>
          <w:tcPr>
            <w:tcW w:w="6720" w:type="dxa"/>
            <w:vAlign w:val="bottom"/>
          </w:tcPr>
          <w:p>
            <w:pPr>
              <w:ind w:left="2820"/>
              <w:spacing w:after="0"/>
              <w:rPr>
                <w:sz w:val="20"/>
                <w:szCs w:val="20"/>
                <w:color w:val="auto"/>
              </w:rPr>
            </w:pPr>
            <w:r>
              <w:rPr>
                <w:rFonts w:ascii="Arial" w:cs="Arial" w:eastAsia="Arial" w:hAnsi="Arial"/>
                <w:sz w:val="14"/>
                <w:szCs w:val="14"/>
                <w:b w:val="1"/>
                <w:bCs w:val="1"/>
                <w:color w:val="auto"/>
              </w:rPr>
              <w:t>Disease/ Indication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2005</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Strategic Core Programs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MN-221</w:t>
            </w:r>
          </w:p>
        </w:tc>
        <w:tc>
          <w:tcPr>
            <w:tcW w:w="6720" w:type="dxa"/>
            <w:vAlign w:val="bottom"/>
          </w:tcPr>
          <w:p>
            <w:pPr>
              <w:spacing w:after="0"/>
              <w:rPr>
                <w:sz w:val="20"/>
                <w:szCs w:val="20"/>
                <w:color w:val="auto"/>
              </w:rPr>
            </w:pPr>
            <w:r>
              <w:rPr>
                <w:rFonts w:ascii="Arial" w:cs="Arial" w:eastAsia="Arial" w:hAnsi="Arial"/>
                <w:sz w:val="18"/>
                <w:szCs w:val="18"/>
                <w:color w:val="auto"/>
              </w:rPr>
              <w:t>Premature labor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Solid tumor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MN-001</w:t>
            </w:r>
          </w:p>
        </w:tc>
        <w:tc>
          <w:tcPr>
            <w:tcW w:w="6720" w:type="dxa"/>
            <w:vAlign w:val="bottom"/>
          </w:tcPr>
          <w:p>
            <w:pPr>
              <w:spacing w:after="0"/>
              <w:rPr>
                <w:sz w:val="20"/>
                <w:szCs w:val="20"/>
                <w:color w:val="auto"/>
              </w:rPr>
            </w:pPr>
            <w:r>
              <w:rPr>
                <w:rFonts w:ascii="Arial" w:cs="Arial" w:eastAsia="Arial" w:hAnsi="Arial"/>
                <w:sz w:val="18"/>
                <w:szCs w:val="18"/>
                <w:color w:val="auto"/>
              </w:rPr>
              <w:t>Interstitial cystitis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Urinary incontinence; Pollakisuria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Partnering Programs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MN-001</w:t>
            </w:r>
          </w:p>
        </w:tc>
        <w:tc>
          <w:tcPr>
            <w:tcW w:w="6720" w:type="dxa"/>
            <w:vAlign w:val="bottom"/>
          </w:tcPr>
          <w:p>
            <w:pPr>
              <w:spacing w:after="0"/>
              <w:rPr>
                <w:sz w:val="20"/>
                <w:szCs w:val="20"/>
                <w:color w:val="auto"/>
              </w:rPr>
            </w:pPr>
            <w:r>
              <w:rPr>
                <w:rFonts w:ascii="Arial" w:cs="Arial" w:eastAsia="Arial" w:hAnsi="Arial"/>
                <w:sz w:val="18"/>
                <w:szCs w:val="18"/>
                <w:color w:val="auto"/>
              </w:rPr>
              <w:t>Bronchial asthma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MN-305</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Generalized Anxiety Disorder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MN-166</w:t>
            </w:r>
          </w:p>
        </w:tc>
        <w:tc>
          <w:tcPr>
            <w:tcW w:w="6720" w:type="dxa"/>
            <w:vAlign w:val="bottom"/>
          </w:tcPr>
          <w:p>
            <w:pPr>
              <w:spacing w:after="0"/>
              <w:rPr>
                <w:sz w:val="20"/>
                <w:szCs w:val="20"/>
                <w:color w:val="auto"/>
              </w:rPr>
            </w:pPr>
            <w:r>
              <w:rPr>
                <w:rFonts w:ascii="Arial" w:cs="Arial" w:eastAsia="Arial" w:hAnsi="Arial"/>
                <w:sz w:val="18"/>
                <w:szCs w:val="18"/>
                <w:color w:val="auto"/>
              </w:rPr>
              <w:t>Multiple Sclerosis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development programs, we are unable to estimate with any certainty the costs we will incur in the continued development of our product candidates for potential commercialization. Due to these same factors, we are unable to determine the anticipated completion dates for our current product development programs. Clinical development timelines, probability of success and development costs vary widely. 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 In addition, we cannot forecast with any degree of certainty which product candidates, if any, will be subject to future partnering, when such arrangements will be secured, if at all, and to what degree such arrangements would affect our development plans and capital requirements. As a result, we cannot be certain as to when or to what extent we will receive cash inflows from the commercialization of our product candidates.</w:t>
      </w:r>
    </w:p>
    <w:p>
      <w:pPr>
        <w:spacing w:after="0" w:line="10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expect our development expenses to be substantial and to increase as we continue the advancement of our product development programs. The lengthy process of completing clinical trials and seeking regulatory approval for our product candidates requires the expenditure of substantial resources. Any failure by us or delay in completing clinical trials, or in obtaining regulatory approvals, could cause our research and development expenses to increase, which would harm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significant changes in critical accounting policies or estimates from those at December 31,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 The requirements of SFAS No. 123R are effective for us beginning January 1, 2006. The adoption of this standard is expected to increase our operating expenses and we are currently evaluating the extent of such impact on our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2005 and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revenues decreased to $41,000 for the three months ended September 30, 2005 from $167,000 for the three months ended September 30, 2004. The decrease was due to the completion of the Asahi Kasei master service agreement and the fluctuation of the service activity under the Argenes master services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increased to $4.9 million for the three months ended September 30, 2005 from $2.2 million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This increase primarily was due to:</w:t>
      </w:r>
    </w:p>
    <w:p>
      <w:pPr>
        <w:spacing w:after="0" w:line="70" w:lineRule="exact"/>
        <w:rPr>
          <w:sz w:val="20"/>
          <w:szCs w:val="20"/>
          <w:color w:val="auto"/>
        </w:rPr>
      </w:pPr>
    </w:p>
    <w:p>
      <w:pPr>
        <w:ind w:left="780" w:right="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in our strategic core programs as a result of $0.8 million increase in clinical trial and related costs, partially offset by a $0.5 million decrease in other costs, primarily consisting of milestone payments; and</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$2.4 million in our partnering programs as a result of a $1.8 million increase in clinical trial and related costs and a $0.6 million decrease in other costs, primarily consisting of milestone payments.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and acquire new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General and administrative expenses increased to $2.6 million for the three months ended September 30, 2005 from $0.8 million for the three months ended September 30, 2004. This increase was primarily due to:</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related to severance costs to former officers;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$0.3 million of salaries and related costs to expand our general and administrative functions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$0.3 million of various consulting fees and other consulting related expenses;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$0.2 million of legal and accounting fees;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$0.2 million of insurance premiums;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$0.2 million of other expenses.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incur additional costs for insurance, professional and consulting fees associated with operating as a public company, and support the future growth of our research and development organization.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Stock-based compensation expenses decreased to $0.1 million for the three months ended September 30, 2005 from $14.8 million for the three months ended September 30, 2004. The decrease primarily was due to the issuance of warrants at exercise prices below the estimated fair value of our common stock and the amortization of deferred stock-based compensation in 2004. During the three months ended September 30, 2004, pursuant to the anti-dilution provisions of the warrants originally issued in September 2000 to our founders and as a result of the sale of our Series C redeemable convertible preferred stock, we adjusted the warrants to provide that our two founders may purchase an aggregate of 12,856,572 shares of our common stock. As a result, we recorded $14.7 million of stock-based compensation expense to reflect the difference between the deemed fair value of the underlying common stock and the warrant exercise price at September 2, 2004, for all warrants issued to date. We granted options to purchase 20,000 shares of our common stock to members of the Board and an option to purchase 52,500 shares of our common stock to a former officer of the Company during the comparable period in 2005, however, such issuances only require us to record $39,900 of stock-based compensation expense. Based on deferred employee stock-based compensation amounts recorded through September 30, 2005, the total amortization expense, prior to the adoption of SFAS No. 123R, for the years ending December 31, 2005, 2006, 2007 and 2008 will be $400,000, $324,000, $324,000 and $152,000, respectively. The adoption of the new standard is expected to increase our amortization expense and we are currently evaluating the extent of such impact on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income, net is primarily interest income earned on our cash and investment balances and totaled $1.3 million and $89,000 for the three months ended September 30, 2005 and 2004, respectively. The increase in income amounts from 2004 to 2005 primarily was due to the increase in our average cash and investment balances as a result of the proceeds from our initial public offering.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2005 and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revenue decreased to $75,000 for the nine months ended September 30, 2005 from $354,000 for the nine months ended September 30, 2004. The decrease was due to the completion of the Asahi Kasei master service agreement and the fluctuation of the service activity under the Argenes master services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increased to $15.6 million for the nine months ended September 30, 2005 from $8.3 million for the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This increase primarily was due to:</w:t>
      </w:r>
    </w:p>
    <w:p>
      <w:pPr>
        <w:spacing w:after="0" w:line="70" w:lineRule="exact"/>
        <w:rPr>
          <w:sz w:val="20"/>
          <w:szCs w:val="20"/>
          <w:color w:val="auto"/>
        </w:rPr>
      </w:pPr>
    </w:p>
    <w:p>
      <w:pPr>
        <w:ind w:left="780" w:right="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$1.6 million in our strategic core programs as a result of $3.1 million increase in clinical trial and related costs, partially offset by a $1.5 million decrease in other costs, primarily consisting of licensing and milestone payments;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$5.2 million in our partnering programs as a result of a $5.9 million increase in clinical trial and related costs, partially offset by a $0.7 million decrease in other costs, primarily consisting of licensing and translation fees; and</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$0.5 million in unallocated expenses as a result of increased salaries and related personnel costs due to expansion of our research and development staff.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and acquire new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to $5.6 million for the nine months ended September 30, 2005 from $2.0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This increase was primarily was due to:</w:t>
      </w:r>
    </w:p>
    <w:p>
      <w:pPr>
        <w:spacing w:after="0" w:line="7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$0.9 million of salaries and related costs as we expanded our general and administrative functions to support our operations;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$0.6 million related to severance costs to former officers of the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$0.6 million of various consulting fees and other consulting related expenses;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$0.6 million of legal and accounting fees;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$0.4 million of insurance premiums;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$0.5 million of other expenses.</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organization.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Stock-based compensation expense decreased to $0.4 million for the nine months ended September 30, 2005 from $34.2 million for the nine months ended September 30, 2004. The decrease primarily was due to the issuance of warrants at exercise prices below the estimated fair value of our common stock and the amortization of deferred stock-based compensation in 2004. During the nine months ended September 30, 2004, pursuant to the anti-dilution provisions of the warrants originally issued in September 2000 to our founders and as a result of the sale of our Series B preferred stock and Series C redeemable convertible preferred stock, we adjusted the warrants to provide that our two founders may purchase an aggregate of 12,856,572 shares of our common stock. As a result, we recorded $34.1 million of stock-based compensation expense to reflect the difference between the deemed fair value of the underlying common stock and the warrant exercise price at September 2, 2004, for all warrants issued to date. We granted options to purchase 20,000 shares of our common stock to members of the Board and an option to purchase 52,500 shares of our common stock to a former officer of the Company during the comparable period in 2005, however, such issuances only require us to record $39,900 of stock-based compensation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net is primarily interest income earned on our cash and investment balances and totaled $3.1 million and $133,000 for the nine months ended September 30, 2005 and 2004, respectively. The increase in income amounts from 2004 to 2005 primarily was due to the increase in our average cash and investment balances as a result of the proceeds from our initial public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and through the public sale of our common stock in our initial public offering. Through September 30, 2005, we received estimated net proceeds of $190.3 million from the sale of equity securities as follows:</w:t>
      </w:r>
    </w:p>
    <w:p>
      <w:pPr>
        <w:spacing w:after="0" w:line="4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October 2000 and August 2001, we issued and sold a total of 1,000,000 shares of Series A preferred stock for aggregate net proceeds of $10 million;</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2, 2004, we issued and sold 27,667,856 shares of Series C preferred stock for aggregate net proceeds of $43.4 million;</w:t>
      </w:r>
    </w:p>
    <w:p>
      <w:pPr>
        <w:spacing w:after="0" w:line="126" w:lineRule="exact"/>
        <w:rPr>
          <w:rFonts w:ascii="Arial" w:cs="Arial" w:eastAsia="Arial" w:hAnsi="Arial"/>
          <w:sz w:val="16"/>
          <w:szCs w:val="16"/>
          <w:color w:val="auto"/>
        </w:rPr>
      </w:pPr>
    </w:p>
    <w:p>
      <w:pPr>
        <w:ind w:left="780" w:right="8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commissions and offering expenses; and</w:t>
      </w:r>
    </w:p>
    <w:p>
      <w:pPr>
        <w:spacing w:after="0" w:line="37"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underwriters’ partial exercise of the over-allotment option we granted to them in connection with our initial public offering.</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2005, we had $20.1 million in cash and cash equivalents as compared to $38.8 million as of December 31, 2004, a decrease of $18.7 million. Net cash used in operating activities amounted to $16.4 million for the nine months ended September 30, 2005, primarily due to the net loss occurring for this period of $18.5 million. Net cash used in investing activities for the nine months ended September 30, 2005 consisted of $112.6 million for the net purchases of investments and $0.7 million of capital equipment purchases. Net cash provided by financing activities amounted to $111.0 million for the nine months ended September 30, 2005, primarily reflecting the sale of common stock upon the completion of our initial public offering and the related over-allotment option exercised by our underwriters.</w:t>
      </w:r>
    </w:p>
    <w:p>
      <w:pPr>
        <w:spacing w:after="0" w:line="13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We believe that our existing cash, cash equivalents and investments as of September 30, 2005 will be sufficient to meet our projected operating requirements through at least December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long-term contractual obligations as of September 30, 2005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52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2005 to 2006</w:t>
            </w:r>
          </w:p>
        </w:tc>
        <w:tc>
          <w:tcPr>
            <w:tcW w:w="3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2007 to 2008</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0" w:type="dxa"/>
            <w:vAlign w:val="bottom"/>
          </w:tcPr>
          <w:p>
            <w:pPr>
              <w:jc w:val="right"/>
              <w:ind w:right="117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development stage specialty pharmaceutical company with a limited operating history. We have incurred significant net losses since our inception. For the year ended December 31, 2004, we had a net loss of $48.3 million, including $34.3 million of non-cash stock-based compensation charges. For the nine months ended September 30, 2005, we had a net loss of $18.5 million. We expect our annual net losses to increase over the next several years as we expand and incur significant clinical development costs. These losses have reduced our stockholders’ equity and, excluding the portion related to stock-based compensation, will continue to reduce our stockholders’ equity and working capital.</w:t>
      </w:r>
    </w:p>
    <w:p>
      <w:pPr>
        <w:spacing w:after="0" w:line="10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9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3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has been completed and we do not expect to generate further revenue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 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would significantly impair our operating results.</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six compounds for the development of seven product candidates. They are:</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MN-221 for premature labor licensed from Kissei Pharmaceutical;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MN-001 for interstitial cystisis and asthma licensed from Kyorin Pharmaceutical;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MN-305 for anxiety licensed from Mitsubishi Pharma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1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any of our license agreements is terminated, then we would have no further rights to develop and commercialize the product candidate which is the subject of the license. The termination of any of our license agreements would significantly and adversely affect our business.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Six of our seven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date, the FDA has accepted Investigational New Drug, or IND, applications for five of our seven product candidates. We have filed Clinical Trial Authorization, or CTA, applications, the equivalent of a U.S. IND, in eight European countries to conduct a Phase II study for MN-166 in patients with multiple sclerosis. Six of the CTA applications have been approved and the remaining two are under active review. We cannot conduct human clinical trials in the United States or in Eastern Europe on our remaining product candidate until an IND or CTA application is approved and in effect and there can be no assurance that the regulatory authorities, including the FDA, will approve our applications.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103"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77" w:lineRule="exact"/>
        <w:rPr>
          <w:sz w:val="20"/>
          <w:szCs w:val="20"/>
          <w:color w:val="auto"/>
        </w:rPr>
      </w:pPr>
    </w:p>
    <w:p>
      <w:pPr>
        <w:ind w:left="780" w:right="2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we have limited internal discovery capabilities, our business over the long term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us.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 risks of entering new markets or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these and other reasons, we have determined to place less emphasis on efforts to identify and acquire additional product candidates in the near term. If we are not successful in identifying and licensing or acquiring other product candidates over the long term, we will not be able to grow our revenues with sales from new products beyond those revenues, if any, from our existing product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consumed substantial amounts of capital since our inception. From our inception to September 30, 2005, we used $45.5 million in cash to fund our operating activities and acquisitions of property and equipment. Although we believe our existing cash and investments will be sufficient to fund our anticipated cash requirements through 2006, we will require significant additional financing in the future to fund our operations. Our future capital requirements will depend on, and could increase significantly as a result of many factors including:</w:t>
      </w:r>
    </w:p>
    <w:p>
      <w:pPr>
        <w:spacing w:after="0" w:line="18"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2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other business opportunities that require financial commitments and we may be required to:</w:t>
      </w:r>
    </w:p>
    <w:p>
      <w:pPr>
        <w:spacing w:after="0" w:line="49"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0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that may harm our ability to grow our business.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99" w:lineRule="exact"/>
        <w:rPr>
          <w:sz w:val="20"/>
          <w:szCs w:val="20"/>
          <w:color w:val="auto"/>
        </w:rPr>
      </w:pPr>
    </w:p>
    <w:p>
      <w:pPr>
        <w:ind w:right="480"/>
        <w:spacing w:after="0" w:line="325"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1"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 further develop and commercialize those products. To date, we have not entered into any collaborative arrangements with any third-party partners and currently do not expect to do so until we have successfully completed further studies for one of our partnering program product candidates.</w:t>
      </w:r>
    </w:p>
    <w:p>
      <w:pPr>
        <w:spacing w:after="0" w:line="130"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1" w:lineRule="exact"/>
        <w:rPr>
          <w:sz w:val="20"/>
          <w:szCs w:val="20"/>
          <w:color w:val="auto"/>
        </w:rPr>
      </w:pPr>
    </w:p>
    <w:p>
      <w:pPr>
        <w:jc w:val="center"/>
        <w:ind w:left="5620" w:right="220" w:hanging="5166"/>
        <w:spacing w:after="0" w:line="472" w:lineRule="auto"/>
        <w:tabs>
          <w:tab w:leader="none" w:pos="7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have sufficient resources or decide not to devote the necessary resources due to internal constraints such as limited cash or human resources; 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with whom we may collaborate.</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MDS Pharma Services of Belfast, Northern Ireland; Pharmaceutical Research Associates, Inc. of Lenexa, Kansas; Fulcrum Pharma Developments, Inc. of Durham, North Carolina; Paragon, Inc. of Irvine, California and Quintiles, Inc. of Morrisville, North Carolina.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7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4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b w:val="1"/>
          <w:bCs w:val="1"/>
          <w:i w:val="1"/>
          <w:iCs w:val="1"/>
          <w:color w:val="auto"/>
        </w:rPr>
        <w:t>We are dependent on our management team, particularly Yuichi Iwaki, M.D., Ph.D., a founder and Executive Chairman of our Board of Directors and Acting Chief Executive Officer, and if we are unable to attract, retain and motivate Dr. Iwaki and other key management and scientific staff, our drug development programs may be delayed and we may be unable to successfully develop or commercialize our product candidates.</w:t>
      </w:r>
    </w:p>
    <w:p>
      <w:pPr>
        <w:spacing w:after="0" w:line="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one of our founders and the Executive Chairman of our Board of Directors and our Acting Chief Executive Officer and Chief Financial Officer, who has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as part of our partnering program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0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core product candidates.</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strategic core programs or acquire other products,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strategic core programs outside the United States, if we are unable to establish such collaborations, we may be required to market our strategic core product candidates outside of the United States directly. In that event, we may need to build a corresponding international sales and marketing capability with technical expertise and with supporting distribution capabilities.</w:t>
      </w:r>
    </w:p>
    <w:p>
      <w:pPr>
        <w:spacing w:after="0" w:line="1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 Similarly, we are likely to hire additional management and administrative personnel to manage our business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affairs as we continue to grow. In addition, we will have to develop sales, marketing and distribution capabilities for the product candidates in our strategic core programs. The scope and timing of these hires is highly uncertain and remains subject to the success of our current product candidate development programs.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0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37" w:lineRule="exact"/>
        <w:rPr>
          <w:sz w:val="20"/>
          <w:szCs w:val="20"/>
          <w:color w:val="auto"/>
        </w:rPr>
      </w:pPr>
    </w:p>
    <w:p>
      <w:pPr>
        <w:ind w:left="780" w:right="3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that quarterly comparisons of our financial results are not necessarily meaningful and should not be relied upon as an indication of our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7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3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manufacturers will be obliged to operate in accordance with FDA-mandated or International Convention on Harmonization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11"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successfully increase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successfully to increase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9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harm our ability to generate revenues from the sale of our products.</w:t>
      </w:r>
    </w:p>
    <w:p>
      <w:pPr>
        <w:spacing w:after="0" w:line="105" w:lineRule="exact"/>
        <w:rPr>
          <w:sz w:val="20"/>
          <w:szCs w:val="20"/>
          <w:color w:val="auto"/>
        </w:rPr>
      </w:pPr>
    </w:p>
    <w:p>
      <w:pPr>
        <w:ind w:right="340"/>
        <w:spacing w:after="0" w:line="347" w:lineRule="auto"/>
        <w:rPr>
          <w:sz w:val="20"/>
          <w:szCs w:val="20"/>
          <w:color w:val="auto"/>
        </w:rPr>
      </w:pPr>
      <w:r>
        <w:rPr>
          <w:rFonts w:ascii="Arial" w:cs="Arial" w:eastAsia="Arial" w:hAnsi="Arial"/>
          <w:sz w:val="15"/>
          <w:szCs w:val="15"/>
          <w:b w:val="1"/>
          <w:bCs w:val="1"/>
          <w:i w:val="1"/>
          <w:iCs w:val="1"/>
          <w:color w:val="auto"/>
        </w:rPr>
        <w:t>If the holders of the shares offered by the prospectus dated September 19, 2005 as supplemented from time to time, were to determine to sell all or a significant portion of their shares at one time, there would be significant downward pressure on our stock price and it may be difficult to sell your shares.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67,335,356 shares of common stock for resale from time to time, which registration statement was subsequently declared effective by the U.S. Securities and Exchange Commission. The registered shares were beneficially owned by 47 holders. The trading volume for our stock is extremely low, with an average trading volume of approximately 69,000 shares per day during the last four weeks. If the holders of the shares offered by the prospectus were to attempt immediately to sell their shares, there would be significant downward pressure on our stock price and it may be difficult, or even impossible, to find a buyer for shares of our common stock. In addition, 12,856,572 shares of our common stock may be issued upon exercise of warrants held by two of our founders at an exercise price of $0.10 per share and 500,000 shares of our common stock may be issued upon exercise of a warrant held by another party at an exercise price of $1.00 per share. The warrants held by our founders expire in 2007 and the warrant held by the other party expires in 2009. Dr. Takashi Kiyoizumi, one of the two founders and our former Chief Executive Officer, has requested that we register for resale the 6,428,286 shares of our common stock underlying his warrants. If the foregoing warrants are exercised, our stockholders will experience immediate and substantial dilution. In addition, upon sale of these shares, which may be sold pursuant to the volume limitations of Rule 144, the market value of our common stock may decline if there is insufficient demand in the public markets to purchase the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49" w:lineRule="exact"/>
        <w:rPr>
          <w:sz w:val="20"/>
          <w:szCs w:val="20"/>
          <w:color w:val="auto"/>
        </w:rPr>
      </w:pPr>
    </w:p>
    <w:p>
      <w:pPr>
        <w:ind w:left="780" w:right="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100" w:hanging="326"/>
        <w:spacing w:after="0" w:line="22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w:t>
      </w:r>
    </w:p>
    <w:p>
      <w:pPr>
        <w:spacing w:after="0" w:line="7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has decreased since the time of the initial public offering, may not increase, and in fact, the market value may decrease further.</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date, we have obtained licensed rights to ten issued U.S. patents and two U.S. patent applications. We also have obtained licensed rights to 64 issued and pending foreign patents corresponding to these U.S. patents. The patents to which we have licensed rights are set to expire between 2009 and 2020. In addition to these licensed rights, we hold three U.S. patent applications relating to MN-001 and its metabolite, MN-002, as well as one U.S. patent application relating to MN-029.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9"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7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3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 patentee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18"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00"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We, our collaborators,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93"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3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Competition in the pharmaceutical industry is intense and is expected to increase. We face competition from pharmaceutical and biotechnology companies, as well as numerous academic and research institutions and governmental agencies, both in the United States and abroad. Some of these competitors have products or are pursuing the development of drugs that target the same diseases and conditions that are the focus of our product development programs.</w:t>
      </w:r>
    </w:p>
    <w:p>
      <w:pPr>
        <w:spacing w:after="0" w:line="7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9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7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1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business and financial condition of pharmaceutical and biotechnology companies are affected by the efforts of governmental and third-party payors to contain or reduce the costs of health care.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trading price of our common stock could fluctuate due to the factors discussed in this prospectus. For example, since the date of our initial public offering through November 11, 2005, our stock has traded as high as 440 Japanese Yen (or approximately $4.19) and as low as 157 Japanese Yen (or approximately $1.33) per share. The trading market for our common stock also may be influenced by the research and reports that industry or securities analysts publish about us or our industry. If one or more of the analysts who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exposure to market risk due to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(the “Exchange Act”), is recorded, processed, summarized and reported within the time periods specified in the Securities and Exchange Commission’s rules and forms and that such information is accumulated and communicated to our management, including our chief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principal financial officer, of the effectiveness of the design and operation of our disclosure controls and procedures as of the end of the quarter covered by this report. Based on the foregoing, our chief executive officer and our principal financial officer concluded that our disclosure controls and procedures were effective at the reasonable assurance level.</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2005, we had used approximately $14.2 million of the net proceeds from our initial public offering to fund our operations, including development of both our strategic core and partnering programs and payment of $180,000 in consulting fees to our Executive Chairman of the Board and Acting Chief Executive Officer and Chief Financial Officer, Dr. Yuichi Iwaki. In addition, as of September 30, 2005, we had used $0.7 million for acquisitions of property and equipment. Other than the consulting fees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both our strategic core and partnering programs and to acquire and develop additional product candidates. In addition, we may use a portion of the net proceeds from our initial public offering to acquire technologies or businesses that are complementary to our own, but we currently have no commitments or agreements relating to any such transaction.</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initial public offering. Pending the uses described above, we plan to invest the net proceeds from our initial public offering in short-term, investment-grade, interest-bearing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2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64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Severance Agreement and Release dated September 30, 2005 between MediciNova, Inc. and Brian Anderson.</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8"/>
              </w:rPr>
              <w:t>Certification of Chief Executive Officer and Chief Financial Officer pursuant to Section 302 of the Sarbanes-Oxley Act of 2002.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(Section 906 of the Sarbanes-Oxley</w:t>
            </w:r>
          </w:p>
        </w:tc>
      </w:tr>
      <w:tr>
        <w:trPr>
          <w:trHeight w:val="222"/>
        </w:trPr>
        <w:tc>
          <w:tcPr>
            <w:tcW w:w="60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Act of 2002).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5"/>
              </w:rPr>
              <w:t>Certification of Principal Accounting Officer pursuant to 18 U.S.C. Section 1350 (Section 906 of the Sarbanes-Oxley Act of 2002).</w:t>
            </w:r>
          </w:p>
        </w:tc>
      </w:tr>
      <w:tr>
        <w:trPr>
          <w:trHeight w:val="365"/>
        </w:trPr>
        <w:tc>
          <w:tcPr>
            <w:tcW w:w="600" w:type="dxa"/>
            <w:vAlign w:val="bottom"/>
          </w:tcPr>
          <w:p>
            <w:pPr>
              <w:spacing w:after="0"/>
              <w:rPr>
                <w:sz w:val="24"/>
                <w:szCs w:val="24"/>
                <w:color w:val="auto"/>
              </w:rPr>
            </w:pPr>
          </w:p>
        </w:tc>
        <w:tc>
          <w:tcPr>
            <w:tcW w:w="10640" w:type="dxa"/>
            <w:vAlign w:val="bottom"/>
            <w:gridSpan w:val="3"/>
          </w:tcPr>
          <w:p>
            <w:pPr>
              <w:ind w:left="502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ind w:left="5500" w:right="1560" w:hanging="5496"/>
        <w:spacing w:after="0" w:line="262" w:lineRule="auto"/>
        <w:tabs>
          <w:tab w:leader="none" w:pos="5480" w:val="left"/>
        </w:tabs>
        <w:rPr>
          <w:sz w:val="20"/>
          <w:szCs w:val="20"/>
          <w:color w:val="auto"/>
        </w:rPr>
      </w:pPr>
      <w:r>
        <w:rPr>
          <w:rFonts w:ascii="Arial" w:cs="Arial" w:eastAsia="Arial" w:hAnsi="Arial"/>
          <w:sz w:val="18"/>
          <w:szCs w:val="18"/>
          <w:color w:val="auto"/>
        </w:rPr>
        <w:t>Date: November 14, 2005</w:t>
      </w:r>
      <w:r>
        <w:rPr>
          <w:sz w:val="20"/>
          <w:szCs w:val="20"/>
          <w:color w:val="auto"/>
        </w:rPr>
        <w:tab/>
      </w:r>
      <w:r>
        <w:rPr>
          <w:rFonts w:ascii="Arial" w:cs="Arial" w:eastAsia="Arial" w:hAnsi="Arial"/>
          <w:sz w:val="18"/>
          <w:szCs w:val="18"/>
          <w:color w:val="auto"/>
        </w:rPr>
        <w:t>/s/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r>
        <w:rPr>
          <w:rFonts w:ascii="Arial" w:cs="Arial" w:eastAsia="Arial" w:hAnsi="Arial"/>
          <w:sz w:val="18"/>
          <w:szCs w:val="18"/>
          <w:color w:val="auto"/>
        </w:rPr>
        <w:t xml:space="preser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67945</wp:posOffset>
            </wp:positionV>
            <wp:extent cx="34734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7"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 Acting Chief Executive Officer</w:t>
      </w:r>
    </w:p>
    <w:p>
      <w:pPr>
        <w:jc w:val="center"/>
        <w:ind w:left="5940"/>
        <w:spacing w:after="0" w:line="221" w:lineRule="auto"/>
        <w:rPr>
          <w:sz w:val="20"/>
          <w:szCs w:val="20"/>
          <w:color w:val="auto"/>
        </w:rPr>
      </w:pPr>
      <w:r>
        <w:rPr>
          <w:rFonts w:ascii="Arial" w:cs="Arial" w:eastAsia="Arial" w:hAnsi="Arial"/>
          <w:sz w:val="14"/>
          <w:szCs w:val="14"/>
          <w:b w:val="1"/>
          <w:bCs w:val="1"/>
          <w:color w:val="auto"/>
        </w:rPr>
        <w:t>and Chief Financial Officer (on behalf of the registrant and</w:t>
      </w:r>
    </w:p>
    <w:p>
      <w:pPr>
        <w:jc w:val="center"/>
        <w:ind w:left="5940"/>
        <w:spacing w:after="0" w:line="221" w:lineRule="auto"/>
        <w:rPr>
          <w:sz w:val="20"/>
          <w:szCs w:val="20"/>
          <w:color w:val="auto"/>
        </w:rPr>
      </w:pPr>
      <w:r>
        <w:rPr>
          <w:rFonts w:ascii="Arial" w:cs="Arial" w:eastAsia="Arial" w:hAnsi="Arial"/>
          <w:sz w:val="14"/>
          <w:szCs w:val="14"/>
          <w:b w:val="1"/>
          <w:bCs w:val="1"/>
          <w:color w:val="auto"/>
        </w:rPr>
        <w:t>as the registrant’s Principal Executive Officer and</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80"/>
          </w:cols>
          <w:pgMar w:left="240" w:top="459" w:right="8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20" w:type="dxa"/>
            <w:vAlign w:val="bottom"/>
          </w:tcPr>
          <w:p>
            <w:pPr>
              <w:ind w:left="2620"/>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64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Severance Agreement and Release dated September 30, 2005 between MediciNova, Inc. and Brian Anderson.</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8"/>
              </w:rPr>
              <w:t>Certification of Chief Executive Officer and Chief Financial Officer pursuant to Section 302 of the Sarbanes-Oxley Act of 2002.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(Section 906 of the Sarbanes-Oxley</w:t>
            </w:r>
          </w:p>
        </w:tc>
      </w:tr>
      <w:tr>
        <w:trPr>
          <w:trHeight w:val="222"/>
        </w:trPr>
        <w:tc>
          <w:tcPr>
            <w:tcW w:w="60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Act of 2002).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5"/>
              </w:rPr>
              <w:t>Certification of Principal Accounting Officer pursuant to 18 U.S.C. Section 1350 (Section 906 of the Sarbanes-Oxley Act of 2002).</w:t>
            </w:r>
          </w:p>
        </w:tc>
      </w:tr>
      <w:tr>
        <w:trPr>
          <w:trHeight w:val="365"/>
        </w:trPr>
        <w:tc>
          <w:tcPr>
            <w:tcW w:w="600" w:type="dxa"/>
            <w:vAlign w:val="bottom"/>
          </w:tcPr>
          <w:p>
            <w:pPr>
              <w:spacing w:after="0"/>
              <w:rPr>
                <w:sz w:val="24"/>
                <w:szCs w:val="24"/>
                <w:color w:val="auto"/>
              </w:rPr>
            </w:pPr>
          </w:p>
        </w:tc>
        <w:tc>
          <w:tcPr>
            <w:tcW w:w="10640" w:type="dxa"/>
            <w:vAlign w:val="bottom"/>
            <w:gridSpan w:val="3"/>
          </w:tcPr>
          <w:p>
            <w:pPr>
              <w:ind w:left="502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240"/>
          </w:cols>
          <w:pgMar w:left="240" w:top="459" w:right="41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10.1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 AND RELEASE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Severance Agreement and Release (“Agreement”), dated as of September 30, 2005, is entered into between Brian Anderson (“Employee”)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MediciNova, Inc. a Delaware corporation (“Employer”), with regard to the following:</w:t>
      </w:r>
    </w:p>
    <w:p>
      <w:pPr>
        <w:spacing w:after="0" w:line="7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Employee’s employment with Employer is terminated effective September 30, 2005.</w:t>
      </w:r>
    </w:p>
    <w:p>
      <w:pPr>
        <w:spacing w:after="0" w:line="157" w:lineRule="exact"/>
        <w:rPr>
          <w:rFonts w:ascii="Arial" w:cs="Arial" w:eastAsia="Arial" w:hAnsi="Arial"/>
          <w:sz w:val="18"/>
          <w:szCs w:val="18"/>
          <w:color w:val="auto"/>
        </w:rPr>
      </w:pPr>
    </w:p>
    <w:p>
      <w:pPr>
        <w:ind w:firstLine="464"/>
        <w:spacing w:after="0" w:line="306"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Severance Payments</w:t>
      </w:r>
      <w:r>
        <w:rPr>
          <w:rFonts w:ascii="Arial" w:cs="Arial" w:eastAsia="Arial" w:hAnsi="Arial"/>
          <w:sz w:val="16"/>
          <w:szCs w:val="16"/>
          <w:color w:val="auto"/>
        </w:rPr>
        <w:t>. In consideration of the covenants and promises contained in this Agreement, and as full and final compensation to Employee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as an employee, Employee shall receive from Employer, with appropriate deductions and withholdings, a severance payment in the amount of $194,062.50, payable on the eighth day after Employee executes this Agreement (the “Effective Date”), or as soon thereafter as is practicable.</w:t>
      </w:r>
    </w:p>
    <w:p>
      <w:pPr>
        <w:spacing w:after="0" w:line="93" w:lineRule="exact"/>
        <w:rPr>
          <w:rFonts w:ascii="Arial" w:cs="Arial" w:eastAsia="Arial" w:hAnsi="Arial"/>
          <w:sz w:val="16"/>
          <w:szCs w:val="16"/>
          <w:color w:val="auto"/>
        </w:rPr>
      </w:pPr>
    </w:p>
    <w:p>
      <w:pPr>
        <w:ind w:right="100" w:firstLine="464"/>
        <w:spacing w:after="0" w:line="288"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Release</w:t>
      </w:r>
      <w:r>
        <w:rPr>
          <w:rFonts w:ascii="Arial" w:cs="Arial" w:eastAsia="Arial" w:hAnsi="Arial"/>
          <w:sz w:val="16"/>
          <w:szCs w:val="16"/>
          <w:color w:val="auto"/>
        </w:rPr>
        <w:t>. In consideration of the above described payments, Employee does hereby unconditionally, irrevocably and absolutely release and discharge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Employer, and all related holding, parent or subsidiary entities, and their affiliates, directors, officers, employees, agents, attorneys, stockholders, insurers, successors and/or assigns, from any and all liability, claims, demands, causes of action, or suits of any type, whether in law and/or in equity, known or unknown, related directly or indirectly or in any way connected with any transaction, affairs or occurrences between them to date, including, but not limited to, Employee’s employment with Employer and the termination of said employment. This release shall include but not be limited to a release of claims arising under any state or federal statute or common law regulating or affecting employment, including Title VII of the Civil Rights Act of 1964, the Age Discrimination in Employment Act, the Americans with Disabilities Act, the Equal Pay Act, the Fair Labor Standards Act, the California Labor Code, the California Fair Employment and Housing Act, and any other statutory or common law provision relating to or affecting Employee’s employment by Employer, including any federal or state statutory provision covering any age discrimination in any form by Employer against Employee, except any claim for worker’s compensation.</w:t>
      </w:r>
    </w:p>
    <w:p>
      <w:pPr>
        <w:spacing w:after="0" w:line="106" w:lineRule="exact"/>
        <w:rPr>
          <w:rFonts w:ascii="Arial" w:cs="Arial" w:eastAsia="Arial" w:hAnsi="Arial"/>
          <w:sz w:val="16"/>
          <w:szCs w:val="16"/>
          <w:color w:val="auto"/>
        </w:rPr>
      </w:pPr>
    </w:p>
    <w:p>
      <w:pPr>
        <w:ind w:firstLine="464"/>
        <w:spacing w:after="0" w:line="290"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Claims</w:t>
      </w:r>
      <w:r>
        <w:rPr>
          <w:rFonts w:ascii="Arial" w:cs="Arial" w:eastAsia="Arial" w:hAnsi="Arial"/>
          <w:sz w:val="16"/>
          <w:szCs w:val="16"/>
          <w:color w:val="auto"/>
        </w:rPr>
        <w:t>. In further consideration of the above described payments and benefits, Employee irrevocably and absolutely agrees that he will not prosecute nor</w:t>
      </w:r>
      <w:r>
        <w:rPr>
          <w:rFonts w:ascii="Arial" w:cs="Arial" w:eastAsia="Arial" w:hAnsi="Arial"/>
          <w:sz w:val="16"/>
          <w:szCs w:val="16"/>
          <w:i w:val="1"/>
          <w:iCs w:val="1"/>
          <w:color w:val="auto"/>
        </w:rPr>
        <w:t xml:space="preserve"> </w:t>
      </w:r>
      <w:r>
        <w:rPr>
          <w:rFonts w:ascii="Arial" w:cs="Arial" w:eastAsia="Arial" w:hAnsi="Arial"/>
          <w:sz w:val="16"/>
          <w:szCs w:val="16"/>
          <w:color w:val="auto"/>
        </w:rPr>
        <w:t>allow to be prosecuted on his behalf in any administrative agency, whether federal or state, or in any court, whether federal or state, any claim or demand of any type related to the matter release above. It is the intention of the parties that, with the execution of this Agreement, Employer and all related entities, and their affiliates, officers, directors, employees, agents, attorneys, stockholders, insurers, successors and/or assigns will be absolutely, unconditionally and forever discharged of and from all obligations to or on behalf of Employee related in any way to the matter discharged herein. Employee represents that he has not filed any complaint, charges or lawsuits against Employer and all related holding, parent and subsidiary corporations (including their affiliates, officers, directors, and employees) with any governmental agency or any court.</w:t>
      </w:r>
    </w:p>
    <w:p>
      <w:pPr>
        <w:spacing w:after="0" w:line="104" w:lineRule="exact"/>
        <w:rPr>
          <w:rFonts w:ascii="Arial" w:cs="Arial" w:eastAsia="Arial" w:hAnsi="Arial"/>
          <w:sz w:val="16"/>
          <w:szCs w:val="16"/>
          <w:color w:val="auto"/>
        </w:rPr>
      </w:pPr>
    </w:p>
    <w:p>
      <w:pPr>
        <w:ind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Unknown Claims</w:t>
      </w:r>
      <w:r>
        <w:rPr>
          <w:rFonts w:ascii="Arial" w:cs="Arial" w:eastAsia="Arial" w:hAnsi="Arial"/>
          <w:sz w:val="18"/>
          <w:szCs w:val="18"/>
          <w:color w:val="auto"/>
        </w:rPr>
        <w:t>. Employee understands and agrees that this release extends to all claims of every nature, known or unknown, suspected or unsuspected,</w:t>
      </w:r>
      <w:r>
        <w:rPr>
          <w:rFonts w:ascii="Arial" w:cs="Arial" w:eastAsia="Arial" w:hAnsi="Arial"/>
          <w:sz w:val="18"/>
          <w:szCs w:val="18"/>
          <w:i w:val="1"/>
          <w:iCs w:val="1"/>
          <w:color w:val="auto"/>
        </w:rPr>
        <w:t xml:space="preserve"> </w:t>
      </w:r>
      <w:r>
        <w:rPr>
          <w:rFonts w:ascii="Arial" w:cs="Arial" w:eastAsia="Arial" w:hAnsi="Arial"/>
          <w:sz w:val="18"/>
          <w:szCs w:val="18"/>
          <w:color w:val="auto"/>
        </w:rPr>
        <w:t>past or present, and that any and all rights granted to Employee under Section 1542 of the California Civil Code or any analogous federal law or regulation are hereby expressly waived. Said Section 1542 of the California Civil Code reads as follows:</w:t>
      </w:r>
    </w:p>
    <w:p>
      <w:pPr>
        <w:spacing w:after="0" w:line="46"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“A general release does not extend to claims which the creditor does not know of or suspect to exist in his or her favor at the time of executing the release, which if known by him or her must have materially affected his or her settlement with the debtor.”</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Notwithstanding any provisions of this Agreement to the contrary, Employee does not waive any right or release any claim against Employer which claim or right arises from Employer failing to perform its undertakings as set forth in this Agreement and/or may arise after the date Employee executes this release.</w:t>
      </w:r>
    </w:p>
    <w:p>
      <w:pPr>
        <w:spacing w:after="0" w:line="72" w:lineRule="exact"/>
        <w:rPr>
          <w:sz w:val="20"/>
          <w:szCs w:val="20"/>
          <w:color w:val="auto"/>
        </w:rPr>
      </w:pPr>
    </w:p>
    <w:p>
      <w:pPr>
        <w:ind w:right="54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Effect on Previous or Existing Agreements</w:t>
      </w:r>
      <w:r>
        <w:rPr>
          <w:rFonts w:ascii="Arial" w:cs="Arial" w:eastAsia="Arial" w:hAnsi="Arial"/>
          <w:sz w:val="18"/>
          <w:szCs w:val="18"/>
          <w:color w:val="auto"/>
        </w:rPr>
        <w:t>. This Agreement is intended to resolve any and all issues between Employer and Employee,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any and all claims for wages, severance pay,</w:t>
      </w:r>
    </w:p>
    <w:p>
      <w:pPr>
        <w:sectPr>
          <w:pgSz w:w="11900" w:h="16838" w:orient="portrait"/>
          <w:cols w:equalWidth="0" w:num="1">
            <w:col w:w="11420"/>
          </w:cols>
          <w:pgMar w:left="240" w:top="125" w:right="239" w:bottom="1440" w:gutter="0" w:footer="0" w:header="0"/>
        </w:sectPr>
      </w:pPr>
    </w:p>
    <w:bookmarkStart w:id="36" w:name="page37"/>
    <w:bookmarkEnd w:id="36"/>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benefits, or other aspects of the employment relationship between Employer and Employee. This Agreement shall supersede and extinguish all prior employment agreements, express or implied, verbal or written, between Employer and Employee; provided, however, that this Agreement shall have no effect on the Proprietary Information and Invention Agreement previously signed by Employee, nor shall this Agreement have any effect upon the MediciNova, Inc. 2000 General Stock Incentive Plan or on Employee’s rights (if any) under the Plan. This Agreement shall also not in any way supersede or affect any obligation of Employee, contractual or otherwise, with respect to the disclosure, use of protection of any proprietary or confidential information of Employer, including any trade secrets, or with respect to the disclosure and assignment of inventions made or conceived by Employee during his employment. All previous written agreements and obligations imposed by any contract relating to the intellectual property of Employer or its subsidiary or affiliated entities shall remain in full force and effect and survive the execution of this Agreement.</w:t>
      </w:r>
    </w:p>
    <w:p>
      <w:pPr>
        <w:spacing w:after="0" w:line="105" w:lineRule="exact"/>
        <w:rPr>
          <w:sz w:val="20"/>
          <w:szCs w:val="20"/>
          <w:color w:val="auto"/>
        </w:rPr>
      </w:pPr>
    </w:p>
    <w:p>
      <w:pPr>
        <w:jc w:val="both"/>
        <w:ind w:firstLine="464"/>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Employee’s rights with respect to any vested and/or unvested stock options of Employer will be governed by the existing MediciNova,</w:t>
      </w:r>
      <w:r>
        <w:rPr>
          <w:rFonts w:ascii="Arial" w:cs="Arial" w:eastAsia="Arial" w:hAnsi="Arial"/>
          <w:sz w:val="18"/>
          <w:szCs w:val="18"/>
          <w:i w:val="1"/>
          <w:iCs w:val="1"/>
          <w:color w:val="auto"/>
        </w:rPr>
        <w:t xml:space="preserve"> </w:t>
      </w:r>
      <w:r>
        <w:rPr>
          <w:rFonts w:ascii="Arial" w:cs="Arial" w:eastAsia="Arial" w:hAnsi="Arial"/>
          <w:sz w:val="18"/>
          <w:szCs w:val="18"/>
          <w:color w:val="auto"/>
        </w:rPr>
        <w:t>Inc. 2000 General Stock Incentive Plan Incentive Stock Option Agreements dated April 24, 2004 (“Option Agreement”). In consideration of the covenants and promises contained in this Agreement, Employee shall, on the Effective Date, be accelerated as to vesting of options representing 37,500 shares, representing nine month’s vesting of the shares subject to options granted under the Option Agreement.</w:t>
      </w:r>
    </w:p>
    <w:p>
      <w:pPr>
        <w:spacing w:after="0" w:line="129" w:lineRule="exact"/>
        <w:rPr>
          <w:rFonts w:ascii="Arial" w:cs="Arial" w:eastAsia="Arial" w:hAnsi="Arial"/>
          <w:sz w:val="18"/>
          <w:szCs w:val="18"/>
          <w:color w:val="auto"/>
        </w:rPr>
      </w:pPr>
    </w:p>
    <w:p>
      <w:pPr>
        <w:ind w:right="50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COBRA</w:t>
      </w:r>
      <w:r>
        <w:rPr>
          <w:rFonts w:ascii="Arial" w:cs="Arial" w:eastAsia="Arial" w:hAnsi="Arial"/>
          <w:sz w:val="18"/>
          <w:szCs w:val="18"/>
          <w:color w:val="auto"/>
        </w:rPr>
        <w:t>. In further consideration of the covenants and promises contained in this Agreement, Employer will reimburse Employee for his COBRA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coverage during the period of nine months following the effective date of this agreement.</w:t>
      </w:r>
    </w:p>
    <w:p>
      <w:pPr>
        <w:spacing w:after="0" w:line="118" w:lineRule="exact"/>
        <w:rPr>
          <w:rFonts w:ascii="Arial" w:cs="Arial" w:eastAsia="Arial" w:hAnsi="Arial"/>
          <w:sz w:val="18"/>
          <w:szCs w:val="18"/>
          <w:color w:val="auto"/>
        </w:rPr>
      </w:pPr>
    </w:p>
    <w:p>
      <w:pPr>
        <w:ind w:right="300" w:firstLine="464"/>
        <w:spacing w:after="0" w:line="259"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Return of Company Property</w:t>
      </w:r>
      <w:r>
        <w:rPr>
          <w:rFonts w:ascii="Arial" w:cs="Arial" w:eastAsia="Arial" w:hAnsi="Arial"/>
          <w:sz w:val="18"/>
          <w:szCs w:val="18"/>
          <w:color w:val="auto"/>
        </w:rPr>
        <w:t>. Employee shall immediately return any company property in his possession, including without limitation all company-owned computers, cellular telephones, the company vehicle, and any other company property in his possession. All such property shall be returned in good working condition and order.</w:t>
      </w:r>
    </w:p>
    <w:p>
      <w:pPr>
        <w:spacing w:after="0" w:line="126" w:lineRule="exact"/>
        <w:rPr>
          <w:rFonts w:ascii="Arial" w:cs="Arial" w:eastAsia="Arial" w:hAnsi="Arial"/>
          <w:sz w:val="18"/>
          <w:szCs w:val="18"/>
          <w:color w:val="auto"/>
        </w:rPr>
      </w:pPr>
    </w:p>
    <w:p>
      <w:pPr>
        <w:ind w:right="420" w:firstLine="464"/>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Employee and Employer agree not to issue any statements or knowingly make any comments, whether privately or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 fact or by implication tend to disparage Employee or Employer.</w:t>
      </w:r>
    </w:p>
    <w:p>
      <w:pPr>
        <w:spacing w:after="0" w:line="118" w:lineRule="exact"/>
        <w:rPr>
          <w:rFonts w:ascii="Arial" w:cs="Arial" w:eastAsia="Arial" w:hAnsi="Arial"/>
          <w:sz w:val="18"/>
          <w:szCs w:val="18"/>
          <w:color w:val="auto"/>
        </w:rPr>
      </w:pPr>
    </w:p>
    <w:p>
      <w:pPr>
        <w:jc w:val="both"/>
        <w:ind w:right="320" w:firstLine="464"/>
        <w:spacing w:after="0" w:line="298" w:lineRule="auto"/>
        <w:tabs>
          <w:tab w:leader="none" w:pos="71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Employee Cooperation</w:t>
      </w:r>
      <w:r>
        <w:rPr>
          <w:rFonts w:ascii="Arial" w:cs="Arial" w:eastAsia="Arial" w:hAnsi="Arial"/>
          <w:sz w:val="16"/>
          <w:szCs w:val="16"/>
          <w:color w:val="auto"/>
        </w:rPr>
        <w:t>. Notwithstanding the fact that Employee shall separate from his position with Employer, Employee shall cooperate on an as</w:t>
      </w:r>
      <w:r>
        <w:rPr>
          <w:rFonts w:ascii="Arial" w:cs="Arial" w:eastAsia="Arial" w:hAnsi="Arial"/>
          <w:sz w:val="16"/>
          <w:szCs w:val="16"/>
          <w:i w:val="1"/>
          <w:iCs w:val="1"/>
          <w:color w:val="auto"/>
        </w:rPr>
        <w:t xml:space="preserve"> </w:t>
      </w:r>
      <w:r>
        <w:rPr>
          <w:rFonts w:ascii="Arial" w:cs="Arial" w:eastAsia="Arial" w:hAnsi="Arial"/>
          <w:sz w:val="16"/>
          <w:szCs w:val="16"/>
          <w:color w:val="auto"/>
        </w:rPr>
        <w:t>needed and reasonable basis with the transition and needs of Employee prior to the date of termination outlined in paragraph 1 of this Agreement and without further compensation. This will include, but is not limited to, use of Employee’s best efforts to transition all active items to other employees, or consultants or others designated by Employer at the Employer’s direction.</w:t>
      </w:r>
    </w:p>
    <w:p>
      <w:pPr>
        <w:spacing w:after="0" w:line="99" w:lineRule="exact"/>
        <w:rPr>
          <w:rFonts w:ascii="Arial" w:cs="Arial" w:eastAsia="Arial" w:hAnsi="Arial"/>
          <w:sz w:val="16"/>
          <w:szCs w:val="16"/>
          <w:color w:val="auto"/>
        </w:rPr>
      </w:pPr>
    </w:p>
    <w:p>
      <w:pPr>
        <w:ind w:firstLine="464"/>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Recruiting</w:t>
      </w:r>
      <w:r>
        <w:rPr>
          <w:rFonts w:ascii="Arial" w:cs="Arial" w:eastAsia="Arial" w:hAnsi="Arial"/>
          <w:sz w:val="18"/>
          <w:szCs w:val="18"/>
          <w:color w:val="auto"/>
        </w:rPr>
        <w:t>. For a one-year period after the execution of this Agreement by Employee, Employee shall not directly or indirectly solicit or seek to hire</w:t>
      </w:r>
      <w:r>
        <w:rPr>
          <w:rFonts w:ascii="Arial" w:cs="Arial" w:eastAsia="Arial" w:hAnsi="Arial"/>
          <w:sz w:val="18"/>
          <w:szCs w:val="18"/>
          <w:i w:val="1"/>
          <w:iCs w:val="1"/>
          <w:color w:val="auto"/>
        </w:rPr>
        <w:t xml:space="preserve"> </w:t>
      </w:r>
      <w:r>
        <w:rPr>
          <w:rFonts w:ascii="Arial" w:cs="Arial" w:eastAsia="Arial" w:hAnsi="Arial"/>
          <w:sz w:val="18"/>
          <w:szCs w:val="18"/>
          <w:color w:val="auto"/>
        </w:rPr>
        <w:t>any of Employer’s employees with whom he has had contact prior to the Effective Date.</w:t>
      </w:r>
    </w:p>
    <w:p>
      <w:pPr>
        <w:spacing w:after="0" w:line="118" w:lineRule="exact"/>
        <w:rPr>
          <w:rFonts w:ascii="Arial" w:cs="Arial" w:eastAsia="Arial" w:hAnsi="Arial"/>
          <w:sz w:val="18"/>
          <w:szCs w:val="18"/>
          <w:color w:val="auto"/>
        </w:rPr>
      </w:pPr>
    </w:p>
    <w:p>
      <w:pPr>
        <w:ind w:firstLine="464"/>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Binding Effect</w:t>
      </w:r>
      <w:r>
        <w:rPr>
          <w:rFonts w:ascii="Arial" w:cs="Arial" w:eastAsia="Arial" w:hAnsi="Arial"/>
          <w:sz w:val="18"/>
          <w:szCs w:val="18"/>
          <w:color w:val="auto"/>
        </w:rPr>
        <w:t>. Employee further declares and represents that no promise, inducement or agreement not expressed herein has been made to him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contains the entire agreement between the parties relating to the subject matter hereof.</w:t>
      </w:r>
    </w:p>
    <w:p>
      <w:pPr>
        <w:spacing w:after="0" w:line="118" w:lineRule="exact"/>
        <w:rPr>
          <w:rFonts w:ascii="Arial" w:cs="Arial" w:eastAsia="Arial" w:hAnsi="Arial"/>
          <w:sz w:val="18"/>
          <w:szCs w:val="18"/>
          <w:color w:val="auto"/>
        </w:rPr>
      </w:pPr>
    </w:p>
    <w:p>
      <w:pPr>
        <w:ind w:right="660" w:firstLine="464"/>
        <w:spacing w:after="0" w:line="332"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Employer and Employee understand and expressly agree that this Agreement shall bind and benefit the heirs, partners, successors,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directors, stockholders, officers, attorneys, affiliates, predecessors, representatives and assigns of Employer and Employee.</w:t>
      </w:r>
    </w:p>
    <w:p>
      <w:pPr>
        <w:spacing w:after="0" w:line="71" w:lineRule="exact"/>
        <w:rPr>
          <w:rFonts w:ascii="Arial" w:cs="Arial" w:eastAsia="Arial" w:hAnsi="Arial"/>
          <w:sz w:val="16"/>
          <w:szCs w:val="16"/>
          <w:color w:val="auto"/>
        </w:rPr>
      </w:pPr>
    </w:p>
    <w:p>
      <w:pPr>
        <w:ind w:firstLine="464"/>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Publicity</w:t>
      </w:r>
      <w:r>
        <w:rPr>
          <w:rFonts w:ascii="Arial" w:cs="Arial" w:eastAsia="Arial" w:hAnsi="Arial"/>
          <w:sz w:val="18"/>
          <w:szCs w:val="18"/>
          <w:color w:val="auto"/>
        </w:rPr>
        <w:t>. The parties hereto agree not to divulge or publicize the existence of this Agreement or the terms hereof except as may be necessary to enforce</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or as may be required by law.</w:t>
      </w:r>
    </w:p>
    <w:p>
      <w:pPr>
        <w:spacing w:after="0" w:line="118"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validity, interpretation, and performance of this Agreement shall be construed and interpreted according to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This Agreement shall not be interpreted for or against</w:t>
      </w:r>
    </w:p>
    <w:p>
      <w:pPr>
        <w:sectPr>
          <w:pgSz w:w="11900" w:h="16838" w:orient="portrait"/>
          <w:cols w:equalWidth="0" w:num="1">
            <w:col w:w="11400"/>
          </w:cols>
          <w:pgMar w:left="240" w:top="280" w:right="259" w:bottom="1440" w:gutter="0" w:footer="0" w:header="0"/>
        </w:sectPr>
      </w:pPr>
    </w:p>
    <w:bookmarkStart w:id="37" w:name="page38"/>
    <w:bookmarkEnd w:id="37"/>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party hereto on the ground that such party drafted or caused this Agreement to be drafted. If any provision of this Agreement, or part thereof, is held invalid, void or voidable as against the public policy or otherwise, the invalidity shall not affect other provisions, or parts thereof, which may be given effect without the invalid provision or part. To this extent, the provisions, and parts thereof, of this Agreement are declared to be severable.</w:t>
      </w:r>
    </w:p>
    <w:p>
      <w:pPr>
        <w:spacing w:after="0" w:line="93"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No Admissions</w:t>
      </w:r>
      <w:r>
        <w:rPr>
          <w:rFonts w:ascii="Arial" w:cs="Arial" w:eastAsia="Arial" w:hAnsi="Arial"/>
          <w:sz w:val="16"/>
          <w:szCs w:val="16"/>
          <w:color w:val="auto"/>
        </w:rPr>
        <w:t>. It is agreed that this Agreement is not an admission of any liability or fault whatsoever by either Employer or Employee.</w:t>
      </w:r>
    </w:p>
    <w:p>
      <w:pPr>
        <w:spacing w:after="0" w:line="180" w:lineRule="exact"/>
        <w:rPr>
          <w:rFonts w:ascii="Arial" w:cs="Arial" w:eastAsia="Arial" w:hAnsi="Arial"/>
          <w:sz w:val="16"/>
          <w:szCs w:val="16"/>
          <w:color w:val="auto"/>
        </w:rPr>
      </w:pPr>
    </w:p>
    <w:p>
      <w:pPr>
        <w:jc w:val="both"/>
        <w:ind w:right="80" w:firstLine="464"/>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Execution and Revocation Periods</w:t>
      </w:r>
      <w:r>
        <w:rPr>
          <w:rFonts w:ascii="Arial" w:cs="Arial" w:eastAsia="Arial" w:hAnsi="Arial"/>
          <w:sz w:val="18"/>
          <w:szCs w:val="18"/>
          <w:color w:val="auto"/>
        </w:rPr>
        <w:t>. Employee has twenty-one (21) days after actual receipt of this Agreement in which to consider and execute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Employee has a period of seven (7) days following the execution of this Agreement in which to revoke this Agreement. This Agreement will not become effective or enforceable until the revocation period has expired.</w:t>
      </w:r>
    </w:p>
    <w:p>
      <w:pPr>
        <w:spacing w:after="0" w:line="126" w:lineRule="exact"/>
        <w:rPr>
          <w:rFonts w:ascii="Arial" w:cs="Arial" w:eastAsia="Arial" w:hAnsi="Arial"/>
          <w:sz w:val="18"/>
          <w:szCs w:val="18"/>
          <w:color w:val="auto"/>
        </w:rPr>
      </w:pPr>
    </w:p>
    <w:p>
      <w:pPr>
        <w:ind w:right="260" w:firstLine="464"/>
        <w:spacing w:after="0" w:line="33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Counsel</w:t>
      </w:r>
      <w:r>
        <w:rPr>
          <w:rFonts w:ascii="Arial" w:cs="Arial" w:eastAsia="Arial" w:hAnsi="Arial"/>
          <w:sz w:val="16"/>
          <w:szCs w:val="16"/>
          <w:color w:val="auto"/>
        </w:rPr>
        <w:t>. Employee acknowledges that he fully understands his right to discuss this Agreement with independent counsel of his choice, that he is</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encouraged to do so, that he has carefully read and fully understands this entire Agreement and that he is voluntarily entering into this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have executed this Agreement on this thereunto duly authorize as of the dates noted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5960" w:type="dxa"/>
            <w:vAlign w:val="bottom"/>
            <w:gridSpan w:val="2"/>
          </w:tcPr>
          <w:p>
            <w:pPr>
              <w:ind w:left="760"/>
              <w:spacing w:after="0"/>
              <w:rPr>
                <w:sz w:val="20"/>
                <w:szCs w:val="20"/>
                <w:color w:val="auto"/>
              </w:rPr>
            </w:pPr>
            <w:r>
              <w:rPr>
                <w:rFonts w:ascii="Arial" w:cs="Arial" w:eastAsia="Arial" w:hAnsi="Arial"/>
                <w:sz w:val="18"/>
                <w:szCs w:val="18"/>
                <w:color w:val="auto"/>
              </w:rPr>
              <w:t>MediciNova, Inc.</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400" w:type="dxa"/>
            <w:vAlign w:val="bottom"/>
          </w:tcPr>
          <w:p>
            <w:pPr>
              <w:ind w:left="13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A</w:t>
            </w:r>
            <w:r>
              <w:rPr>
                <w:rFonts w:ascii="Arial" w:cs="Arial" w:eastAsia="Arial" w:hAnsi="Arial"/>
                <w:sz w:val="14"/>
                <w:szCs w:val="14"/>
                <w:color w:val="auto"/>
              </w:rPr>
              <w:t>NDERSON</w:t>
            </w:r>
          </w:p>
        </w:tc>
        <w:tc>
          <w:tcPr>
            <w:tcW w:w="1540" w:type="dxa"/>
            <w:vAlign w:val="bottom"/>
          </w:tcPr>
          <w:p>
            <w:pPr>
              <w:spacing w:after="0"/>
              <w:rPr>
                <w:sz w:val="24"/>
                <w:szCs w:val="24"/>
                <w:color w:val="auto"/>
              </w:rPr>
            </w:pPr>
          </w:p>
        </w:tc>
        <w:tc>
          <w:tcPr>
            <w:tcW w:w="4420" w:type="dxa"/>
            <w:vAlign w:val="bottom"/>
          </w:tcPr>
          <w:p>
            <w:pPr>
              <w:ind w:left="1520"/>
              <w:spacing w:after="0"/>
              <w:rPr>
                <w:sz w:val="20"/>
                <w:szCs w:val="20"/>
                <w:color w:val="auto"/>
              </w:rPr>
            </w:pPr>
            <w:r>
              <w:rPr>
                <w:rFonts w:ascii="Arial" w:cs="Arial" w:eastAsia="Arial" w:hAnsi="Arial"/>
                <w:sz w:val="18"/>
                <w:szCs w:val="18"/>
                <w:color w:val="auto"/>
              </w:rPr>
              <w:t>/s/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540" w:type="dxa"/>
            <w:vAlign w:val="bottom"/>
            <w:vMerge w:val="restart"/>
          </w:tcPr>
          <w:p>
            <w:pPr>
              <w:ind w:left="7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4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0" w:type="dxa"/>
            <w:vAlign w:val="bottom"/>
          </w:tcPr>
          <w:p>
            <w:pPr>
              <w:ind w:left="1860"/>
              <w:spacing w:after="0" w:line="149" w:lineRule="exact"/>
              <w:rPr>
                <w:sz w:val="20"/>
                <w:szCs w:val="20"/>
                <w:color w:val="auto"/>
              </w:rPr>
            </w:pPr>
            <w:r>
              <w:rPr>
                <w:rFonts w:ascii="Arial" w:cs="Arial" w:eastAsia="Arial" w:hAnsi="Arial"/>
                <w:sz w:val="14"/>
                <w:szCs w:val="14"/>
                <w:b w:val="1"/>
                <w:bCs w:val="1"/>
                <w:color w:val="auto"/>
              </w:rPr>
              <w:t>Brian Anderson</w:t>
            </w:r>
          </w:p>
        </w:tc>
        <w:tc>
          <w:tcPr>
            <w:tcW w:w="154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Name:</w:t>
            </w:r>
          </w:p>
        </w:tc>
        <w:tc>
          <w:tcPr>
            <w:tcW w:w="442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2"/>
              </w:rPr>
              <w:t>Yuichi Iwaki</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40" w:type="dxa"/>
            <w:vAlign w:val="bottom"/>
          </w:tcPr>
          <w:p>
            <w:pPr>
              <w:ind w:left="760"/>
              <w:spacing w:after="0" w:line="153" w:lineRule="exact"/>
              <w:rPr>
                <w:sz w:val="20"/>
                <w:szCs w:val="20"/>
                <w:color w:val="auto"/>
              </w:rPr>
            </w:pPr>
            <w:r>
              <w:rPr>
                <w:rFonts w:ascii="Arial" w:cs="Arial" w:eastAsia="Arial" w:hAnsi="Arial"/>
                <w:sz w:val="14"/>
                <w:szCs w:val="14"/>
                <w:b w:val="1"/>
                <w:bCs w:val="1"/>
                <w:color w:val="auto"/>
              </w:rPr>
              <w:t>Title:</w:t>
            </w:r>
          </w:p>
        </w:tc>
        <w:tc>
          <w:tcPr>
            <w:tcW w:w="4420" w:type="dxa"/>
            <w:vAlign w:val="bottom"/>
          </w:tcPr>
          <w:p>
            <w:pPr>
              <w:jc w:val="center"/>
              <w:ind w:left="202"/>
              <w:spacing w:after="0" w:line="153" w:lineRule="exact"/>
              <w:rPr>
                <w:sz w:val="20"/>
                <w:szCs w:val="20"/>
                <w:color w:val="auto"/>
              </w:rPr>
            </w:pPr>
            <w:r>
              <w:rPr>
                <w:rFonts w:ascii="Arial" w:cs="Arial" w:eastAsia="Arial" w:hAnsi="Arial"/>
                <w:sz w:val="14"/>
                <w:szCs w:val="14"/>
                <w:b w:val="1"/>
                <w:bCs w:val="1"/>
                <w:color w:val="auto"/>
                <w:w w:val="90"/>
              </w:rPr>
              <w:t>Chairman and Acting CEO</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spacing w:after="0"/>
              <w:rPr>
                <w:sz w:val="20"/>
                <w:szCs w:val="20"/>
                <w:color w:val="auto"/>
              </w:rPr>
            </w:pPr>
            <w:r>
              <w:rPr>
                <w:rFonts w:ascii="Arial" w:cs="Arial" w:eastAsia="Arial" w:hAnsi="Arial"/>
                <w:sz w:val="18"/>
                <w:szCs w:val="18"/>
                <w:color w:val="auto"/>
              </w:rPr>
              <w:t>October 3, 2005</w:t>
            </w:r>
          </w:p>
        </w:tc>
        <w:tc>
          <w:tcPr>
            <w:tcW w:w="1540" w:type="dxa"/>
            <w:vAlign w:val="bottom"/>
          </w:tcPr>
          <w:p>
            <w:pPr>
              <w:ind w:left="760"/>
              <w:spacing w:after="0"/>
              <w:rPr>
                <w:sz w:val="20"/>
                <w:szCs w:val="20"/>
                <w:color w:val="auto"/>
              </w:rPr>
            </w:pPr>
            <w:r>
              <w:rPr>
                <w:rFonts w:ascii="Arial" w:cs="Arial" w:eastAsia="Arial" w:hAnsi="Arial"/>
                <w:sz w:val="18"/>
                <w:szCs w:val="18"/>
                <w:color w:val="auto"/>
              </w:rPr>
              <w:t>Dated:</w:t>
            </w:r>
          </w:p>
        </w:tc>
        <w:tc>
          <w:tcPr>
            <w:tcW w:w="4420" w:type="dxa"/>
            <w:vAlign w:val="bottom"/>
          </w:tcPr>
          <w:p>
            <w:pPr>
              <w:spacing w:after="0"/>
              <w:rPr>
                <w:sz w:val="20"/>
                <w:szCs w:val="20"/>
                <w:color w:val="auto"/>
              </w:rPr>
            </w:pPr>
            <w:r>
              <w:rPr>
                <w:rFonts w:ascii="Arial" w:cs="Arial" w:eastAsia="Arial" w:hAnsi="Arial"/>
                <w:sz w:val="18"/>
                <w:szCs w:val="18"/>
                <w:color w:val="auto"/>
              </w:rPr>
              <w:t>October 3, 2005</w:t>
            </w:r>
          </w:p>
        </w:tc>
        <w:tc>
          <w:tcPr>
            <w:tcW w:w="0" w:type="dxa"/>
            <w:vAlign w:val="bottom"/>
          </w:tcPr>
          <w:p>
            <w:pPr>
              <w:spacing w:after="0"/>
              <w:rPr>
                <w:sz w:val="1"/>
                <w:szCs w:val="1"/>
                <w:color w:val="auto"/>
              </w:rPr>
            </w:pPr>
          </w:p>
        </w:tc>
      </w:tr>
    </w:tbl>
    <w:p>
      <w:pPr>
        <w:sectPr>
          <w:pgSz w:w="11900" w:h="16838" w:orient="portrait"/>
          <w:cols w:equalWidth="0" w:num="1">
            <w:col w:w="11160"/>
          </w:cols>
          <w:pgMar w:left="240" w:top="280" w:right="4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Acting Chief Executive Officer and Chief Financial Officer of MediciNova, Inc., certify that:</w:t>
      </w:r>
    </w:p>
    <w:p>
      <w:pPr>
        <w:spacing w:after="0" w:line="77" w:lineRule="exact"/>
        <w:rPr>
          <w:sz w:val="20"/>
          <w:szCs w:val="20"/>
          <w:color w:val="auto"/>
        </w:rPr>
      </w:pPr>
    </w:p>
    <w:p>
      <w:pPr>
        <w:ind w:left="620" w:hanging="177"/>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2005 of MediciNova, Inc. (the “Registrant”);</w:t>
      </w:r>
    </w:p>
    <w:p>
      <w:pPr>
        <w:spacing w:after="0" w:line="99" w:lineRule="exact"/>
        <w:rPr>
          <w:rFonts w:ascii="Arial" w:cs="Arial" w:eastAsia="Arial" w:hAnsi="Arial"/>
          <w:sz w:val="16"/>
          <w:szCs w:val="16"/>
          <w:color w:val="auto"/>
        </w:rPr>
      </w:pPr>
    </w:p>
    <w:p>
      <w:pPr>
        <w:ind w:right="120" w:firstLine="443"/>
        <w:spacing w:after="0" w:line="347" w:lineRule="auto"/>
        <w:tabs>
          <w:tab w:leader="none" w:pos="614"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25" w:lineRule="auto"/>
        <w:tabs>
          <w:tab w:leader="none" w:pos="6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080" w:hanging="199"/>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76" w:lineRule="exact"/>
        <w:rPr>
          <w:rFonts w:ascii="Arial" w:cs="Arial" w:eastAsia="Arial" w:hAnsi="Arial"/>
          <w:sz w:val="18"/>
          <w:szCs w:val="18"/>
          <w:color w:val="auto"/>
        </w:rPr>
      </w:pPr>
    </w:p>
    <w:p>
      <w:pPr>
        <w:ind w:left="460" w:right="420" w:firstLine="421"/>
        <w:spacing w:after="0" w:line="325"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right="220" w:firstLine="443"/>
        <w:spacing w:after="0" w:line="325" w:lineRule="auto"/>
        <w:tabs>
          <w:tab w:leader="none" w:pos="6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700" w:firstLine="421"/>
        <w:spacing w:after="0" w:line="325"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8"/>
          <w:szCs w:val="18"/>
          <w:color w:val="auto"/>
        </w:rPr>
        <w:t>Date:</w:t>
        <w:tab/>
        <w:t>November 14, 2005</w:t>
      </w:r>
    </w:p>
    <w:p>
      <w:pPr>
        <w:spacing w:after="0" w:line="225" w:lineRule="exact"/>
        <w:rPr>
          <w:sz w:val="20"/>
          <w:szCs w:val="20"/>
          <w:color w:val="auto"/>
        </w:rPr>
      </w:pPr>
    </w:p>
    <w:p>
      <w:pPr>
        <w:ind w:left="640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80010</wp:posOffset>
            </wp:positionV>
            <wp:extent cx="23583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Yuichi Iwaki, M.D., Ph.D.</w:t>
      </w:r>
    </w:p>
    <w:p>
      <w:pPr>
        <w:jc w:val="center"/>
        <w:ind w:left="7500"/>
        <w:spacing w:after="0" w:line="223" w:lineRule="auto"/>
        <w:rPr>
          <w:sz w:val="20"/>
          <w:szCs w:val="20"/>
          <w:color w:val="auto"/>
        </w:rPr>
      </w:pPr>
      <w:r>
        <w:rPr>
          <w:rFonts w:ascii="Arial" w:cs="Arial" w:eastAsia="Arial" w:hAnsi="Arial"/>
          <w:sz w:val="14"/>
          <w:szCs w:val="14"/>
          <w:b w:val="1"/>
          <w:bCs w:val="1"/>
          <w:color w:val="auto"/>
        </w:rPr>
        <w:t>Acting Chief Executive Officer and</w:t>
      </w:r>
    </w:p>
    <w:p>
      <w:pPr>
        <w:jc w:val="center"/>
        <w:ind w:left="7500"/>
        <w:spacing w:after="0"/>
        <w:rPr>
          <w:sz w:val="20"/>
          <w:szCs w:val="20"/>
          <w:color w:val="auto"/>
        </w:rPr>
      </w:pPr>
      <w:r>
        <w:rPr>
          <w:rFonts w:ascii="Arial" w:cs="Arial" w:eastAsia="Arial" w:hAnsi="Arial"/>
          <w:sz w:val="14"/>
          <w:szCs w:val="14"/>
          <w:b w:val="1"/>
          <w:bCs w:val="1"/>
          <w:color w:val="auto"/>
        </w:rPr>
        <w:t>Chief Financial Officer</w:t>
      </w:r>
    </w:p>
    <w:p>
      <w:pPr>
        <w:jc w:val="center"/>
        <w:ind w:left="7500"/>
        <w:spacing w:after="0" w:line="224" w:lineRule="auto"/>
        <w:rPr>
          <w:sz w:val="20"/>
          <w:szCs w:val="20"/>
          <w:color w:val="auto"/>
        </w:rPr>
      </w:pPr>
      <w:r>
        <w:rPr>
          <w:rFonts w:ascii="Arial" w:cs="Arial" w:eastAsia="Arial" w:hAnsi="Arial"/>
          <w:sz w:val="14"/>
          <w:szCs w:val="14"/>
          <w:b w:val="1"/>
          <w:bCs w:val="1"/>
          <w:color w:val="auto"/>
        </w:rPr>
        <w:t>(Principal Executive Officer and</w:t>
      </w:r>
    </w:p>
    <w:p>
      <w:pPr>
        <w:jc w:val="center"/>
        <w:ind w:left="75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0960"/>
          </w:cols>
          <w:pgMar w:left="70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the Principal Accounting Officer Pursuant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Accounting and Financial Reporting of MediciNova, Inc., certify that:</w:t>
      </w:r>
    </w:p>
    <w:p>
      <w:pPr>
        <w:spacing w:after="0" w:line="77" w:lineRule="exact"/>
        <w:rPr>
          <w:sz w:val="20"/>
          <w:szCs w:val="20"/>
          <w:color w:val="auto"/>
        </w:rPr>
      </w:pPr>
    </w:p>
    <w:p>
      <w:pPr>
        <w:ind w:left="620" w:hanging="177"/>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2005 of MediciNova, Inc. (the “Registrant”);</w:t>
      </w:r>
    </w:p>
    <w:p>
      <w:pPr>
        <w:spacing w:after="0" w:line="99" w:lineRule="exact"/>
        <w:rPr>
          <w:rFonts w:ascii="Arial" w:cs="Arial" w:eastAsia="Arial" w:hAnsi="Arial"/>
          <w:sz w:val="16"/>
          <w:szCs w:val="16"/>
          <w:color w:val="auto"/>
        </w:rPr>
      </w:pPr>
    </w:p>
    <w:p>
      <w:pPr>
        <w:ind w:right="120" w:firstLine="443"/>
        <w:spacing w:after="0" w:line="347" w:lineRule="auto"/>
        <w:tabs>
          <w:tab w:leader="none" w:pos="614"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25" w:lineRule="auto"/>
        <w:tabs>
          <w:tab w:leader="none" w:pos="6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080" w:hanging="199"/>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76" w:lineRule="exact"/>
        <w:rPr>
          <w:rFonts w:ascii="Arial" w:cs="Arial" w:eastAsia="Arial" w:hAnsi="Arial"/>
          <w:sz w:val="18"/>
          <w:szCs w:val="18"/>
          <w:color w:val="auto"/>
        </w:rPr>
      </w:pPr>
    </w:p>
    <w:p>
      <w:pPr>
        <w:ind w:left="460" w:right="420" w:firstLine="421"/>
        <w:spacing w:after="0" w:line="325" w:lineRule="auto"/>
        <w:tabs>
          <w:tab w:leader="none" w:pos="10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right="220" w:firstLine="443"/>
        <w:spacing w:after="0" w:line="325" w:lineRule="auto"/>
        <w:tabs>
          <w:tab w:leader="none" w:pos="6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700" w:firstLine="421"/>
        <w:spacing w:after="0" w:line="325" w:lineRule="auto"/>
        <w:tabs>
          <w:tab w:leader="none" w:pos="10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8"/>
          <w:szCs w:val="18"/>
          <w:color w:val="auto"/>
        </w:rPr>
        <w:t>Date:</w:t>
        <w:tab/>
        <w:t>November 14, 2005</w:t>
      </w:r>
    </w:p>
    <w:p>
      <w:pPr>
        <w:spacing w:after="0" w:line="225" w:lineRule="exact"/>
        <w:rPr>
          <w:sz w:val="20"/>
          <w:szCs w:val="20"/>
          <w:color w:val="auto"/>
        </w:rPr>
      </w:pPr>
    </w:p>
    <w:p>
      <w:pPr>
        <w:ind w:left="6400"/>
        <w:spacing w:after="0"/>
        <w:tabs>
          <w:tab w:leader="none" w:pos="800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80010</wp:posOffset>
            </wp:positionV>
            <wp:extent cx="23583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Shintaro Asako</w:t>
      </w:r>
    </w:p>
    <w:p>
      <w:pPr>
        <w:spacing w:after="0" w:line="2" w:lineRule="exact"/>
        <w:rPr>
          <w:sz w:val="20"/>
          <w:szCs w:val="20"/>
          <w:color w:val="auto"/>
        </w:rPr>
      </w:pPr>
    </w:p>
    <w:p>
      <w:pPr>
        <w:jc w:val="center"/>
        <w:ind w:left="7500"/>
        <w:spacing w:after="0"/>
        <w:rPr>
          <w:sz w:val="20"/>
          <w:szCs w:val="20"/>
          <w:color w:val="auto"/>
        </w:rPr>
      </w:pPr>
      <w:r>
        <w:rPr>
          <w:rFonts w:ascii="Arial" w:cs="Arial" w:eastAsia="Arial" w:hAnsi="Arial"/>
          <w:sz w:val="12"/>
          <w:szCs w:val="12"/>
          <w:b w:val="1"/>
          <w:bCs w:val="1"/>
          <w:color w:val="auto"/>
        </w:rPr>
        <w:t>Vice President, Accounting and Financial Reporting (Principal</w:t>
      </w:r>
    </w:p>
    <w:p>
      <w:pPr>
        <w:spacing w:after="0" w:line="10"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960"/>
          </w:cols>
          <w:pgMar w:left="70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2005 (the “Report”), I, Yuichi Iwaki, Acting Chief Executive Officer and Chief Financial Officer of MediciNova, Inc., hereby certify pursuant to 18 U.S.C. Section 1350, as adopted pursuant to Section 906 of the Sarbanes-Oxley Act of 2002, that to the best of my knowledge:</w:t>
      </w:r>
    </w:p>
    <w:p>
      <w:pPr>
        <w:spacing w:after="0" w:line="46" w:lineRule="exact"/>
        <w:rPr>
          <w:sz w:val="20"/>
          <w:szCs w:val="20"/>
          <w:color w:val="auto"/>
        </w:rPr>
      </w:pPr>
    </w:p>
    <w:p>
      <w:pPr>
        <w:ind w:left="1080" w:hanging="177"/>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58"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Date:</w:t>
        <w:tab/>
        <w:t>November 14, 2005</w:t>
      </w:r>
    </w:p>
    <w:p>
      <w:pPr>
        <w:spacing w:after="0" w:line="225" w:lineRule="exact"/>
        <w:rPr>
          <w:sz w:val="20"/>
          <w:szCs w:val="20"/>
          <w:color w:val="auto"/>
        </w:rPr>
      </w:pPr>
    </w:p>
    <w:p>
      <w:pPr>
        <w:ind w:left="6860"/>
        <w:spacing w:after="0"/>
        <w:tabs>
          <w:tab w:leader="none" w:pos="8620" w:val="left"/>
          <w:tab w:leader="none" w:pos="8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3583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Yuichi Iwaki, M.D., Ph.D.</w:t>
      </w:r>
    </w:p>
    <w:p>
      <w:pPr>
        <w:jc w:val="center"/>
        <w:ind w:left="7500"/>
        <w:spacing w:after="0" w:line="223" w:lineRule="auto"/>
        <w:rPr>
          <w:sz w:val="20"/>
          <w:szCs w:val="20"/>
          <w:color w:val="auto"/>
        </w:rPr>
      </w:pPr>
      <w:r>
        <w:rPr>
          <w:rFonts w:ascii="Arial" w:cs="Arial" w:eastAsia="Arial" w:hAnsi="Arial"/>
          <w:sz w:val="14"/>
          <w:szCs w:val="14"/>
          <w:b w:val="1"/>
          <w:bCs w:val="1"/>
          <w:color w:val="auto"/>
        </w:rPr>
        <w:t>Acting Chief Executive Officer and</w:t>
      </w:r>
    </w:p>
    <w:p>
      <w:pPr>
        <w:jc w:val="center"/>
        <w:ind w:left="7500"/>
        <w:spacing w:after="0"/>
        <w:rPr>
          <w:sz w:val="20"/>
          <w:szCs w:val="20"/>
          <w:color w:val="auto"/>
        </w:rPr>
      </w:pPr>
      <w:r>
        <w:rPr>
          <w:rFonts w:ascii="Arial" w:cs="Arial" w:eastAsia="Arial" w:hAnsi="Arial"/>
          <w:sz w:val="14"/>
          <w:szCs w:val="14"/>
          <w:b w:val="1"/>
          <w:bCs w:val="1"/>
          <w:color w:val="auto"/>
        </w:rPr>
        <w:t>Chief Financial Officer</w:t>
      </w:r>
    </w:p>
    <w:p>
      <w:pPr>
        <w:jc w:val="center"/>
        <w:ind w:left="7500"/>
        <w:spacing w:after="0" w:line="224" w:lineRule="auto"/>
        <w:rPr>
          <w:sz w:val="20"/>
          <w:szCs w:val="20"/>
          <w:color w:val="auto"/>
        </w:rPr>
      </w:pPr>
      <w:r>
        <w:rPr>
          <w:rFonts w:ascii="Arial" w:cs="Arial" w:eastAsia="Arial" w:hAnsi="Arial"/>
          <w:sz w:val="14"/>
          <w:szCs w:val="14"/>
          <w:b w:val="1"/>
          <w:bCs w:val="1"/>
          <w:color w:val="auto"/>
        </w:rPr>
        <w:t>(Principal Executive Officer and</w:t>
      </w:r>
    </w:p>
    <w:p>
      <w:pPr>
        <w:jc w:val="center"/>
        <w:ind w:left="75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2005 (the “Report”), I, Shintaro Asako, Vice President, Accounting and Financial Reporting of MediciNova, Inc., hereby certify pursuant to 18 U.S.C. Section 1350, as adopted pursuant to Section 906 of the Sarbanes-Oxley Act of 2002, that to the best of my knowledge:</w:t>
      </w:r>
    </w:p>
    <w:p>
      <w:pPr>
        <w:spacing w:after="0" w:line="46" w:lineRule="exact"/>
        <w:rPr>
          <w:sz w:val="20"/>
          <w:szCs w:val="20"/>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58"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Date:</w:t>
        <w:tab/>
        <w:t>November 14, 2005</w:t>
      </w:r>
    </w:p>
    <w:p>
      <w:pPr>
        <w:spacing w:after="0" w:line="225" w:lineRule="exact"/>
        <w:rPr>
          <w:sz w:val="20"/>
          <w:szCs w:val="20"/>
          <w:color w:val="auto"/>
        </w:rPr>
      </w:pPr>
    </w:p>
    <w:p>
      <w:pPr>
        <w:ind w:left="686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3583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Shintaro Asako</w:t>
      </w:r>
    </w:p>
    <w:p>
      <w:pPr>
        <w:jc w:val="center"/>
        <w:ind w:left="7500"/>
        <w:spacing w:after="0" w:line="223" w:lineRule="auto"/>
        <w:rPr>
          <w:sz w:val="20"/>
          <w:szCs w:val="20"/>
          <w:color w:val="auto"/>
        </w:rPr>
      </w:pPr>
      <w:r>
        <w:rPr>
          <w:rFonts w:ascii="Arial" w:cs="Arial" w:eastAsia="Arial" w:hAnsi="Arial"/>
          <w:sz w:val="14"/>
          <w:szCs w:val="14"/>
          <w:b w:val="1"/>
          <w:bCs w:val="1"/>
          <w:color w:val="auto"/>
        </w:rPr>
        <w:t>Vice President, Accounting and</w:t>
      </w:r>
    </w:p>
    <w:p>
      <w:pPr>
        <w:jc w:val="center"/>
        <w:ind w:left="7500"/>
        <w:spacing w:after="0" w:line="222" w:lineRule="auto"/>
        <w:rPr>
          <w:sz w:val="20"/>
          <w:szCs w:val="20"/>
          <w:color w:val="auto"/>
        </w:rPr>
      </w:pPr>
      <w:r>
        <w:rPr>
          <w:rFonts w:ascii="Arial" w:cs="Arial" w:eastAsia="Arial" w:hAnsi="Arial"/>
          <w:sz w:val="14"/>
          <w:szCs w:val="14"/>
          <w:b w:val="1"/>
          <w:bCs w:val="1"/>
          <w:color w:val="auto"/>
        </w:rPr>
        <w:t>Financial Reporting</w:t>
      </w:r>
    </w:p>
    <w:p>
      <w:pPr>
        <w:jc w:val="center"/>
        <w:ind w:left="750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7"/>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6"/>
    </w:lvl>
  </w:abstractNum>
  <w:abstractNum w:abstractNumId="31">
    <w:nsid w:val="419AC241"/>
    <w:multiLevelType w:val="hybridMultilevel"/>
    <w:lvl w:ilvl="0">
      <w:lvlJc w:val="left"/>
      <w:lvlText w:val="%1."/>
      <w:numFmt w:val="decimal"/>
      <w:start w:val="7"/>
    </w:lvl>
  </w:abstractNum>
  <w:abstractNum w:abstractNumId="32">
    <w:nsid w:val="5577F8E1"/>
    <w:multiLevelType w:val="hybridMultilevel"/>
    <w:lvl w:ilvl="0">
      <w:lvlJc w:val="left"/>
      <w:lvlText w:val="%1."/>
      <w:numFmt w:val="decimal"/>
      <w:start w:val="17"/>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2019-12-15T06:40:25Z</dcterms:created>
  <dcterms:modified xsi:type="dcterms:W3CDTF">2019-12-15T06:40:25Z</dcterms:modified>
</cp:coreProperties>
</file>